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454933D" w14:textId="77777777" w:rsidR="001870B2" w:rsidRDefault="001870B2" w:rsidP="00717CBF">
      <w:pPr>
        <w:spacing w:after="0" w:line="240" w:lineRule="auto"/>
        <w:ind w:left="851" w:hanging="851"/>
        <w:rPr>
          <w:rFonts w:ascii="Arial" w:hAnsi="Arial" w:cs="Arial"/>
        </w:rPr>
      </w:pPr>
    </w:p>
    <w:p w14:paraId="2A26B71C" w14:textId="07159087" w:rsidR="001870B2" w:rsidRPr="001870B2" w:rsidRDefault="001870B2" w:rsidP="001870B2">
      <w:pPr>
        <w:spacing w:after="0" w:line="480" w:lineRule="auto"/>
        <w:jc w:val="center"/>
        <w:rPr>
          <w:rFonts w:ascii="Arial" w:eastAsia="Times New Roman" w:hAnsi="Arial" w:cs="Arial"/>
          <w:b/>
          <w:color w:val="000000"/>
          <w:sz w:val="24"/>
          <w:szCs w:val="24"/>
          <w:lang w:val="en-US" w:eastAsia="en-US"/>
        </w:rPr>
      </w:pPr>
      <w:r w:rsidRPr="001870B2">
        <w:rPr>
          <w:rFonts w:ascii="Arial" w:eastAsia="Times New Roman" w:hAnsi="Arial" w:cs="Arial"/>
          <w:b/>
          <w:color w:val="000000"/>
          <w:sz w:val="24"/>
          <w:szCs w:val="24"/>
          <w:lang w:val="en-US" w:eastAsia="en-US"/>
        </w:rPr>
        <w:t xml:space="preserve">PROPOSED PACKAGE INSERT </w:t>
      </w:r>
      <w:r w:rsidR="00797DFA">
        <w:rPr>
          <w:rFonts w:ascii="Arial" w:eastAsia="Times New Roman" w:hAnsi="Arial" w:cs="Arial"/>
          <w:b/>
          <w:color w:val="000000"/>
          <w:sz w:val="24"/>
          <w:szCs w:val="24"/>
          <w:lang w:val="en-US" w:eastAsia="en-US"/>
        </w:rPr>
        <w:t>- CLEAN</w:t>
      </w:r>
    </w:p>
    <w:p w14:paraId="2A4B70FC" w14:textId="77777777" w:rsidR="001870B2" w:rsidRPr="001870B2" w:rsidRDefault="001870B2" w:rsidP="001870B2">
      <w:pPr>
        <w:spacing w:after="0" w:line="480" w:lineRule="auto"/>
        <w:rPr>
          <w:rFonts w:ascii="Arial" w:eastAsia="Times New Roman" w:hAnsi="Arial" w:cs="Arial"/>
          <w:color w:val="000000"/>
          <w:sz w:val="24"/>
          <w:szCs w:val="24"/>
          <w:lang w:val="en-US" w:eastAsia="en-US"/>
        </w:rPr>
      </w:pPr>
      <w:r w:rsidRPr="001870B2">
        <w:rPr>
          <w:rFonts w:ascii="Arial" w:eastAsia="Times New Roman" w:hAnsi="Arial" w:cs="Arial"/>
          <w:b/>
          <w:color w:val="000000"/>
          <w:sz w:val="24"/>
          <w:szCs w:val="24"/>
          <w:lang w:val="en-US" w:eastAsia="en-US"/>
        </w:rPr>
        <w:t xml:space="preserve">Scheduling status:    </w:t>
      </w:r>
      <w:r w:rsidRPr="001870B2">
        <w:rPr>
          <w:rFonts w:ascii="Arial" w:eastAsia="Times New Roman" w:hAnsi="Arial" w:cs="Arial"/>
          <w:color w:val="000000"/>
          <w:sz w:val="24"/>
          <w:szCs w:val="24"/>
          <w:bdr w:val="single" w:sz="4" w:space="0" w:color="auto"/>
          <w:lang w:val="en-US" w:eastAsia="en-US"/>
        </w:rPr>
        <w:t>S4</w:t>
      </w:r>
      <w:r w:rsidRPr="001870B2">
        <w:rPr>
          <w:rFonts w:ascii="Arial" w:eastAsia="Times New Roman" w:hAnsi="Arial" w:cs="Arial"/>
          <w:color w:val="000000"/>
          <w:sz w:val="24"/>
          <w:szCs w:val="24"/>
          <w:lang w:val="en-US" w:eastAsia="en-US"/>
        </w:rPr>
        <w:t xml:space="preserve"> </w:t>
      </w:r>
    </w:p>
    <w:p w14:paraId="2B3A35C9" w14:textId="77777777" w:rsidR="001870B2" w:rsidRPr="001870B2" w:rsidRDefault="001870B2" w:rsidP="001870B2">
      <w:pPr>
        <w:spacing w:after="0" w:line="480" w:lineRule="auto"/>
        <w:rPr>
          <w:rFonts w:ascii="Arial" w:eastAsia="Times New Roman" w:hAnsi="Arial" w:cs="Arial"/>
          <w:color w:val="000000"/>
          <w:sz w:val="24"/>
          <w:szCs w:val="24"/>
          <w:lang w:val="en-US" w:eastAsia="en-US"/>
        </w:rPr>
      </w:pPr>
    </w:p>
    <w:p w14:paraId="732E295F" w14:textId="77777777" w:rsidR="001870B2" w:rsidRPr="001870B2" w:rsidRDefault="001870B2" w:rsidP="001870B2">
      <w:pPr>
        <w:spacing w:after="0" w:line="480" w:lineRule="auto"/>
        <w:rPr>
          <w:rFonts w:ascii="Arial" w:eastAsia="Times New Roman" w:hAnsi="Arial" w:cs="Arial"/>
          <w:color w:val="000000"/>
          <w:sz w:val="24"/>
          <w:szCs w:val="24"/>
          <w:lang w:val="en-US" w:eastAsia="en-US"/>
        </w:rPr>
      </w:pPr>
      <w:r w:rsidRPr="001870B2">
        <w:rPr>
          <w:rFonts w:ascii="Arial" w:eastAsia="Times New Roman" w:hAnsi="Arial" w:cs="Arial"/>
          <w:b/>
          <w:color w:val="000000"/>
          <w:sz w:val="24"/>
          <w:szCs w:val="24"/>
          <w:lang w:val="en-US" w:eastAsia="en-US"/>
        </w:rPr>
        <w:t>Proprietary name and dosage form:</w:t>
      </w:r>
    </w:p>
    <w:p w14:paraId="4CF61B0C" w14:textId="2BD0BC13" w:rsidR="001870B2" w:rsidRPr="001870B2" w:rsidRDefault="00FC6FDB" w:rsidP="001870B2">
      <w:pPr>
        <w:spacing w:after="0" w:line="480" w:lineRule="auto"/>
        <w:rPr>
          <w:rFonts w:ascii="Arial" w:eastAsia="Times New Roman" w:hAnsi="Arial" w:cs="Arial"/>
          <w:color w:val="000000"/>
          <w:sz w:val="24"/>
          <w:szCs w:val="24"/>
          <w:lang w:val="en-US" w:eastAsia="en-US"/>
        </w:rPr>
      </w:pPr>
      <w:r>
        <w:rPr>
          <w:rFonts w:ascii="Arial" w:eastAsia="Times New Roman" w:hAnsi="Arial" w:cs="Arial"/>
          <w:color w:val="000000"/>
          <w:sz w:val="24"/>
          <w:szCs w:val="24"/>
          <w:lang w:val="en-US" w:eastAsia="en-US"/>
        </w:rPr>
        <w:t>Lipidex</w:t>
      </w:r>
      <w:r w:rsidR="002B37FA">
        <w:rPr>
          <w:rFonts w:ascii="Arial" w:eastAsia="Times New Roman" w:hAnsi="Arial" w:cs="Arial"/>
          <w:color w:val="000000"/>
          <w:sz w:val="24"/>
          <w:szCs w:val="24"/>
          <w:lang w:val="en-US" w:eastAsia="en-US"/>
        </w:rPr>
        <w:t xml:space="preserve"> 10 </w:t>
      </w:r>
      <w:r w:rsidR="001870B2" w:rsidRPr="001870B2">
        <w:rPr>
          <w:rFonts w:ascii="Arial" w:eastAsia="Times New Roman" w:hAnsi="Arial" w:cs="Arial"/>
          <w:color w:val="000000"/>
          <w:sz w:val="24"/>
          <w:szCs w:val="24"/>
          <w:lang w:val="en-US" w:eastAsia="en-US"/>
        </w:rPr>
        <w:t>film-coated tablets</w:t>
      </w:r>
    </w:p>
    <w:p w14:paraId="187866AA" w14:textId="05A25E95" w:rsidR="001870B2" w:rsidRPr="001870B2" w:rsidRDefault="00FC6FDB" w:rsidP="001870B2">
      <w:pPr>
        <w:spacing w:after="0" w:line="480" w:lineRule="auto"/>
        <w:rPr>
          <w:rFonts w:ascii="Arial" w:eastAsia="Times New Roman" w:hAnsi="Arial" w:cs="Arial"/>
          <w:color w:val="000000"/>
          <w:sz w:val="24"/>
          <w:szCs w:val="24"/>
          <w:lang w:val="en-US" w:eastAsia="en-US"/>
        </w:rPr>
      </w:pPr>
      <w:r>
        <w:rPr>
          <w:rFonts w:ascii="Arial" w:eastAsia="Times New Roman" w:hAnsi="Arial" w:cs="Arial"/>
          <w:color w:val="000000"/>
          <w:sz w:val="24"/>
          <w:szCs w:val="24"/>
          <w:lang w:val="en-US" w:eastAsia="en-US"/>
        </w:rPr>
        <w:t>Lipidex</w:t>
      </w:r>
      <w:r w:rsidR="001870B2" w:rsidRPr="001870B2">
        <w:rPr>
          <w:rFonts w:ascii="Arial" w:eastAsia="Times New Roman" w:hAnsi="Arial" w:cs="Arial"/>
          <w:color w:val="000000"/>
          <w:sz w:val="24"/>
          <w:szCs w:val="24"/>
          <w:lang w:val="en-US" w:eastAsia="en-US"/>
        </w:rPr>
        <w:t xml:space="preserve"> 20</w:t>
      </w:r>
      <w:r w:rsidR="002B37FA">
        <w:rPr>
          <w:rFonts w:ascii="Arial" w:eastAsia="Times New Roman" w:hAnsi="Arial" w:cs="Arial"/>
          <w:color w:val="000000"/>
          <w:sz w:val="24"/>
          <w:szCs w:val="24"/>
          <w:lang w:val="en-US" w:eastAsia="en-US"/>
        </w:rPr>
        <w:t xml:space="preserve"> </w:t>
      </w:r>
      <w:r w:rsidR="001870B2" w:rsidRPr="001870B2">
        <w:rPr>
          <w:rFonts w:ascii="Arial" w:eastAsia="Times New Roman" w:hAnsi="Arial" w:cs="Arial"/>
          <w:color w:val="000000"/>
          <w:sz w:val="24"/>
          <w:szCs w:val="24"/>
          <w:lang w:val="en-US" w:eastAsia="en-US"/>
        </w:rPr>
        <w:t>film-coated tablets</w:t>
      </w:r>
    </w:p>
    <w:p w14:paraId="5E075049" w14:textId="77777777" w:rsidR="001870B2" w:rsidRPr="001870B2" w:rsidRDefault="001870B2" w:rsidP="001870B2">
      <w:pPr>
        <w:spacing w:after="0" w:line="480" w:lineRule="auto"/>
        <w:rPr>
          <w:rFonts w:ascii="Arial" w:eastAsia="Times New Roman" w:hAnsi="Arial" w:cs="Arial"/>
          <w:color w:val="000000"/>
          <w:sz w:val="24"/>
          <w:szCs w:val="24"/>
          <w:lang w:val="en-US" w:eastAsia="en-US"/>
        </w:rPr>
      </w:pPr>
    </w:p>
    <w:p w14:paraId="599FFA20" w14:textId="77777777" w:rsidR="001870B2" w:rsidRPr="001870B2" w:rsidRDefault="001870B2" w:rsidP="001870B2">
      <w:pPr>
        <w:spacing w:after="0" w:line="480" w:lineRule="auto"/>
        <w:rPr>
          <w:rFonts w:ascii="Arial" w:eastAsia="Times New Roman" w:hAnsi="Arial" w:cs="Arial"/>
          <w:b/>
          <w:color w:val="000000"/>
          <w:sz w:val="24"/>
          <w:szCs w:val="24"/>
          <w:lang w:val="en-US" w:eastAsia="en-US"/>
        </w:rPr>
      </w:pPr>
      <w:r w:rsidRPr="001870B2">
        <w:rPr>
          <w:rFonts w:ascii="Arial" w:eastAsia="Times New Roman" w:hAnsi="Arial" w:cs="Arial"/>
          <w:b/>
          <w:color w:val="000000"/>
          <w:sz w:val="24"/>
          <w:szCs w:val="24"/>
          <w:lang w:val="en-US" w:eastAsia="en-US"/>
        </w:rPr>
        <w:t>Composition:</w:t>
      </w:r>
    </w:p>
    <w:p w14:paraId="694B9642" w14:textId="79D2F62C" w:rsidR="001870B2" w:rsidRPr="001870B2" w:rsidRDefault="001870B2" w:rsidP="001870B2">
      <w:pPr>
        <w:spacing w:after="0" w:line="480" w:lineRule="auto"/>
        <w:rPr>
          <w:rFonts w:ascii="Arial" w:eastAsia="Times New Roman" w:hAnsi="Arial" w:cs="Arial"/>
          <w:color w:val="000000"/>
          <w:sz w:val="24"/>
          <w:szCs w:val="24"/>
          <w:lang w:val="en-US" w:eastAsia="en-US"/>
        </w:rPr>
      </w:pPr>
      <w:r w:rsidRPr="001870B2">
        <w:rPr>
          <w:rFonts w:ascii="Arial" w:eastAsia="Times New Roman" w:hAnsi="Arial" w:cs="Arial"/>
          <w:color w:val="000000"/>
          <w:sz w:val="24"/>
          <w:szCs w:val="24"/>
          <w:lang w:val="en-US" w:eastAsia="en-US"/>
        </w:rPr>
        <w:t xml:space="preserve">Each </w:t>
      </w:r>
      <w:r w:rsidR="00FC6FDB">
        <w:rPr>
          <w:rFonts w:ascii="Arial" w:eastAsia="Times New Roman" w:hAnsi="Arial" w:cs="Arial"/>
          <w:color w:val="000000"/>
          <w:sz w:val="24"/>
          <w:szCs w:val="24"/>
          <w:lang w:val="en-US" w:eastAsia="en-US"/>
        </w:rPr>
        <w:t>Lipidex</w:t>
      </w:r>
      <w:r w:rsidR="002B37FA">
        <w:rPr>
          <w:rFonts w:ascii="Arial" w:eastAsia="Times New Roman" w:hAnsi="Arial" w:cs="Arial"/>
          <w:color w:val="000000"/>
          <w:sz w:val="24"/>
          <w:szCs w:val="24"/>
          <w:lang w:val="en-US" w:eastAsia="en-US"/>
        </w:rPr>
        <w:t xml:space="preserve"> 10 </w:t>
      </w:r>
      <w:r w:rsidRPr="001870B2">
        <w:rPr>
          <w:rFonts w:ascii="Arial" w:eastAsia="Times New Roman" w:hAnsi="Arial" w:cs="Arial"/>
          <w:color w:val="000000"/>
          <w:sz w:val="24"/>
          <w:szCs w:val="24"/>
          <w:lang w:val="en-US" w:eastAsia="en-US"/>
        </w:rPr>
        <w:t xml:space="preserve">film-coated tablet contains: 10 mg </w:t>
      </w:r>
      <w:r w:rsidR="00FC6FDB">
        <w:rPr>
          <w:rFonts w:ascii="Arial" w:eastAsia="Times New Roman" w:hAnsi="Arial" w:cs="Arial"/>
          <w:color w:val="000000"/>
          <w:sz w:val="24"/>
          <w:szCs w:val="24"/>
          <w:lang w:val="en-US" w:eastAsia="en-US"/>
        </w:rPr>
        <w:t>Simvastatin</w:t>
      </w:r>
      <w:r w:rsidRPr="001870B2">
        <w:rPr>
          <w:rFonts w:ascii="Arial" w:eastAsia="Times New Roman" w:hAnsi="Arial" w:cs="Arial"/>
          <w:color w:val="000000"/>
          <w:sz w:val="24"/>
          <w:szCs w:val="24"/>
          <w:lang w:val="en-US" w:eastAsia="en-US"/>
        </w:rPr>
        <w:t>.</w:t>
      </w:r>
    </w:p>
    <w:p w14:paraId="13D04CC1" w14:textId="19DFDFB2" w:rsidR="001870B2" w:rsidRPr="001870B2" w:rsidRDefault="001870B2" w:rsidP="001870B2">
      <w:pPr>
        <w:spacing w:after="0" w:line="480" w:lineRule="auto"/>
        <w:rPr>
          <w:rFonts w:ascii="Arial" w:eastAsia="Times New Roman" w:hAnsi="Arial" w:cs="Arial"/>
          <w:color w:val="000000"/>
          <w:sz w:val="24"/>
          <w:szCs w:val="24"/>
          <w:lang w:val="en-US" w:eastAsia="en-US"/>
        </w:rPr>
      </w:pPr>
      <w:r w:rsidRPr="001870B2">
        <w:rPr>
          <w:rFonts w:ascii="Arial" w:eastAsia="Times New Roman" w:hAnsi="Arial" w:cs="Arial"/>
          <w:color w:val="000000"/>
          <w:sz w:val="24"/>
          <w:szCs w:val="24"/>
          <w:lang w:val="en-US" w:eastAsia="en-US"/>
        </w:rPr>
        <w:t xml:space="preserve">Each </w:t>
      </w:r>
      <w:r w:rsidR="00FC6FDB">
        <w:rPr>
          <w:rFonts w:ascii="Arial" w:eastAsia="Times New Roman" w:hAnsi="Arial" w:cs="Arial"/>
          <w:color w:val="000000"/>
          <w:sz w:val="24"/>
          <w:szCs w:val="24"/>
          <w:lang w:val="en-US" w:eastAsia="en-US"/>
        </w:rPr>
        <w:t>Lipidex</w:t>
      </w:r>
      <w:r w:rsidR="002B37FA">
        <w:rPr>
          <w:rFonts w:ascii="Arial" w:eastAsia="Times New Roman" w:hAnsi="Arial" w:cs="Arial"/>
          <w:color w:val="000000"/>
          <w:sz w:val="24"/>
          <w:szCs w:val="24"/>
          <w:lang w:val="en-US" w:eastAsia="en-US"/>
        </w:rPr>
        <w:t xml:space="preserve"> 10 </w:t>
      </w:r>
      <w:r w:rsidRPr="001870B2">
        <w:rPr>
          <w:rFonts w:ascii="Arial" w:eastAsia="Times New Roman" w:hAnsi="Arial" w:cs="Arial"/>
          <w:color w:val="000000"/>
          <w:sz w:val="24"/>
          <w:szCs w:val="24"/>
          <w:lang w:val="en-US" w:eastAsia="en-US"/>
        </w:rPr>
        <w:t>film-coated tablet contains:</w:t>
      </w:r>
    </w:p>
    <w:p w14:paraId="391D355F" w14:textId="44DAD2BE" w:rsidR="001870B2" w:rsidRPr="001870B2" w:rsidRDefault="001870B2" w:rsidP="001870B2">
      <w:pPr>
        <w:spacing w:after="0" w:line="480" w:lineRule="auto"/>
        <w:rPr>
          <w:rFonts w:ascii="Arial" w:eastAsia="Times New Roman" w:hAnsi="Arial" w:cs="Arial"/>
          <w:color w:val="000000"/>
          <w:sz w:val="24"/>
          <w:szCs w:val="24"/>
          <w:lang w:val="en-US" w:eastAsia="en-US"/>
        </w:rPr>
      </w:pPr>
      <w:r w:rsidRPr="001870B2">
        <w:rPr>
          <w:rFonts w:ascii="Arial" w:eastAsia="Times New Roman" w:hAnsi="Arial" w:cs="Arial"/>
          <w:color w:val="000000"/>
          <w:sz w:val="24"/>
          <w:szCs w:val="24"/>
          <w:lang w:val="en-US" w:eastAsia="en-US"/>
        </w:rPr>
        <w:t>0.02</w:t>
      </w:r>
      <w:r w:rsidR="00797DFA">
        <w:rPr>
          <w:rFonts w:ascii="Arial" w:eastAsia="Times New Roman" w:hAnsi="Arial" w:cs="Arial"/>
          <w:color w:val="000000"/>
          <w:sz w:val="24"/>
          <w:szCs w:val="24"/>
          <w:lang w:val="en-US" w:eastAsia="en-US"/>
        </w:rPr>
        <w:t xml:space="preserve"> </w:t>
      </w:r>
      <w:r w:rsidRPr="001870B2">
        <w:rPr>
          <w:rFonts w:ascii="Arial" w:eastAsia="Times New Roman" w:hAnsi="Arial" w:cs="Arial"/>
          <w:color w:val="000000"/>
          <w:sz w:val="24"/>
          <w:szCs w:val="24"/>
          <w:lang w:val="en-US" w:eastAsia="en-US"/>
        </w:rPr>
        <w:t>mg Butylhydroxyanisole (0.014</w:t>
      </w:r>
      <w:r w:rsidR="00797DFA">
        <w:rPr>
          <w:rFonts w:ascii="Arial" w:eastAsia="Times New Roman" w:hAnsi="Arial" w:cs="Arial"/>
          <w:color w:val="000000"/>
          <w:sz w:val="24"/>
          <w:szCs w:val="24"/>
          <w:lang w:val="en-US" w:eastAsia="en-US"/>
        </w:rPr>
        <w:t xml:space="preserve"> </w:t>
      </w:r>
      <w:r w:rsidRPr="001870B2">
        <w:rPr>
          <w:rFonts w:ascii="Arial" w:eastAsia="Times New Roman" w:hAnsi="Arial" w:cs="Arial"/>
          <w:color w:val="000000"/>
          <w:sz w:val="24"/>
          <w:szCs w:val="24"/>
          <w:lang w:val="en-US" w:eastAsia="en-US"/>
        </w:rPr>
        <w:t>%m/m) and 2,5</w:t>
      </w:r>
      <w:r w:rsidR="00797DFA">
        <w:rPr>
          <w:rFonts w:ascii="Arial" w:eastAsia="Times New Roman" w:hAnsi="Arial" w:cs="Arial"/>
          <w:color w:val="000000"/>
          <w:sz w:val="24"/>
          <w:szCs w:val="24"/>
          <w:lang w:val="en-US" w:eastAsia="en-US"/>
        </w:rPr>
        <w:t xml:space="preserve"> </w:t>
      </w:r>
      <w:r w:rsidRPr="001870B2">
        <w:rPr>
          <w:rFonts w:ascii="Arial" w:eastAsia="Times New Roman" w:hAnsi="Arial" w:cs="Arial"/>
          <w:color w:val="000000"/>
          <w:sz w:val="24"/>
          <w:szCs w:val="24"/>
          <w:lang w:val="en-US" w:eastAsia="en-US"/>
        </w:rPr>
        <w:t>mg ascorbic acid (1,75</w:t>
      </w:r>
      <w:r w:rsidR="00797DFA">
        <w:rPr>
          <w:rFonts w:ascii="Arial" w:eastAsia="Times New Roman" w:hAnsi="Arial" w:cs="Arial"/>
          <w:color w:val="000000"/>
          <w:sz w:val="24"/>
          <w:szCs w:val="24"/>
          <w:lang w:val="en-US" w:eastAsia="en-US"/>
        </w:rPr>
        <w:t xml:space="preserve"> </w:t>
      </w:r>
      <w:r w:rsidRPr="001870B2">
        <w:rPr>
          <w:rFonts w:ascii="Arial" w:eastAsia="Times New Roman" w:hAnsi="Arial" w:cs="Arial"/>
          <w:color w:val="000000"/>
          <w:sz w:val="24"/>
          <w:szCs w:val="24"/>
          <w:lang w:val="en-US" w:eastAsia="en-US"/>
        </w:rPr>
        <w:t>% m/m) as antioxidant.</w:t>
      </w:r>
    </w:p>
    <w:p w14:paraId="30954C43" w14:textId="77777777" w:rsidR="001870B2" w:rsidRPr="00EA0389" w:rsidRDefault="001870B2" w:rsidP="001870B2">
      <w:pPr>
        <w:spacing w:after="0" w:line="480" w:lineRule="auto"/>
        <w:rPr>
          <w:rFonts w:ascii="Arial" w:eastAsia="Times New Roman" w:hAnsi="Arial" w:cs="Arial"/>
          <w:color w:val="000000"/>
          <w:sz w:val="20"/>
          <w:szCs w:val="24"/>
          <w:lang w:val="en-US" w:eastAsia="en-US"/>
        </w:rPr>
      </w:pPr>
    </w:p>
    <w:p w14:paraId="6A9B7C81" w14:textId="43D67BED" w:rsidR="001870B2" w:rsidRPr="001870B2" w:rsidRDefault="001870B2" w:rsidP="001870B2">
      <w:pPr>
        <w:spacing w:after="0" w:line="480" w:lineRule="auto"/>
        <w:rPr>
          <w:rFonts w:ascii="Arial" w:eastAsia="Times New Roman" w:hAnsi="Arial" w:cs="Arial"/>
          <w:color w:val="000000"/>
          <w:sz w:val="24"/>
          <w:szCs w:val="24"/>
          <w:lang w:val="en-US" w:eastAsia="en-US"/>
        </w:rPr>
      </w:pPr>
      <w:r w:rsidRPr="001870B2">
        <w:rPr>
          <w:rFonts w:ascii="Arial" w:eastAsia="Times New Roman" w:hAnsi="Arial" w:cs="Arial"/>
          <w:color w:val="000000"/>
          <w:sz w:val="24"/>
          <w:szCs w:val="24"/>
          <w:lang w:val="en-US" w:eastAsia="en-US"/>
        </w:rPr>
        <w:t xml:space="preserve">Each </w:t>
      </w:r>
      <w:r w:rsidR="00FC6FDB">
        <w:rPr>
          <w:rFonts w:ascii="Arial" w:eastAsia="Times New Roman" w:hAnsi="Arial" w:cs="Arial"/>
          <w:color w:val="000000"/>
          <w:sz w:val="24"/>
          <w:szCs w:val="24"/>
          <w:lang w:val="en-US" w:eastAsia="en-US"/>
        </w:rPr>
        <w:t>Lipidex</w:t>
      </w:r>
      <w:r w:rsidR="002B37FA">
        <w:rPr>
          <w:rFonts w:ascii="Arial" w:eastAsia="Times New Roman" w:hAnsi="Arial" w:cs="Arial"/>
          <w:color w:val="000000"/>
          <w:sz w:val="24"/>
          <w:szCs w:val="24"/>
          <w:lang w:val="en-US" w:eastAsia="en-US"/>
        </w:rPr>
        <w:t xml:space="preserve"> 20 </w:t>
      </w:r>
      <w:r w:rsidRPr="001870B2">
        <w:rPr>
          <w:rFonts w:ascii="Arial" w:eastAsia="Times New Roman" w:hAnsi="Arial" w:cs="Arial"/>
          <w:color w:val="000000"/>
          <w:sz w:val="24"/>
          <w:szCs w:val="24"/>
          <w:lang w:val="en-US" w:eastAsia="en-US"/>
        </w:rPr>
        <w:t xml:space="preserve">film-coated tablet contains 20 mg </w:t>
      </w:r>
      <w:r w:rsidR="00FC6FDB">
        <w:rPr>
          <w:rFonts w:ascii="Arial" w:eastAsia="Times New Roman" w:hAnsi="Arial" w:cs="Arial"/>
          <w:color w:val="000000"/>
          <w:sz w:val="24"/>
          <w:szCs w:val="24"/>
          <w:lang w:val="en-US" w:eastAsia="en-US"/>
        </w:rPr>
        <w:t>Simvastatin</w:t>
      </w:r>
      <w:r w:rsidRPr="001870B2">
        <w:rPr>
          <w:rFonts w:ascii="Arial" w:eastAsia="Times New Roman" w:hAnsi="Arial" w:cs="Arial"/>
          <w:color w:val="000000"/>
          <w:sz w:val="24"/>
          <w:szCs w:val="24"/>
          <w:lang w:val="en-US" w:eastAsia="en-US"/>
        </w:rPr>
        <w:t>.</w:t>
      </w:r>
    </w:p>
    <w:p w14:paraId="6A045CB8" w14:textId="3C75DC1C" w:rsidR="001870B2" w:rsidRPr="001870B2" w:rsidRDefault="001870B2" w:rsidP="001870B2">
      <w:pPr>
        <w:spacing w:after="0" w:line="480" w:lineRule="auto"/>
        <w:rPr>
          <w:rFonts w:ascii="Arial" w:eastAsia="Times New Roman" w:hAnsi="Arial" w:cs="Arial"/>
          <w:color w:val="000000"/>
          <w:sz w:val="24"/>
          <w:szCs w:val="24"/>
          <w:lang w:val="en-US" w:eastAsia="en-US"/>
        </w:rPr>
      </w:pPr>
      <w:r w:rsidRPr="001870B2">
        <w:rPr>
          <w:rFonts w:ascii="Arial" w:eastAsia="Times New Roman" w:hAnsi="Arial" w:cs="Arial"/>
          <w:color w:val="000000"/>
          <w:sz w:val="24"/>
          <w:szCs w:val="24"/>
          <w:lang w:val="en-US" w:eastAsia="en-US"/>
        </w:rPr>
        <w:t xml:space="preserve">Each </w:t>
      </w:r>
      <w:r w:rsidR="00FC6FDB">
        <w:rPr>
          <w:rFonts w:ascii="Arial" w:eastAsia="Times New Roman" w:hAnsi="Arial" w:cs="Arial"/>
          <w:color w:val="000000"/>
          <w:sz w:val="24"/>
          <w:szCs w:val="24"/>
          <w:lang w:val="en-US" w:eastAsia="en-US"/>
        </w:rPr>
        <w:t>Lipidex</w:t>
      </w:r>
      <w:r w:rsidR="002B37FA">
        <w:rPr>
          <w:rFonts w:ascii="Arial" w:eastAsia="Times New Roman" w:hAnsi="Arial" w:cs="Arial"/>
          <w:color w:val="000000"/>
          <w:sz w:val="24"/>
          <w:szCs w:val="24"/>
          <w:lang w:val="en-US" w:eastAsia="en-US"/>
        </w:rPr>
        <w:t xml:space="preserve"> 20 </w:t>
      </w:r>
      <w:r w:rsidRPr="001870B2">
        <w:rPr>
          <w:rFonts w:ascii="Arial" w:eastAsia="Times New Roman" w:hAnsi="Arial" w:cs="Arial"/>
          <w:color w:val="000000"/>
          <w:sz w:val="24"/>
          <w:szCs w:val="24"/>
          <w:lang w:val="en-US" w:eastAsia="en-US"/>
        </w:rPr>
        <w:t>film-coated tablet contains:</w:t>
      </w:r>
    </w:p>
    <w:p w14:paraId="4465E259" w14:textId="76F67E70" w:rsidR="001870B2" w:rsidRPr="001870B2" w:rsidRDefault="001870B2" w:rsidP="001870B2">
      <w:pPr>
        <w:spacing w:after="0" w:line="480" w:lineRule="auto"/>
        <w:rPr>
          <w:rFonts w:ascii="Arial" w:eastAsia="Times New Roman" w:hAnsi="Arial" w:cs="Arial"/>
          <w:color w:val="000000"/>
          <w:sz w:val="24"/>
          <w:szCs w:val="24"/>
          <w:lang w:val="en-US" w:eastAsia="en-US"/>
        </w:rPr>
      </w:pPr>
      <w:r w:rsidRPr="001870B2">
        <w:rPr>
          <w:rFonts w:ascii="Arial" w:eastAsia="Times New Roman" w:hAnsi="Arial" w:cs="Arial"/>
          <w:color w:val="000000"/>
          <w:sz w:val="24"/>
          <w:szCs w:val="24"/>
          <w:lang w:val="en-US" w:eastAsia="en-US"/>
        </w:rPr>
        <w:t>0.04</w:t>
      </w:r>
      <w:r w:rsidR="00797DFA">
        <w:rPr>
          <w:rFonts w:ascii="Arial" w:eastAsia="Times New Roman" w:hAnsi="Arial" w:cs="Arial"/>
          <w:color w:val="000000"/>
          <w:sz w:val="24"/>
          <w:szCs w:val="24"/>
          <w:lang w:val="en-US" w:eastAsia="en-US"/>
        </w:rPr>
        <w:t xml:space="preserve"> </w:t>
      </w:r>
      <w:r w:rsidRPr="001870B2">
        <w:rPr>
          <w:rFonts w:ascii="Arial" w:eastAsia="Times New Roman" w:hAnsi="Arial" w:cs="Arial"/>
          <w:color w:val="000000"/>
          <w:sz w:val="24"/>
          <w:szCs w:val="24"/>
          <w:lang w:val="en-US" w:eastAsia="en-US"/>
        </w:rPr>
        <w:t>mg Butylhydroxyanisole (0.014</w:t>
      </w:r>
      <w:r w:rsidR="00797DFA">
        <w:rPr>
          <w:rFonts w:ascii="Arial" w:eastAsia="Times New Roman" w:hAnsi="Arial" w:cs="Arial"/>
          <w:color w:val="000000"/>
          <w:sz w:val="24"/>
          <w:szCs w:val="24"/>
          <w:lang w:val="en-US" w:eastAsia="en-US"/>
        </w:rPr>
        <w:t xml:space="preserve"> </w:t>
      </w:r>
      <w:r w:rsidRPr="001870B2">
        <w:rPr>
          <w:rFonts w:ascii="Arial" w:eastAsia="Times New Roman" w:hAnsi="Arial" w:cs="Arial"/>
          <w:color w:val="000000"/>
          <w:sz w:val="24"/>
          <w:szCs w:val="24"/>
          <w:lang w:val="en-US" w:eastAsia="en-US"/>
        </w:rPr>
        <w:t>%m/m) and 5,0</w:t>
      </w:r>
      <w:r w:rsidR="00797DFA">
        <w:rPr>
          <w:rFonts w:ascii="Arial" w:eastAsia="Times New Roman" w:hAnsi="Arial" w:cs="Arial"/>
          <w:color w:val="000000"/>
          <w:sz w:val="24"/>
          <w:szCs w:val="24"/>
          <w:lang w:val="en-US" w:eastAsia="en-US"/>
        </w:rPr>
        <w:t xml:space="preserve"> </w:t>
      </w:r>
      <w:r w:rsidRPr="001870B2">
        <w:rPr>
          <w:rFonts w:ascii="Arial" w:eastAsia="Times New Roman" w:hAnsi="Arial" w:cs="Arial"/>
          <w:color w:val="000000"/>
          <w:sz w:val="24"/>
          <w:szCs w:val="24"/>
          <w:lang w:val="en-US" w:eastAsia="en-US"/>
        </w:rPr>
        <w:t>mg ascorbic acid (1,75</w:t>
      </w:r>
      <w:r w:rsidR="00797DFA">
        <w:rPr>
          <w:rFonts w:ascii="Arial" w:eastAsia="Times New Roman" w:hAnsi="Arial" w:cs="Arial"/>
          <w:color w:val="000000"/>
          <w:sz w:val="24"/>
          <w:szCs w:val="24"/>
          <w:lang w:val="en-US" w:eastAsia="en-US"/>
        </w:rPr>
        <w:t xml:space="preserve"> </w:t>
      </w:r>
      <w:r w:rsidRPr="001870B2">
        <w:rPr>
          <w:rFonts w:ascii="Arial" w:eastAsia="Times New Roman" w:hAnsi="Arial" w:cs="Arial"/>
          <w:color w:val="000000"/>
          <w:sz w:val="24"/>
          <w:szCs w:val="24"/>
          <w:lang w:val="en-US" w:eastAsia="en-US"/>
        </w:rPr>
        <w:t>% m/m) as antioxidant.</w:t>
      </w:r>
    </w:p>
    <w:p w14:paraId="13A95291" w14:textId="77777777" w:rsidR="001870B2" w:rsidRPr="00EA0389" w:rsidRDefault="001870B2" w:rsidP="001870B2">
      <w:pPr>
        <w:spacing w:after="0" w:line="480" w:lineRule="auto"/>
        <w:rPr>
          <w:rFonts w:ascii="Arial" w:eastAsia="Times New Roman" w:hAnsi="Arial" w:cs="Arial"/>
          <w:color w:val="000000"/>
          <w:sz w:val="20"/>
          <w:szCs w:val="24"/>
          <w:lang w:val="en-US" w:eastAsia="en-US"/>
        </w:rPr>
      </w:pPr>
    </w:p>
    <w:p w14:paraId="61D13D2C" w14:textId="77777777" w:rsidR="001870B2" w:rsidRPr="001870B2" w:rsidRDefault="001870B2" w:rsidP="001870B2">
      <w:pPr>
        <w:spacing w:after="0" w:line="480" w:lineRule="auto"/>
        <w:rPr>
          <w:rFonts w:ascii="Arial" w:eastAsia="Times New Roman" w:hAnsi="Arial" w:cs="Arial"/>
          <w:color w:val="000000"/>
          <w:sz w:val="24"/>
          <w:szCs w:val="24"/>
          <w:lang w:val="en-US" w:eastAsia="en-US"/>
        </w:rPr>
      </w:pPr>
      <w:r w:rsidRPr="001870B2">
        <w:rPr>
          <w:rFonts w:ascii="Arial" w:eastAsia="Times New Roman" w:hAnsi="Arial" w:cs="Arial"/>
          <w:b/>
          <w:color w:val="000000"/>
          <w:sz w:val="24"/>
          <w:szCs w:val="24"/>
          <w:lang w:val="en-US" w:eastAsia="en-US"/>
        </w:rPr>
        <w:t>Pharmacological classification:</w:t>
      </w:r>
    </w:p>
    <w:p w14:paraId="3324992D" w14:textId="77777777" w:rsidR="001870B2" w:rsidRPr="001870B2" w:rsidRDefault="001870B2" w:rsidP="001870B2">
      <w:pPr>
        <w:spacing w:after="0" w:line="480" w:lineRule="auto"/>
        <w:rPr>
          <w:rFonts w:ascii="Arial" w:eastAsia="Times New Roman" w:hAnsi="Arial" w:cs="Arial"/>
          <w:color w:val="000000"/>
          <w:sz w:val="24"/>
          <w:szCs w:val="24"/>
          <w:lang w:val="en-US" w:eastAsia="en-US"/>
        </w:rPr>
      </w:pPr>
      <w:r w:rsidRPr="001870B2">
        <w:rPr>
          <w:rFonts w:ascii="Arial" w:eastAsia="Times New Roman" w:hAnsi="Arial" w:cs="Arial"/>
          <w:color w:val="000000"/>
          <w:sz w:val="24"/>
          <w:szCs w:val="24"/>
          <w:lang w:val="en-US" w:eastAsia="en-US"/>
        </w:rPr>
        <w:t>A 7.5 Serum-cholesterol reducers</w:t>
      </w:r>
    </w:p>
    <w:p w14:paraId="1E15252C" w14:textId="77777777" w:rsidR="001870B2" w:rsidRPr="00EA0389" w:rsidRDefault="001870B2" w:rsidP="001870B2">
      <w:pPr>
        <w:spacing w:after="0" w:line="480" w:lineRule="auto"/>
        <w:rPr>
          <w:rFonts w:ascii="Arial" w:eastAsia="Times New Roman" w:hAnsi="Arial" w:cs="Arial"/>
          <w:color w:val="000000"/>
          <w:sz w:val="20"/>
          <w:szCs w:val="24"/>
          <w:lang w:val="en-US" w:eastAsia="en-US"/>
        </w:rPr>
      </w:pPr>
    </w:p>
    <w:p w14:paraId="2C3FC9F3" w14:textId="77777777" w:rsidR="001870B2" w:rsidRPr="001870B2" w:rsidRDefault="001870B2" w:rsidP="001870B2">
      <w:pPr>
        <w:spacing w:after="0" w:line="480" w:lineRule="auto"/>
        <w:rPr>
          <w:rFonts w:ascii="Arial" w:eastAsia="Times New Roman" w:hAnsi="Arial" w:cs="Arial"/>
          <w:b/>
          <w:color w:val="000000"/>
          <w:sz w:val="24"/>
          <w:szCs w:val="24"/>
          <w:lang w:val="en-US" w:eastAsia="en-US"/>
        </w:rPr>
      </w:pPr>
      <w:r w:rsidRPr="001870B2">
        <w:rPr>
          <w:rFonts w:ascii="Arial" w:eastAsia="Times New Roman" w:hAnsi="Arial" w:cs="Arial"/>
          <w:b/>
          <w:color w:val="000000"/>
          <w:sz w:val="24"/>
          <w:szCs w:val="24"/>
          <w:lang w:val="en-US" w:eastAsia="en-US"/>
        </w:rPr>
        <w:t>Pharmacological action:</w:t>
      </w:r>
    </w:p>
    <w:p w14:paraId="26333543" w14:textId="1A2852A7" w:rsidR="001870B2" w:rsidRPr="001870B2" w:rsidRDefault="00FC6FDB" w:rsidP="001870B2">
      <w:pPr>
        <w:spacing w:after="0" w:line="480" w:lineRule="auto"/>
        <w:rPr>
          <w:rFonts w:ascii="Arial" w:eastAsia="Times New Roman" w:hAnsi="Arial" w:cs="Arial"/>
          <w:color w:val="000000"/>
          <w:sz w:val="24"/>
          <w:szCs w:val="24"/>
          <w:lang w:val="en-US" w:eastAsia="en-US"/>
        </w:rPr>
      </w:pPr>
      <w:r>
        <w:rPr>
          <w:rFonts w:ascii="Arial" w:eastAsia="Times New Roman" w:hAnsi="Arial" w:cs="Arial"/>
          <w:color w:val="000000"/>
          <w:sz w:val="24"/>
          <w:szCs w:val="24"/>
          <w:lang w:val="en-US" w:eastAsia="en-US"/>
        </w:rPr>
        <w:t>Simvastatin</w:t>
      </w:r>
      <w:r w:rsidR="001870B2" w:rsidRPr="001870B2">
        <w:rPr>
          <w:rFonts w:ascii="Arial" w:eastAsia="Times New Roman" w:hAnsi="Arial" w:cs="Arial"/>
          <w:color w:val="000000"/>
          <w:sz w:val="24"/>
          <w:szCs w:val="24"/>
          <w:lang w:val="en-US" w:eastAsia="en-US"/>
        </w:rPr>
        <w:t xml:space="preserve"> is a cholesterol-lowering agent derived synthetically from a fermentation product of </w:t>
      </w:r>
      <w:r w:rsidR="001870B2" w:rsidRPr="001870B2">
        <w:rPr>
          <w:rFonts w:ascii="Arial" w:eastAsia="Times New Roman" w:hAnsi="Arial" w:cs="Arial"/>
          <w:i/>
          <w:color w:val="000000"/>
          <w:spacing w:val="6"/>
          <w:sz w:val="24"/>
          <w:szCs w:val="24"/>
          <w:lang w:val="en-US" w:eastAsia="en-US"/>
        </w:rPr>
        <w:t xml:space="preserve">Aspergillus </w:t>
      </w:r>
      <w:r w:rsidR="001870B2" w:rsidRPr="001870B2">
        <w:rPr>
          <w:rFonts w:ascii="Arial" w:eastAsia="Times New Roman" w:hAnsi="Arial" w:cs="Arial"/>
          <w:i/>
          <w:color w:val="000000"/>
          <w:sz w:val="24"/>
          <w:szCs w:val="24"/>
          <w:lang w:val="en-US" w:eastAsia="en-US"/>
        </w:rPr>
        <w:t>terreus</w:t>
      </w:r>
      <w:r w:rsidR="001870B2" w:rsidRPr="001870B2">
        <w:rPr>
          <w:rFonts w:ascii="Arial" w:eastAsia="Times New Roman" w:hAnsi="Arial" w:cs="Arial"/>
          <w:color w:val="000000"/>
          <w:sz w:val="24"/>
          <w:szCs w:val="24"/>
          <w:lang w:val="en-US" w:eastAsia="en-US"/>
        </w:rPr>
        <w:t xml:space="preserve">. After oral ingestion </w:t>
      </w:r>
      <w:r>
        <w:rPr>
          <w:rFonts w:ascii="Arial" w:eastAsia="Times New Roman" w:hAnsi="Arial" w:cs="Arial"/>
          <w:color w:val="000000"/>
          <w:sz w:val="24"/>
          <w:szCs w:val="24"/>
          <w:lang w:val="en-US" w:eastAsia="en-US"/>
        </w:rPr>
        <w:t>simvastatin</w:t>
      </w:r>
      <w:r w:rsidR="001870B2" w:rsidRPr="001870B2">
        <w:rPr>
          <w:rFonts w:ascii="Arial" w:eastAsia="Times New Roman" w:hAnsi="Arial" w:cs="Arial"/>
          <w:color w:val="000000"/>
          <w:sz w:val="24"/>
          <w:szCs w:val="24"/>
          <w:lang w:val="en-US" w:eastAsia="en-US"/>
        </w:rPr>
        <w:t xml:space="preserve">, an inactive lactone, is </w:t>
      </w:r>
      <w:r w:rsidR="001870B2" w:rsidRPr="001870B2">
        <w:rPr>
          <w:rFonts w:ascii="Arial" w:eastAsia="Times New Roman" w:hAnsi="Arial" w:cs="Arial"/>
          <w:color w:val="000000"/>
          <w:sz w:val="24"/>
          <w:szCs w:val="24"/>
          <w:lang w:val="en-US" w:eastAsia="en-US"/>
        </w:rPr>
        <w:lastRenderedPageBreak/>
        <w:t>hydrolysed to the corresponding beta-hydroxyacid, the active f</w:t>
      </w:r>
      <w:r w:rsidR="001870B2" w:rsidRPr="001870B2">
        <w:rPr>
          <w:rFonts w:ascii="Arial" w:eastAsia="Times New Roman" w:hAnsi="Arial" w:cs="Arial"/>
          <w:color w:val="000000"/>
          <w:spacing w:val="-2"/>
          <w:sz w:val="24"/>
          <w:szCs w:val="24"/>
          <w:lang w:val="en-US" w:eastAsia="en-US"/>
        </w:rPr>
        <w:t xml:space="preserve">orm. </w:t>
      </w:r>
      <w:r w:rsidR="001870B2" w:rsidRPr="001870B2">
        <w:rPr>
          <w:rFonts w:ascii="Arial" w:eastAsia="Times New Roman" w:hAnsi="Arial" w:cs="Arial"/>
          <w:color w:val="000000"/>
          <w:sz w:val="24"/>
          <w:szCs w:val="24"/>
          <w:lang w:val="en-US" w:eastAsia="en-US"/>
        </w:rPr>
        <w:t>This is a principal metabolite and an inhibitor of 3-hydroxy-3-methylglutaryl</w:t>
      </w:r>
      <w:r w:rsidR="001870B2" w:rsidRPr="001870B2">
        <w:rPr>
          <w:rFonts w:ascii="Arial" w:eastAsia="Times New Roman" w:hAnsi="Arial" w:cs="Arial"/>
          <w:color w:val="000000"/>
          <w:sz w:val="24"/>
          <w:szCs w:val="24"/>
          <w:lang w:val="en-US" w:eastAsia="en-US"/>
        </w:rPr>
        <w:softHyphen/>
        <w:t xml:space="preserve"> coenzyme A (HMG-CoA) reductase, the enzyme that catalyses the conversion of HMG-CoA to mevalonate, an early and rate-limiting step in the biosynthesis of cholesterol. As a result, </w:t>
      </w:r>
      <w:r>
        <w:rPr>
          <w:rFonts w:ascii="Arial" w:eastAsia="Times New Roman" w:hAnsi="Arial" w:cs="Arial"/>
          <w:color w:val="000000"/>
          <w:sz w:val="24"/>
          <w:szCs w:val="24"/>
          <w:lang w:val="en-US" w:eastAsia="en-US"/>
        </w:rPr>
        <w:t>simvastatin</w:t>
      </w:r>
      <w:r w:rsidR="001870B2" w:rsidRPr="001870B2">
        <w:rPr>
          <w:rFonts w:ascii="Arial" w:eastAsia="Times New Roman" w:hAnsi="Arial" w:cs="Arial"/>
          <w:color w:val="000000"/>
          <w:sz w:val="24"/>
          <w:szCs w:val="24"/>
          <w:lang w:val="en-US" w:eastAsia="en-US"/>
        </w:rPr>
        <w:t>, reduces total plasma cholesterol, low</w:t>
      </w:r>
      <w:r w:rsidR="001870B2" w:rsidRPr="001870B2">
        <w:rPr>
          <w:rFonts w:ascii="Arial" w:eastAsia="Times New Roman" w:hAnsi="Arial" w:cs="Arial"/>
          <w:color w:val="000000"/>
          <w:sz w:val="24"/>
          <w:szCs w:val="24"/>
          <w:lang w:val="en-US" w:eastAsia="en-US"/>
        </w:rPr>
        <w:softHyphen/>
        <w:t xml:space="preserve">-density lipoprotein (LDL) and very low-density lipoprotein (VLDL)-cholesterol concentrations. Apolipoprotein B is also decreased. In addition, </w:t>
      </w:r>
      <w:r>
        <w:rPr>
          <w:rFonts w:ascii="Arial" w:eastAsia="Times New Roman" w:hAnsi="Arial" w:cs="Arial"/>
          <w:color w:val="000000"/>
          <w:sz w:val="24"/>
          <w:szCs w:val="24"/>
          <w:lang w:val="en-US" w:eastAsia="en-US"/>
        </w:rPr>
        <w:t>simvastatin</w:t>
      </w:r>
      <w:r w:rsidR="001870B2" w:rsidRPr="001870B2">
        <w:rPr>
          <w:rFonts w:ascii="Arial" w:eastAsia="Times New Roman" w:hAnsi="Arial" w:cs="Arial"/>
          <w:color w:val="000000"/>
          <w:sz w:val="24"/>
          <w:szCs w:val="24"/>
          <w:lang w:val="en-US" w:eastAsia="en-US"/>
        </w:rPr>
        <w:t xml:space="preserve"> moderately increases high-density lipoprotein (HDL)-cholesterol and variably reduces plasma triglycerides.</w:t>
      </w:r>
    </w:p>
    <w:p w14:paraId="158F17D8" w14:textId="77777777" w:rsidR="001870B2" w:rsidRPr="001870B2" w:rsidRDefault="001870B2" w:rsidP="001870B2">
      <w:pPr>
        <w:spacing w:after="0" w:line="480" w:lineRule="auto"/>
        <w:rPr>
          <w:rFonts w:ascii="Arial" w:eastAsia="Times New Roman" w:hAnsi="Arial" w:cs="Arial"/>
          <w:color w:val="000000"/>
          <w:sz w:val="24"/>
          <w:szCs w:val="24"/>
          <w:u w:val="single"/>
          <w:lang w:val="en-US" w:eastAsia="en-US"/>
        </w:rPr>
      </w:pPr>
    </w:p>
    <w:p w14:paraId="2D927E67" w14:textId="77777777" w:rsidR="001870B2" w:rsidRPr="001870B2" w:rsidRDefault="001870B2" w:rsidP="001870B2">
      <w:pPr>
        <w:spacing w:after="0" w:line="480" w:lineRule="auto"/>
        <w:rPr>
          <w:rFonts w:ascii="Arial" w:eastAsia="Times New Roman" w:hAnsi="Arial" w:cs="Arial"/>
          <w:b/>
          <w:i/>
          <w:color w:val="000000"/>
          <w:sz w:val="24"/>
          <w:szCs w:val="24"/>
          <w:lang w:val="en-US" w:eastAsia="en-US"/>
        </w:rPr>
      </w:pPr>
      <w:r w:rsidRPr="001870B2">
        <w:rPr>
          <w:rFonts w:ascii="Arial" w:eastAsia="Times New Roman" w:hAnsi="Arial" w:cs="Arial"/>
          <w:b/>
          <w:i/>
          <w:color w:val="000000"/>
          <w:sz w:val="24"/>
          <w:szCs w:val="24"/>
          <w:lang w:val="en-US" w:eastAsia="en-US"/>
        </w:rPr>
        <w:t>Pharmacokinetics:</w:t>
      </w:r>
    </w:p>
    <w:p w14:paraId="68081373" w14:textId="77777777" w:rsidR="001870B2" w:rsidRPr="001870B2" w:rsidRDefault="001870B2" w:rsidP="001870B2">
      <w:pPr>
        <w:spacing w:after="0" w:line="480" w:lineRule="auto"/>
        <w:rPr>
          <w:rFonts w:ascii="Arial" w:eastAsia="Times New Roman" w:hAnsi="Arial" w:cs="Arial"/>
          <w:color w:val="000000"/>
          <w:sz w:val="24"/>
          <w:szCs w:val="24"/>
          <w:lang w:val="en-US" w:eastAsia="en-US"/>
        </w:rPr>
      </w:pPr>
      <w:r w:rsidRPr="001870B2">
        <w:rPr>
          <w:rFonts w:ascii="Arial" w:eastAsia="Times New Roman" w:hAnsi="Arial" w:cs="Arial"/>
          <w:color w:val="000000"/>
          <w:sz w:val="24"/>
          <w:szCs w:val="24"/>
          <w:lang w:val="en-US" w:eastAsia="en-US"/>
        </w:rPr>
        <w:t>There is extensive first-pass extraction by the liver, with oral bioavailability of the</w:t>
      </w:r>
    </w:p>
    <w:p w14:paraId="18DF2169" w14:textId="3ACD2818" w:rsidR="001870B2" w:rsidRPr="001870B2" w:rsidRDefault="001870B2" w:rsidP="001870B2">
      <w:pPr>
        <w:spacing w:after="0" w:line="480" w:lineRule="auto"/>
        <w:rPr>
          <w:rFonts w:ascii="Arial" w:eastAsia="Times New Roman" w:hAnsi="Arial" w:cs="Arial"/>
          <w:color w:val="000000"/>
          <w:sz w:val="24"/>
          <w:szCs w:val="24"/>
          <w:lang w:val="en-US" w:eastAsia="en-US"/>
        </w:rPr>
      </w:pPr>
      <w:r w:rsidRPr="001870B2">
        <w:rPr>
          <w:rFonts w:ascii="Arial" w:eastAsia="Times New Roman" w:hAnsi="Arial" w:cs="Arial"/>
          <w:color w:val="000000"/>
          <w:sz w:val="24"/>
          <w:szCs w:val="24"/>
          <w:lang w:val="en-US" w:eastAsia="en-US"/>
        </w:rPr>
        <w:t xml:space="preserve">active medicine or metabolites being less than 5 %. More than 95 % of </w:t>
      </w:r>
      <w:r w:rsidR="00FC6FDB">
        <w:rPr>
          <w:rFonts w:ascii="Arial" w:eastAsia="Times New Roman" w:hAnsi="Arial" w:cs="Arial"/>
          <w:color w:val="000000"/>
          <w:sz w:val="24"/>
          <w:szCs w:val="24"/>
          <w:lang w:val="en-US" w:eastAsia="en-US"/>
        </w:rPr>
        <w:t>simvastatin</w:t>
      </w:r>
      <w:r w:rsidRPr="001870B2">
        <w:rPr>
          <w:rFonts w:ascii="Arial" w:eastAsia="Times New Roman" w:hAnsi="Arial" w:cs="Arial"/>
          <w:color w:val="000000"/>
          <w:sz w:val="24"/>
          <w:szCs w:val="24"/>
          <w:lang w:val="en-US" w:eastAsia="en-US"/>
        </w:rPr>
        <w:t xml:space="preserve"> and its beta-hydroxy metabolite are bound to plasma proteins. Following an oral dose, peak plasma concentrations of </w:t>
      </w:r>
      <w:r w:rsidR="00FC6FDB">
        <w:rPr>
          <w:rFonts w:ascii="Arial" w:eastAsia="Times New Roman" w:hAnsi="Arial" w:cs="Arial"/>
          <w:color w:val="000000"/>
          <w:sz w:val="24"/>
          <w:szCs w:val="24"/>
          <w:lang w:val="en-US" w:eastAsia="en-US"/>
        </w:rPr>
        <w:t>simvastatin</w:t>
      </w:r>
      <w:r w:rsidRPr="001870B2">
        <w:rPr>
          <w:rFonts w:ascii="Arial" w:eastAsia="Times New Roman" w:hAnsi="Arial" w:cs="Arial"/>
          <w:color w:val="000000"/>
          <w:sz w:val="24"/>
          <w:szCs w:val="24"/>
          <w:lang w:val="en-US" w:eastAsia="en-US"/>
        </w:rPr>
        <w:t xml:space="preserve"> are seen in 1 to 2 hours. </w:t>
      </w:r>
      <w:r w:rsidR="00FC6FDB">
        <w:rPr>
          <w:rFonts w:ascii="Arial" w:eastAsia="Times New Roman" w:hAnsi="Arial" w:cs="Arial"/>
          <w:color w:val="000000"/>
          <w:sz w:val="24"/>
          <w:szCs w:val="24"/>
          <w:lang w:val="en-US" w:eastAsia="en-US"/>
        </w:rPr>
        <w:t>Simvastatin</w:t>
      </w:r>
      <w:r w:rsidRPr="001870B2">
        <w:rPr>
          <w:rFonts w:ascii="Arial" w:eastAsia="Times New Roman" w:hAnsi="Arial" w:cs="Arial"/>
          <w:color w:val="000000"/>
          <w:sz w:val="24"/>
          <w:szCs w:val="24"/>
          <w:lang w:val="en-US" w:eastAsia="en-US"/>
        </w:rPr>
        <w:t xml:space="preserve"> is excreted primarily via the liver, and less than 13 % of its metabolites are excreted in the urine.</w:t>
      </w:r>
    </w:p>
    <w:p w14:paraId="43116B92" w14:textId="77777777" w:rsidR="001870B2" w:rsidRPr="001870B2" w:rsidRDefault="001870B2" w:rsidP="001870B2">
      <w:pPr>
        <w:spacing w:after="0" w:line="480" w:lineRule="auto"/>
        <w:rPr>
          <w:rFonts w:ascii="Arial" w:eastAsia="Times New Roman" w:hAnsi="Arial" w:cs="Arial"/>
          <w:b/>
          <w:color w:val="000000"/>
          <w:sz w:val="24"/>
          <w:szCs w:val="24"/>
          <w:lang w:val="en-US" w:eastAsia="en-US"/>
        </w:rPr>
      </w:pPr>
    </w:p>
    <w:p w14:paraId="0E58A33F" w14:textId="77777777" w:rsidR="001870B2" w:rsidRPr="001870B2" w:rsidRDefault="001870B2" w:rsidP="001870B2">
      <w:pPr>
        <w:spacing w:after="0" w:line="480" w:lineRule="auto"/>
        <w:rPr>
          <w:rFonts w:ascii="Arial" w:eastAsia="Times New Roman" w:hAnsi="Arial" w:cs="Arial"/>
          <w:b/>
          <w:color w:val="000000"/>
          <w:sz w:val="24"/>
          <w:szCs w:val="24"/>
          <w:lang w:val="en-US" w:eastAsia="en-US"/>
        </w:rPr>
      </w:pPr>
      <w:r w:rsidRPr="001870B2">
        <w:rPr>
          <w:rFonts w:ascii="Arial" w:eastAsia="Times New Roman" w:hAnsi="Arial" w:cs="Arial"/>
          <w:b/>
          <w:color w:val="000000"/>
          <w:sz w:val="24"/>
          <w:szCs w:val="24"/>
          <w:lang w:val="en-US" w:eastAsia="en-US"/>
        </w:rPr>
        <w:t>Indications:</w:t>
      </w:r>
    </w:p>
    <w:p w14:paraId="797B6E3E" w14:textId="77777777" w:rsidR="001870B2" w:rsidRPr="001870B2" w:rsidRDefault="001870B2" w:rsidP="001870B2">
      <w:pPr>
        <w:spacing w:after="0" w:line="480" w:lineRule="auto"/>
        <w:rPr>
          <w:rFonts w:ascii="Arial" w:eastAsia="Times New Roman" w:hAnsi="Arial" w:cs="Arial"/>
          <w:b/>
          <w:i/>
          <w:color w:val="000000"/>
          <w:sz w:val="24"/>
          <w:szCs w:val="24"/>
          <w:lang w:val="en-US" w:eastAsia="en-US"/>
        </w:rPr>
      </w:pPr>
      <w:r w:rsidRPr="001870B2">
        <w:rPr>
          <w:rFonts w:ascii="Arial" w:eastAsia="Times New Roman" w:hAnsi="Arial" w:cs="Arial"/>
          <w:b/>
          <w:i/>
          <w:color w:val="000000"/>
          <w:sz w:val="24"/>
          <w:szCs w:val="24"/>
          <w:lang w:val="en-US" w:eastAsia="en-US"/>
        </w:rPr>
        <w:t>Hypercholesterolaemia:</w:t>
      </w:r>
    </w:p>
    <w:p w14:paraId="0F412FDF" w14:textId="2F31D6E9" w:rsidR="001870B2" w:rsidRPr="001870B2" w:rsidRDefault="00797DFA" w:rsidP="001870B2">
      <w:pPr>
        <w:spacing w:after="0" w:line="480" w:lineRule="auto"/>
        <w:rPr>
          <w:rFonts w:ascii="Arial" w:eastAsia="Times New Roman" w:hAnsi="Arial" w:cs="Arial"/>
          <w:color w:val="000000"/>
          <w:sz w:val="24"/>
          <w:szCs w:val="24"/>
          <w:lang w:val="en-US" w:eastAsia="en-US"/>
        </w:rPr>
      </w:pPr>
      <w:r>
        <w:rPr>
          <w:rFonts w:ascii="Arial" w:eastAsia="Times New Roman" w:hAnsi="Arial" w:cs="Arial"/>
          <w:color w:val="000000"/>
          <w:sz w:val="24"/>
          <w:szCs w:val="24"/>
          <w:lang w:val="en-US" w:eastAsia="en-US"/>
        </w:rPr>
        <w:t>LIPIDEX</w:t>
      </w:r>
      <w:r w:rsidR="004A02F7">
        <w:rPr>
          <w:rFonts w:ascii="Arial" w:eastAsia="Times New Roman" w:hAnsi="Arial" w:cs="Arial"/>
          <w:color w:val="000000"/>
          <w:sz w:val="24"/>
          <w:szCs w:val="24"/>
          <w:lang w:val="en-US" w:eastAsia="en-US"/>
        </w:rPr>
        <w:t xml:space="preserve"> </w:t>
      </w:r>
      <w:r w:rsidR="001870B2" w:rsidRPr="001870B2">
        <w:rPr>
          <w:rFonts w:ascii="Arial" w:eastAsia="Times New Roman" w:hAnsi="Arial" w:cs="Arial"/>
          <w:color w:val="000000"/>
          <w:sz w:val="24"/>
          <w:szCs w:val="24"/>
          <w:lang w:val="en-US" w:eastAsia="en-US"/>
        </w:rPr>
        <w:t xml:space="preserve">is indicated, in combination with diet, to decrease elevated serum total cholesterol and LDL-cholesterol in patients with: </w:t>
      </w:r>
    </w:p>
    <w:p w14:paraId="52D62E57" w14:textId="77777777" w:rsidR="001870B2" w:rsidRPr="001870B2" w:rsidRDefault="001870B2" w:rsidP="001870B2">
      <w:pPr>
        <w:spacing w:after="0" w:line="480" w:lineRule="auto"/>
        <w:rPr>
          <w:rFonts w:ascii="Arial" w:eastAsia="Times New Roman" w:hAnsi="Arial" w:cs="Arial"/>
          <w:color w:val="000000"/>
          <w:sz w:val="24"/>
          <w:szCs w:val="24"/>
          <w:lang w:val="en-US" w:eastAsia="en-US"/>
        </w:rPr>
      </w:pPr>
      <w:r w:rsidRPr="001870B2">
        <w:rPr>
          <w:rFonts w:ascii="Arial" w:eastAsia="Times New Roman" w:hAnsi="Arial" w:cs="Arial"/>
          <w:color w:val="000000"/>
          <w:sz w:val="24"/>
          <w:szCs w:val="24"/>
          <w:lang w:val="en-US" w:eastAsia="en-US"/>
        </w:rPr>
        <w:t>•</w:t>
      </w:r>
      <w:r w:rsidRPr="001870B2">
        <w:rPr>
          <w:rFonts w:ascii="Arial" w:eastAsia="Times New Roman" w:hAnsi="Arial" w:cs="Arial"/>
          <w:color w:val="000000"/>
          <w:sz w:val="24"/>
          <w:szCs w:val="24"/>
          <w:lang w:val="en-US" w:eastAsia="en-US"/>
        </w:rPr>
        <w:tab/>
        <w:t xml:space="preserve">Primary hypercholesterolaemia, </w:t>
      </w:r>
    </w:p>
    <w:p w14:paraId="7DBC9F83" w14:textId="77777777" w:rsidR="001870B2" w:rsidRPr="001870B2" w:rsidRDefault="001870B2" w:rsidP="001870B2">
      <w:pPr>
        <w:spacing w:after="0" w:line="480" w:lineRule="auto"/>
        <w:rPr>
          <w:rFonts w:ascii="Arial" w:eastAsia="Times New Roman" w:hAnsi="Arial" w:cs="Arial"/>
          <w:color w:val="000000"/>
          <w:sz w:val="24"/>
          <w:szCs w:val="24"/>
          <w:lang w:val="en-US" w:eastAsia="en-US"/>
        </w:rPr>
      </w:pPr>
      <w:r w:rsidRPr="001870B2">
        <w:rPr>
          <w:rFonts w:ascii="Arial" w:eastAsia="Times New Roman" w:hAnsi="Arial" w:cs="Arial"/>
          <w:color w:val="000000"/>
          <w:sz w:val="24"/>
          <w:szCs w:val="24"/>
          <w:lang w:val="en-US" w:eastAsia="en-US"/>
        </w:rPr>
        <w:t>•</w:t>
      </w:r>
      <w:r w:rsidRPr="001870B2">
        <w:rPr>
          <w:rFonts w:ascii="Arial" w:eastAsia="Times New Roman" w:hAnsi="Arial" w:cs="Arial"/>
          <w:color w:val="000000"/>
          <w:sz w:val="24"/>
          <w:szCs w:val="24"/>
          <w:lang w:val="en-US" w:eastAsia="en-US"/>
        </w:rPr>
        <w:tab/>
        <w:t>Heterozygous familial hypercholesterolaemia, or</w:t>
      </w:r>
    </w:p>
    <w:p w14:paraId="4840519C" w14:textId="77777777" w:rsidR="001870B2" w:rsidRPr="001870B2" w:rsidRDefault="001870B2" w:rsidP="001870B2">
      <w:pPr>
        <w:spacing w:after="0" w:line="480" w:lineRule="auto"/>
        <w:rPr>
          <w:rFonts w:ascii="Arial" w:eastAsia="Times New Roman" w:hAnsi="Arial" w:cs="Arial"/>
          <w:color w:val="000000"/>
          <w:sz w:val="24"/>
          <w:szCs w:val="24"/>
          <w:lang w:val="en-US" w:eastAsia="en-US"/>
        </w:rPr>
      </w:pPr>
      <w:r w:rsidRPr="001870B2">
        <w:rPr>
          <w:rFonts w:ascii="Arial" w:eastAsia="Times New Roman" w:hAnsi="Arial" w:cs="Arial"/>
          <w:color w:val="000000"/>
          <w:sz w:val="24"/>
          <w:szCs w:val="24"/>
          <w:lang w:val="en-US" w:eastAsia="en-US"/>
        </w:rPr>
        <w:t>•</w:t>
      </w:r>
      <w:r w:rsidRPr="001870B2">
        <w:rPr>
          <w:rFonts w:ascii="Arial" w:eastAsia="Times New Roman" w:hAnsi="Arial" w:cs="Arial"/>
          <w:color w:val="000000"/>
          <w:sz w:val="24"/>
          <w:szCs w:val="24"/>
          <w:lang w:val="en-US" w:eastAsia="en-US"/>
        </w:rPr>
        <w:tab/>
        <w:t>Mixed hyperlipidaemia,</w:t>
      </w:r>
    </w:p>
    <w:p w14:paraId="6687B299" w14:textId="77777777" w:rsidR="001870B2" w:rsidRPr="001870B2" w:rsidRDefault="001870B2" w:rsidP="001870B2">
      <w:pPr>
        <w:spacing w:after="0" w:line="480" w:lineRule="auto"/>
        <w:rPr>
          <w:rFonts w:ascii="Arial" w:eastAsia="Times New Roman" w:hAnsi="Arial" w:cs="Arial"/>
          <w:color w:val="000000"/>
          <w:sz w:val="24"/>
          <w:szCs w:val="24"/>
          <w:lang w:val="en-US" w:eastAsia="en-US"/>
        </w:rPr>
      </w:pPr>
      <w:r w:rsidRPr="001870B2">
        <w:rPr>
          <w:rFonts w:ascii="Arial" w:eastAsia="Times New Roman" w:hAnsi="Arial" w:cs="Arial"/>
          <w:color w:val="000000"/>
          <w:sz w:val="24"/>
          <w:szCs w:val="24"/>
          <w:lang w:val="en-US" w:eastAsia="en-US"/>
        </w:rPr>
        <w:t xml:space="preserve">when response to diet or other nonpharmacological measures alone is not adequate. </w:t>
      </w:r>
    </w:p>
    <w:p w14:paraId="7EDB8B1E" w14:textId="77777777" w:rsidR="001870B2" w:rsidRPr="001870B2" w:rsidRDefault="001870B2" w:rsidP="001870B2">
      <w:pPr>
        <w:spacing w:after="0" w:line="480" w:lineRule="auto"/>
        <w:rPr>
          <w:rFonts w:ascii="Arial" w:eastAsia="Times New Roman" w:hAnsi="Arial" w:cs="Arial"/>
          <w:b/>
          <w:i/>
          <w:color w:val="000000"/>
          <w:sz w:val="24"/>
          <w:szCs w:val="24"/>
          <w:lang w:val="en-US" w:eastAsia="en-US"/>
        </w:rPr>
      </w:pPr>
      <w:r w:rsidRPr="001870B2">
        <w:rPr>
          <w:rFonts w:ascii="Arial" w:eastAsia="Times New Roman" w:hAnsi="Arial" w:cs="Arial"/>
          <w:b/>
          <w:i/>
          <w:color w:val="000000"/>
          <w:sz w:val="24"/>
          <w:szCs w:val="24"/>
          <w:lang w:val="en-US" w:eastAsia="en-US"/>
        </w:rPr>
        <w:lastRenderedPageBreak/>
        <w:t>Coronary heart disease:</w:t>
      </w:r>
    </w:p>
    <w:p w14:paraId="4775018C" w14:textId="2E8D019D" w:rsidR="001870B2" w:rsidRPr="001870B2" w:rsidRDefault="00797DFA" w:rsidP="001870B2">
      <w:pPr>
        <w:spacing w:after="0" w:line="480" w:lineRule="auto"/>
        <w:rPr>
          <w:rFonts w:ascii="Arial" w:eastAsia="Times New Roman" w:hAnsi="Arial" w:cs="Arial"/>
          <w:color w:val="000000"/>
          <w:sz w:val="24"/>
          <w:szCs w:val="24"/>
          <w:lang w:val="en-US" w:eastAsia="en-US"/>
        </w:rPr>
      </w:pPr>
      <w:r>
        <w:rPr>
          <w:rFonts w:ascii="Arial" w:eastAsia="Times New Roman" w:hAnsi="Arial" w:cs="Arial"/>
          <w:color w:val="000000"/>
          <w:sz w:val="24"/>
          <w:szCs w:val="24"/>
          <w:lang w:val="en-US" w:eastAsia="en-US"/>
        </w:rPr>
        <w:t>LIPIDEX</w:t>
      </w:r>
      <w:r w:rsidR="004A02F7">
        <w:rPr>
          <w:rFonts w:ascii="Arial" w:eastAsia="Times New Roman" w:hAnsi="Arial" w:cs="Arial"/>
          <w:color w:val="000000"/>
          <w:sz w:val="24"/>
          <w:szCs w:val="24"/>
          <w:lang w:val="en-US" w:eastAsia="en-US"/>
        </w:rPr>
        <w:t xml:space="preserve"> </w:t>
      </w:r>
      <w:r w:rsidR="001870B2" w:rsidRPr="001870B2">
        <w:rPr>
          <w:rFonts w:ascii="Arial" w:eastAsia="Times New Roman" w:hAnsi="Arial" w:cs="Arial"/>
          <w:color w:val="000000"/>
          <w:sz w:val="24"/>
          <w:szCs w:val="24"/>
          <w:lang w:val="en-US" w:eastAsia="en-US"/>
        </w:rPr>
        <w:t>is indicated in patients with coronary heart disease and hypercholesterolaemia unresponsive to diet, to:</w:t>
      </w:r>
    </w:p>
    <w:p w14:paraId="6EC9373E" w14:textId="77777777" w:rsidR="001870B2" w:rsidRPr="001870B2" w:rsidRDefault="001870B2" w:rsidP="001870B2">
      <w:pPr>
        <w:spacing w:after="0" w:line="480" w:lineRule="auto"/>
        <w:rPr>
          <w:rFonts w:ascii="Arial" w:eastAsia="Times New Roman" w:hAnsi="Arial" w:cs="Arial"/>
          <w:color w:val="000000"/>
          <w:sz w:val="24"/>
          <w:szCs w:val="24"/>
          <w:lang w:val="en-US" w:eastAsia="en-US"/>
        </w:rPr>
      </w:pPr>
      <w:r w:rsidRPr="001870B2">
        <w:rPr>
          <w:rFonts w:ascii="Arial" w:eastAsia="Times New Roman" w:hAnsi="Arial" w:cs="Arial"/>
          <w:color w:val="000000"/>
          <w:sz w:val="24"/>
          <w:szCs w:val="24"/>
          <w:lang w:val="en-US" w:eastAsia="en-US"/>
        </w:rPr>
        <w:t>•</w:t>
      </w:r>
      <w:r w:rsidRPr="001870B2">
        <w:rPr>
          <w:rFonts w:ascii="Arial" w:eastAsia="Times New Roman" w:hAnsi="Arial" w:cs="Arial"/>
          <w:color w:val="000000"/>
          <w:sz w:val="24"/>
          <w:szCs w:val="24"/>
          <w:lang w:val="en-US" w:eastAsia="en-US"/>
        </w:rPr>
        <w:tab/>
        <w:t>Reduce the risk of total mortality, by reducing coronary death,</w:t>
      </w:r>
    </w:p>
    <w:p w14:paraId="38592821" w14:textId="77777777" w:rsidR="001870B2" w:rsidRPr="001870B2" w:rsidRDefault="001870B2" w:rsidP="001870B2">
      <w:pPr>
        <w:spacing w:after="0" w:line="480" w:lineRule="auto"/>
        <w:rPr>
          <w:rFonts w:ascii="Arial" w:eastAsia="Times New Roman" w:hAnsi="Arial" w:cs="Arial"/>
          <w:color w:val="000000"/>
          <w:sz w:val="24"/>
          <w:szCs w:val="24"/>
          <w:lang w:val="en-US" w:eastAsia="en-US"/>
        </w:rPr>
      </w:pPr>
      <w:r w:rsidRPr="001870B2">
        <w:rPr>
          <w:rFonts w:ascii="Arial" w:eastAsia="Times New Roman" w:hAnsi="Arial" w:cs="Arial"/>
          <w:color w:val="000000"/>
          <w:sz w:val="24"/>
          <w:szCs w:val="24"/>
          <w:lang w:val="en-US" w:eastAsia="en-US"/>
        </w:rPr>
        <w:t>•</w:t>
      </w:r>
      <w:r w:rsidRPr="001870B2">
        <w:rPr>
          <w:rFonts w:ascii="Arial" w:eastAsia="Times New Roman" w:hAnsi="Arial" w:cs="Arial"/>
          <w:color w:val="000000"/>
          <w:sz w:val="24"/>
          <w:szCs w:val="24"/>
          <w:lang w:val="en-US" w:eastAsia="en-US"/>
        </w:rPr>
        <w:tab/>
        <w:t>Reduce the risk of non-fatal myocardial infarction,</w:t>
      </w:r>
    </w:p>
    <w:p w14:paraId="4F655553" w14:textId="77777777" w:rsidR="001870B2" w:rsidRPr="001870B2" w:rsidRDefault="001870B2" w:rsidP="001870B2">
      <w:pPr>
        <w:spacing w:after="0" w:line="480" w:lineRule="auto"/>
        <w:rPr>
          <w:rFonts w:ascii="Arial" w:eastAsia="Times New Roman" w:hAnsi="Arial" w:cs="Arial"/>
          <w:color w:val="000000"/>
          <w:sz w:val="24"/>
          <w:szCs w:val="24"/>
          <w:lang w:val="en-US" w:eastAsia="en-US"/>
        </w:rPr>
      </w:pPr>
      <w:r w:rsidRPr="001870B2">
        <w:rPr>
          <w:rFonts w:ascii="Arial" w:eastAsia="Times New Roman" w:hAnsi="Arial" w:cs="Arial"/>
          <w:color w:val="000000"/>
          <w:sz w:val="24"/>
          <w:szCs w:val="24"/>
          <w:lang w:val="en-US" w:eastAsia="en-US"/>
        </w:rPr>
        <w:t>•</w:t>
      </w:r>
      <w:r w:rsidRPr="001870B2">
        <w:rPr>
          <w:rFonts w:ascii="Arial" w:eastAsia="Times New Roman" w:hAnsi="Arial" w:cs="Arial"/>
          <w:color w:val="000000"/>
          <w:sz w:val="24"/>
          <w:szCs w:val="24"/>
          <w:lang w:val="en-US" w:eastAsia="en-US"/>
        </w:rPr>
        <w:tab/>
        <w:t>Reduce the risk of undergoing myocardial revascularisation procedures (coronary artery bypass grafting and percutaneous transluminal coronary angioplasty), and</w:t>
      </w:r>
    </w:p>
    <w:p w14:paraId="7D873B19" w14:textId="77777777" w:rsidR="001870B2" w:rsidRPr="001870B2" w:rsidRDefault="001870B2" w:rsidP="001870B2">
      <w:pPr>
        <w:spacing w:after="0" w:line="480" w:lineRule="auto"/>
        <w:rPr>
          <w:rFonts w:ascii="Arial" w:eastAsia="Times New Roman" w:hAnsi="Arial" w:cs="Arial"/>
          <w:color w:val="000000"/>
          <w:sz w:val="24"/>
          <w:szCs w:val="24"/>
          <w:lang w:val="en-US" w:eastAsia="en-US"/>
        </w:rPr>
      </w:pPr>
      <w:r w:rsidRPr="001870B2">
        <w:rPr>
          <w:rFonts w:ascii="Arial" w:eastAsia="Times New Roman" w:hAnsi="Arial" w:cs="Arial"/>
          <w:color w:val="000000"/>
          <w:sz w:val="24"/>
          <w:szCs w:val="24"/>
          <w:lang w:val="en-US" w:eastAsia="en-US"/>
        </w:rPr>
        <w:t>•</w:t>
      </w:r>
      <w:r w:rsidRPr="001870B2">
        <w:rPr>
          <w:rFonts w:ascii="Arial" w:eastAsia="Times New Roman" w:hAnsi="Arial" w:cs="Arial"/>
          <w:color w:val="000000"/>
          <w:sz w:val="24"/>
          <w:szCs w:val="24"/>
          <w:lang w:val="en-US" w:eastAsia="en-US"/>
        </w:rPr>
        <w:tab/>
        <w:t>Slow the progression of coronary atherosclerosis</w:t>
      </w:r>
    </w:p>
    <w:p w14:paraId="47F32824" w14:textId="77777777" w:rsidR="001870B2" w:rsidRPr="001870B2" w:rsidRDefault="001870B2" w:rsidP="001870B2">
      <w:pPr>
        <w:spacing w:after="0" w:line="480" w:lineRule="auto"/>
        <w:rPr>
          <w:rFonts w:ascii="Arial" w:eastAsia="Times New Roman" w:hAnsi="Arial" w:cs="Arial"/>
          <w:b/>
          <w:color w:val="000000"/>
          <w:sz w:val="24"/>
          <w:szCs w:val="24"/>
          <w:lang w:val="en-US" w:eastAsia="en-US"/>
        </w:rPr>
      </w:pPr>
    </w:p>
    <w:p w14:paraId="5657C2DF" w14:textId="77777777" w:rsidR="001870B2" w:rsidRPr="001870B2" w:rsidRDefault="001870B2" w:rsidP="001870B2">
      <w:pPr>
        <w:spacing w:after="0" w:line="480" w:lineRule="auto"/>
        <w:rPr>
          <w:rFonts w:ascii="Arial" w:eastAsia="Times New Roman" w:hAnsi="Arial" w:cs="Arial"/>
          <w:b/>
          <w:color w:val="000000"/>
          <w:sz w:val="24"/>
          <w:szCs w:val="24"/>
          <w:lang w:val="en-US" w:eastAsia="en-US"/>
        </w:rPr>
      </w:pPr>
      <w:r w:rsidRPr="001870B2">
        <w:rPr>
          <w:rFonts w:ascii="Arial" w:eastAsia="Times New Roman" w:hAnsi="Arial" w:cs="Arial"/>
          <w:b/>
          <w:color w:val="000000"/>
          <w:sz w:val="24"/>
          <w:szCs w:val="24"/>
          <w:lang w:val="en-US" w:eastAsia="en-US"/>
        </w:rPr>
        <w:t>Contra-indications:</w:t>
      </w:r>
    </w:p>
    <w:p w14:paraId="7FDBBE06" w14:textId="5ECFADA2" w:rsidR="001870B2" w:rsidRPr="001870B2" w:rsidRDefault="001870B2" w:rsidP="001870B2">
      <w:pPr>
        <w:spacing w:after="0" w:line="480" w:lineRule="auto"/>
        <w:rPr>
          <w:rFonts w:ascii="Arial" w:eastAsia="Times New Roman" w:hAnsi="Arial" w:cs="Arial"/>
          <w:color w:val="000000"/>
          <w:sz w:val="24"/>
          <w:szCs w:val="24"/>
          <w:lang w:val="en-US" w:eastAsia="en-US"/>
        </w:rPr>
      </w:pPr>
      <w:r w:rsidRPr="001870B2">
        <w:rPr>
          <w:rFonts w:ascii="Arial" w:eastAsia="Times New Roman" w:hAnsi="Arial" w:cs="Arial"/>
          <w:color w:val="000000"/>
          <w:sz w:val="24"/>
          <w:szCs w:val="24"/>
          <w:lang w:val="en-US" w:eastAsia="en-US"/>
        </w:rPr>
        <w:t xml:space="preserve">Hypersensitivity to </w:t>
      </w:r>
      <w:r w:rsidR="00FC6FDB">
        <w:rPr>
          <w:rFonts w:ascii="Arial" w:eastAsia="Times New Roman" w:hAnsi="Arial" w:cs="Arial"/>
          <w:color w:val="000000"/>
          <w:sz w:val="24"/>
          <w:szCs w:val="24"/>
          <w:lang w:val="en-US" w:eastAsia="en-US"/>
        </w:rPr>
        <w:t>simvastatin</w:t>
      </w:r>
      <w:r w:rsidRPr="001870B2">
        <w:rPr>
          <w:rFonts w:ascii="Arial" w:eastAsia="Times New Roman" w:hAnsi="Arial" w:cs="Arial"/>
          <w:color w:val="000000"/>
          <w:sz w:val="24"/>
          <w:szCs w:val="24"/>
          <w:lang w:val="en-US" w:eastAsia="en-US"/>
        </w:rPr>
        <w:t>, other HMG-CoA reductase inhibitors, or any of the ingredients.</w:t>
      </w:r>
    </w:p>
    <w:p w14:paraId="2C15E44B" w14:textId="77777777" w:rsidR="001870B2" w:rsidRPr="001870B2" w:rsidRDefault="001870B2" w:rsidP="001870B2">
      <w:pPr>
        <w:spacing w:after="0" w:line="480" w:lineRule="auto"/>
        <w:rPr>
          <w:rFonts w:ascii="Arial" w:eastAsia="Times New Roman" w:hAnsi="Arial" w:cs="Arial"/>
          <w:color w:val="000000"/>
          <w:sz w:val="24"/>
          <w:szCs w:val="24"/>
          <w:lang w:val="en-US" w:eastAsia="en-US"/>
        </w:rPr>
      </w:pPr>
      <w:r w:rsidRPr="001870B2">
        <w:rPr>
          <w:rFonts w:ascii="Arial" w:eastAsia="Times New Roman" w:hAnsi="Arial" w:cs="Arial"/>
          <w:color w:val="000000"/>
          <w:sz w:val="24"/>
          <w:szCs w:val="24"/>
          <w:lang w:val="en-US" w:eastAsia="en-US"/>
        </w:rPr>
        <w:t>Acute or chronic liver disease.</w:t>
      </w:r>
    </w:p>
    <w:p w14:paraId="5EE3CB50" w14:textId="77777777" w:rsidR="001870B2" w:rsidRPr="001870B2" w:rsidRDefault="001870B2" w:rsidP="001870B2">
      <w:pPr>
        <w:spacing w:after="0" w:line="480" w:lineRule="auto"/>
        <w:rPr>
          <w:rFonts w:ascii="Arial" w:eastAsia="Times New Roman" w:hAnsi="Arial" w:cs="Arial"/>
          <w:color w:val="000000"/>
          <w:sz w:val="24"/>
          <w:szCs w:val="24"/>
          <w:lang w:val="en-US" w:eastAsia="en-US"/>
        </w:rPr>
      </w:pPr>
      <w:r w:rsidRPr="001870B2">
        <w:rPr>
          <w:rFonts w:ascii="Arial" w:eastAsia="Times New Roman" w:hAnsi="Arial" w:cs="Arial"/>
          <w:color w:val="000000"/>
          <w:sz w:val="24"/>
          <w:szCs w:val="24"/>
          <w:lang w:val="en-US" w:eastAsia="en-US"/>
        </w:rPr>
        <w:t xml:space="preserve">Unexplained persistent elevations of serum transaminases. </w:t>
      </w:r>
    </w:p>
    <w:p w14:paraId="63FBB37F" w14:textId="77777777" w:rsidR="001870B2" w:rsidRPr="001870B2" w:rsidRDefault="001870B2" w:rsidP="001870B2">
      <w:pPr>
        <w:spacing w:after="0" w:line="480" w:lineRule="auto"/>
        <w:rPr>
          <w:rFonts w:ascii="Arial" w:eastAsia="Times New Roman" w:hAnsi="Arial" w:cs="Arial"/>
          <w:color w:val="000000"/>
          <w:sz w:val="24"/>
          <w:szCs w:val="24"/>
          <w:lang w:val="en-US" w:eastAsia="en-US"/>
        </w:rPr>
      </w:pPr>
      <w:r w:rsidRPr="001870B2">
        <w:rPr>
          <w:rFonts w:ascii="Arial" w:eastAsia="Times New Roman" w:hAnsi="Arial" w:cs="Arial"/>
          <w:color w:val="000000"/>
          <w:sz w:val="24"/>
          <w:szCs w:val="24"/>
          <w:lang w:val="en-US" w:eastAsia="en-US"/>
        </w:rPr>
        <w:t>Pregnancy and lactation (see “Warnings”).</w:t>
      </w:r>
    </w:p>
    <w:p w14:paraId="4A21FD81" w14:textId="77777777" w:rsidR="001870B2" w:rsidRPr="001870B2" w:rsidRDefault="001870B2" w:rsidP="001870B2">
      <w:pPr>
        <w:spacing w:after="0" w:line="480" w:lineRule="auto"/>
        <w:rPr>
          <w:rFonts w:ascii="Arial" w:eastAsia="Times New Roman" w:hAnsi="Arial" w:cs="Arial"/>
          <w:color w:val="000000"/>
          <w:sz w:val="24"/>
          <w:szCs w:val="24"/>
          <w:lang w:val="en-US" w:eastAsia="en-US"/>
        </w:rPr>
      </w:pPr>
      <w:r w:rsidRPr="001870B2">
        <w:rPr>
          <w:rFonts w:ascii="Arial" w:eastAsia="Times New Roman" w:hAnsi="Arial" w:cs="Arial"/>
          <w:color w:val="000000"/>
          <w:sz w:val="24"/>
          <w:szCs w:val="24"/>
          <w:lang w:val="en-US" w:eastAsia="en-US"/>
        </w:rPr>
        <w:t>Porphyria: Safety has not been established.</w:t>
      </w:r>
    </w:p>
    <w:p w14:paraId="15072D0F" w14:textId="77777777" w:rsidR="001870B2" w:rsidRPr="001870B2" w:rsidRDefault="001870B2" w:rsidP="001870B2">
      <w:pPr>
        <w:spacing w:after="0" w:line="480" w:lineRule="auto"/>
        <w:rPr>
          <w:rFonts w:ascii="Arial" w:eastAsia="Times New Roman" w:hAnsi="Arial" w:cs="Arial"/>
          <w:color w:val="000000"/>
          <w:sz w:val="24"/>
          <w:szCs w:val="24"/>
          <w:lang w:val="en-US" w:eastAsia="en-US"/>
        </w:rPr>
      </w:pPr>
    </w:p>
    <w:p w14:paraId="4F586134" w14:textId="77777777" w:rsidR="001870B2" w:rsidRPr="001870B2" w:rsidRDefault="001870B2" w:rsidP="001870B2">
      <w:pPr>
        <w:spacing w:after="0" w:line="480" w:lineRule="auto"/>
        <w:rPr>
          <w:rFonts w:ascii="Arial" w:eastAsia="Times New Roman" w:hAnsi="Arial" w:cs="Arial"/>
          <w:b/>
          <w:color w:val="000000"/>
          <w:sz w:val="24"/>
          <w:szCs w:val="24"/>
          <w:lang w:val="en-US" w:eastAsia="en-US"/>
        </w:rPr>
      </w:pPr>
      <w:r w:rsidRPr="001870B2">
        <w:rPr>
          <w:rFonts w:ascii="Arial" w:eastAsia="Times New Roman" w:hAnsi="Arial" w:cs="Arial"/>
          <w:b/>
          <w:color w:val="000000"/>
          <w:sz w:val="24"/>
          <w:szCs w:val="24"/>
          <w:lang w:val="en-US" w:eastAsia="en-US"/>
        </w:rPr>
        <w:t>Warnings:</w:t>
      </w:r>
    </w:p>
    <w:p w14:paraId="0C95F00B" w14:textId="3FA593C0" w:rsidR="001870B2" w:rsidRPr="001870B2" w:rsidRDefault="001870B2" w:rsidP="001870B2">
      <w:pPr>
        <w:spacing w:after="0" w:line="480" w:lineRule="auto"/>
        <w:rPr>
          <w:rFonts w:ascii="Arial" w:eastAsia="Times New Roman" w:hAnsi="Arial" w:cs="Arial"/>
          <w:color w:val="000000"/>
          <w:sz w:val="24"/>
          <w:szCs w:val="24"/>
          <w:lang w:val="en-US" w:eastAsia="en-US"/>
        </w:rPr>
      </w:pPr>
      <w:r w:rsidRPr="001870B2">
        <w:rPr>
          <w:rFonts w:ascii="Arial" w:eastAsia="Times New Roman" w:hAnsi="Arial" w:cs="Arial"/>
          <w:color w:val="000000"/>
          <w:sz w:val="24"/>
          <w:szCs w:val="24"/>
          <w:lang w:val="en-US" w:eastAsia="en-US"/>
        </w:rPr>
        <w:t xml:space="preserve">The active metabolite of </w:t>
      </w:r>
      <w:r w:rsidR="00797DFA">
        <w:rPr>
          <w:rFonts w:ascii="Arial" w:eastAsia="Times New Roman" w:hAnsi="Arial" w:cs="Arial"/>
          <w:color w:val="000000"/>
          <w:sz w:val="24"/>
          <w:szCs w:val="24"/>
          <w:lang w:val="en-US" w:eastAsia="en-US"/>
        </w:rPr>
        <w:t>LIPIDEX</w:t>
      </w:r>
      <w:r w:rsidR="004A02F7">
        <w:rPr>
          <w:rFonts w:ascii="Arial" w:eastAsia="Times New Roman" w:hAnsi="Arial" w:cs="Arial"/>
          <w:color w:val="000000"/>
          <w:sz w:val="24"/>
          <w:szCs w:val="24"/>
          <w:lang w:val="en-US" w:eastAsia="en-US"/>
        </w:rPr>
        <w:t xml:space="preserve"> </w:t>
      </w:r>
      <w:r w:rsidRPr="001870B2">
        <w:rPr>
          <w:rFonts w:ascii="Arial" w:eastAsia="Times New Roman" w:hAnsi="Arial" w:cs="Arial"/>
          <w:color w:val="000000"/>
          <w:sz w:val="24"/>
          <w:szCs w:val="24"/>
          <w:lang w:val="en-US" w:eastAsia="en-US"/>
        </w:rPr>
        <w:t xml:space="preserve">is fetotoxic and teratogenic in rats, and it should therefore not be used in female patients of child-bearing potential. </w:t>
      </w:r>
    </w:p>
    <w:p w14:paraId="6F269BE7" w14:textId="77777777" w:rsidR="001870B2" w:rsidRPr="001870B2" w:rsidRDefault="001870B2" w:rsidP="001870B2">
      <w:pPr>
        <w:spacing w:after="0" w:line="480" w:lineRule="auto"/>
        <w:rPr>
          <w:rFonts w:ascii="Arial" w:eastAsia="Times New Roman" w:hAnsi="Arial" w:cs="Arial"/>
          <w:color w:val="000000"/>
          <w:sz w:val="24"/>
          <w:szCs w:val="24"/>
          <w:lang w:val="en-US" w:eastAsia="en-US"/>
        </w:rPr>
      </w:pPr>
      <w:r w:rsidRPr="001870B2">
        <w:rPr>
          <w:rFonts w:ascii="Arial" w:eastAsia="Times New Roman" w:hAnsi="Arial" w:cs="Arial"/>
          <w:color w:val="000000"/>
          <w:sz w:val="24"/>
          <w:szCs w:val="24"/>
          <w:lang w:val="en-US" w:eastAsia="en-US"/>
        </w:rPr>
        <w:t>Use in paediatric patients is not recommended, as safety and efficacy have not been established.</w:t>
      </w:r>
    </w:p>
    <w:p w14:paraId="3737D8D1" w14:textId="77777777" w:rsidR="001870B2" w:rsidRDefault="001870B2" w:rsidP="001870B2">
      <w:pPr>
        <w:spacing w:after="0" w:line="480" w:lineRule="auto"/>
        <w:rPr>
          <w:rFonts w:ascii="Arial" w:eastAsia="Times New Roman" w:hAnsi="Arial" w:cs="Arial"/>
          <w:color w:val="000000"/>
          <w:sz w:val="24"/>
          <w:szCs w:val="24"/>
          <w:lang w:val="en-US" w:eastAsia="en-US"/>
        </w:rPr>
      </w:pPr>
    </w:p>
    <w:p w14:paraId="748592FA" w14:textId="77777777" w:rsidR="001870B2" w:rsidRPr="001870B2" w:rsidRDefault="001870B2" w:rsidP="001870B2">
      <w:pPr>
        <w:spacing w:after="0" w:line="480" w:lineRule="auto"/>
        <w:rPr>
          <w:rFonts w:ascii="Arial" w:eastAsia="Times New Roman" w:hAnsi="Arial" w:cs="Arial"/>
          <w:b/>
          <w:color w:val="000000"/>
          <w:spacing w:val="8"/>
          <w:sz w:val="24"/>
          <w:szCs w:val="24"/>
          <w:lang w:val="en-US" w:eastAsia="en-US"/>
        </w:rPr>
      </w:pPr>
      <w:r w:rsidRPr="001870B2">
        <w:rPr>
          <w:rFonts w:ascii="Arial" w:eastAsia="Times New Roman" w:hAnsi="Arial" w:cs="Arial"/>
          <w:b/>
          <w:color w:val="000000"/>
          <w:spacing w:val="8"/>
          <w:sz w:val="24"/>
          <w:szCs w:val="24"/>
          <w:lang w:val="en-US" w:eastAsia="en-US"/>
        </w:rPr>
        <w:t>Interactions:</w:t>
      </w:r>
    </w:p>
    <w:p w14:paraId="436484D8" w14:textId="77777777" w:rsidR="001870B2" w:rsidRPr="001870B2" w:rsidRDefault="001870B2" w:rsidP="001870B2">
      <w:pPr>
        <w:spacing w:after="0" w:line="480" w:lineRule="auto"/>
        <w:rPr>
          <w:rFonts w:ascii="Arial" w:eastAsia="Times New Roman" w:hAnsi="Arial" w:cs="Arial"/>
          <w:b/>
          <w:i/>
          <w:color w:val="000000"/>
          <w:sz w:val="24"/>
          <w:szCs w:val="24"/>
          <w:lang w:val="en-US" w:eastAsia="en-US"/>
        </w:rPr>
      </w:pPr>
      <w:r w:rsidRPr="001870B2">
        <w:rPr>
          <w:rFonts w:ascii="Arial" w:eastAsia="Times New Roman" w:hAnsi="Arial" w:cs="Arial"/>
          <w:b/>
          <w:i/>
          <w:color w:val="000000"/>
          <w:sz w:val="24"/>
          <w:szCs w:val="24"/>
          <w:lang w:val="en-US" w:eastAsia="en-US"/>
        </w:rPr>
        <w:lastRenderedPageBreak/>
        <w:t>Myopathy caused by medicine interactions:</w:t>
      </w:r>
    </w:p>
    <w:p w14:paraId="02492E43" w14:textId="260E7466" w:rsidR="001870B2" w:rsidRPr="001870B2" w:rsidRDefault="001870B2" w:rsidP="001870B2">
      <w:pPr>
        <w:spacing w:after="0" w:line="480" w:lineRule="auto"/>
        <w:rPr>
          <w:rFonts w:ascii="Arial" w:eastAsia="Times New Roman" w:hAnsi="Arial" w:cs="Arial"/>
          <w:color w:val="000000"/>
          <w:sz w:val="24"/>
          <w:szCs w:val="24"/>
          <w:lang w:val="en-US" w:eastAsia="en-US"/>
        </w:rPr>
      </w:pPr>
      <w:r w:rsidRPr="001870B2">
        <w:rPr>
          <w:rFonts w:ascii="Arial" w:eastAsia="Times New Roman" w:hAnsi="Arial" w:cs="Arial"/>
          <w:color w:val="000000"/>
          <w:sz w:val="24"/>
          <w:szCs w:val="24"/>
          <w:lang w:val="en-US" w:eastAsia="en-US"/>
        </w:rPr>
        <w:t xml:space="preserve">Concomitant administration of medicines that inhibit cytochrome P450 isoenzyme CYP3A4 </w:t>
      </w:r>
      <w:r w:rsidRPr="001870B2">
        <w:rPr>
          <w:rFonts w:ascii="Arial" w:eastAsia="Times New Roman" w:hAnsi="Arial" w:cs="Arial"/>
          <w:color w:val="000000"/>
          <w:spacing w:val="4"/>
          <w:sz w:val="24"/>
          <w:szCs w:val="24"/>
          <w:lang w:val="en-US" w:eastAsia="en-US"/>
        </w:rPr>
        <w:t xml:space="preserve">may </w:t>
      </w:r>
      <w:r w:rsidRPr="001870B2">
        <w:rPr>
          <w:rFonts w:ascii="Arial" w:eastAsia="Times New Roman" w:hAnsi="Arial" w:cs="Arial"/>
          <w:color w:val="000000"/>
          <w:sz w:val="24"/>
          <w:szCs w:val="24"/>
          <w:lang w:val="en-US" w:eastAsia="en-US"/>
        </w:rPr>
        <w:t xml:space="preserve">result in high plasma levels of </w:t>
      </w:r>
      <w:r w:rsidR="00797DFA">
        <w:rPr>
          <w:rFonts w:ascii="Arial" w:eastAsia="Times New Roman" w:hAnsi="Arial" w:cs="Arial"/>
          <w:color w:val="000000"/>
          <w:sz w:val="24"/>
          <w:szCs w:val="24"/>
          <w:lang w:val="en-US" w:eastAsia="en-US"/>
        </w:rPr>
        <w:t>LIPIDEX</w:t>
      </w:r>
      <w:r w:rsidR="00D90240">
        <w:rPr>
          <w:rFonts w:ascii="Arial" w:eastAsia="Times New Roman" w:hAnsi="Arial" w:cs="Arial"/>
          <w:color w:val="000000"/>
          <w:sz w:val="24"/>
          <w:szCs w:val="24"/>
          <w:lang w:val="en-US" w:eastAsia="en-US"/>
        </w:rPr>
        <w:t>,</w:t>
      </w:r>
      <w:r w:rsidR="00797DFA">
        <w:rPr>
          <w:rFonts w:ascii="Arial" w:eastAsia="Times New Roman" w:hAnsi="Arial" w:cs="Arial"/>
          <w:color w:val="000000"/>
          <w:sz w:val="24"/>
          <w:szCs w:val="24"/>
          <w:lang w:val="en-US" w:eastAsia="en-US"/>
        </w:rPr>
        <w:t xml:space="preserve"> </w:t>
      </w:r>
      <w:r w:rsidRPr="001870B2">
        <w:rPr>
          <w:rFonts w:ascii="Arial" w:eastAsia="Times New Roman" w:hAnsi="Arial" w:cs="Arial"/>
          <w:color w:val="000000"/>
          <w:sz w:val="24"/>
          <w:szCs w:val="24"/>
          <w:lang w:val="en-US" w:eastAsia="en-US"/>
        </w:rPr>
        <w:t>thus increasing the risk of myopathy, and is not recommended. Medicines that inhibit cytochrome P450 isoenzyme CYP3A4 include: cyclosporin, itraconazole, ketoconazole, erythromycin, clarithromycin, HIV-protease inhibitors and nefazodone.</w:t>
      </w:r>
    </w:p>
    <w:p w14:paraId="4C806102" w14:textId="77777777" w:rsidR="001870B2" w:rsidRPr="001870B2" w:rsidRDefault="001870B2" w:rsidP="001870B2">
      <w:pPr>
        <w:spacing w:after="0" w:line="480" w:lineRule="auto"/>
        <w:rPr>
          <w:rFonts w:ascii="Arial" w:eastAsia="Times New Roman" w:hAnsi="Arial" w:cs="Arial"/>
          <w:color w:val="000000"/>
          <w:sz w:val="24"/>
          <w:szCs w:val="24"/>
          <w:lang w:val="en-US" w:eastAsia="en-US"/>
        </w:rPr>
      </w:pPr>
    </w:p>
    <w:p w14:paraId="74166B0F" w14:textId="7AF0C44B" w:rsidR="001870B2" w:rsidRPr="001870B2" w:rsidRDefault="001870B2" w:rsidP="001870B2">
      <w:pPr>
        <w:spacing w:after="0" w:line="480" w:lineRule="auto"/>
        <w:rPr>
          <w:rFonts w:ascii="Arial" w:eastAsia="Times New Roman" w:hAnsi="Arial" w:cs="Arial"/>
          <w:color w:val="000000"/>
          <w:sz w:val="24"/>
          <w:szCs w:val="24"/>
          <w:lang w:val="en-US" w:eastAsia="en-US"/>
        </w:rPr>
      </w:pPr>
      <w:r w:rsidRPr="001870B2">
        <w:rPr>
          <w:rFonts w:ascii="Arial" w:eastAsia="Times New Roman" w:hAnsi="Arial" w:cs="Arial"/>
          <w:color w:val="000000"/>
          <w:sz w:val="24"/>
          <w:szCs w:val="24"/>
          <w:lang w:val="en-US" w:eastAsia="en-US"/>
        </w:rPr>
        <w:t xml:space="preserve">The risk of myopathy is increased when other medicines that cause myopathy, such as fibrates and niacin, are given with </w:t>
      </w:r>
      <w:r w:rsidR="00797DFA">
        <w:rPr>
          <w:rFonts w:ascii="Arial" w:eastAsia="Times New Roman" w:hAnsi="Arial" w:cs="Arial"/>
          <w:color w:val="000000"/>
          <w:sz w:val="24"/>
          <w:szCs w:val="24"/>
          <w:lang w:val="en-US" w:eastAsia="en-US"/>
        </w:rPr>
        <w:t>LIPIDEX</w:t>
      </w:r>
      <w:r w:rsidRPr="001870B2">
        <w:rPr>
          <w:rFonts w:ascii="Arial" w:eastAsia="Times New Roman" w:hAnsi="Arial" w:cs="Arial"/>
          <w:color w:val="000000"/>
          <w:sz w:val="24"/>
          <w:szCs w:val="24"/>
          <w:lang w:val="en-US" w:eastAsia="en-US"/>
        </w:rPr>
        <w:t xml:space="preserve">. A maximum dose of 10 mg </w:t>
      </w:r>
      <w:r w:rsidR="00797DFA">
        <w:rPr>
          <w:rFonts w:ascii="Arial" w:eastAsia="Times New Roman" w:hAnsi="Arial" w:cs="Arial"/>
          <w:color w:val="000000"/>
          <w:sz w:val="24"/>
          <w:szCs w:val="24"/>
          <w:lang w:val="en-US" w:eastAsia="en-US"/>
        </w:rPr>
        <w:t>LIPIDEX</w:t>
      </w:r>
      <w:r w:rsidR="004A02F7">
        <w:rPr>
          <w:rFonts w:ascii="Arial" w:eastAsia="Times New Roman" w:hAnsi="Arial" w:cs="Arial"/>
          <w:color w:val="000000"/>
          <w:sz w:val="24"/>
          <w:szCs w:val="24"/>
          <w:lang w:val="en-US" w:eastAsia="en-US"/>
        </w:rPr>
        <w:t xml:space="preserve"> </w:t>
      </w:r>
      <w:r w:rsidRPr="001870B2">
        <w:rPr>
          <w:rFonts w:ascii="Arial" w:eastAsia="Times New Roman" w:hAnsi="Arial" w:cs="Arial"/>
          <w:color w:val="000000"/>
          <w:sz w:val="24"/>
          <w:szCs w:val="24"/>
          <w:lang w:val="en-US" w:eastAsia="en-US"/>
        </w:rPr>
        <w:t>daily is recommended in patients taking cyclosporin, danazol, fibrates or lipid lowering doses of niacin (nicotinic acid).</w:t>
      </w:r>
    </w:p>
    <w:p w14:paraId="1B160D6C" w14:textId="0C4E41D8" w:rsidR="001870B2" w:rsidRPr="001870B2" w:rsidRDefault="001870B2" w:rsidP="001870B2">
      <w:pPr>
        <w:spacing w:after="0" w:line="480" w:lineRule="auto"/>
        <w:rPr>
          <w:rFonts w:ascii="Arial" w:eastAsia="Times New Roman" w:hAnsi="Arial" w:cs="Arial"/>
          <w:color w:val="000000"/>
          <w:sz w:val="24"/>
          <w:szCs w:val="24"/>
          <w:lang w:val="en-US" w:eastAsia="en-US"/>
        </w:rPr>
      </w:pPr>
      <w:r w:rsidRPr="001870B2">
        <w:rPr>
          <w:rFonts w:ascii="Arial" w:eastAsia="Times New Roman" w:hAnsi="Arial" w:cs="Arial"/>
          <w:color w:val="000000"/>
          <w:sz w:val="24"/>
          <w:szCs w:val="24"/>
          <w:lang w:val="en-US" w:eastAsia="en-US"/>
        </w:rPr>
        <w:t xml:space="preserve">Concurrent use of verapamil with </w:t>
      </w:r>
      <w:r w:rsidR="00797DFA">
        <w:rPr>
          <w:rFonts w:ascii="Arial" w:eastAsia="Times New Roman" w:hAnsi="Arial" w:cs="Arial"/>
          <w:color w:val="000000"/>
          <w:sz w:val="24"/>
          <w:szCs w:val="24"/>
          <w:lang w:val="en-US" w:eastAsia="en-US"/>
        </w:rPr>
        <w:t>LIPIDEX</w:t>
      </w:r>
      <w:r w:rsidR="004A02F7">
        <w:rPr>
          <w:rFonts w:ascii="Arial" w:eastAsia="Times New Roman" w:hAnsi="Arial" w:cs="Arial"/>
          <w:color w:val="000000"/>
          <w:sz w:val="24"/>
          <w:szCs w:val="24"/>
          <w:lang w:val="en-US" w:eastAsia="en-US"/>
        </w:rPr>
        <w:t xml:space="preserve"> </w:t>
      </w:r>
      <w:r w:rsidRPr="001870B2">
        <w:rPr>
          <w:rFonts w:ascii="Arial" w:eastAsia="Times New Roman" w:hAnsi="Arial" w:cs="Arial"/>
          <w:color w:val="000000"/>
          <w:sz w:val="24"/>
          <w:szCs w:val="24"/>
          <w:lang w:val="en-US" w:eastAsia="en-US"/>
        </w:rPr>
        <w:t>may be associated with an increased risk of myopathy; this effect has not been seen with other calcium channel blockers.</w:t>
      </w:r>
    </w:p>
    <w:p w14:paraId="380D9C29" w14:textId="77777777" w:rsidR="001870B2" w:rsidRPr="001870B2" w:rsidRDefault="001870B2" w:rsidP="001870B2">
      <w:pPr>
        <w:spacing w:after="0" w:line="480" w:lineRule="auto"/>
        <w:rPr>
          <w:rFonts w:ascii="Arial" w:eastAsia="Times New Roman" w:hAnsi="Arial" w:cs="Arial"/>
          <w:i/>
          <w:color w:val="000000"/>
          <w:sz w:val="24"/>
          <w:szCs w:val="24"/>
          <w:lang w:val="en-US" w:eastAsia="en-US"/>
        </w:rPr>
      </w:pPr>
      <w:r w:rsidRPr="001870B2">
        <w:rPr>
          <w:rFonts w:ascii="Arial" w:eastAsia="Times New Roman" w:hAnsi="Arial" w:cs="Arial"/>
          <w:i/>
          <w:color w:val="000000"/>
          <w:sz w:val="24"/>
          <w:szCs w:val="24"/>
          <w:lang w:val="en-US" w:eastAsia="en-US"/>
        </w:rPr>
        <w:t>Grape fruit juice:</w:t>
      </w:r>
    </w:p>
    <w:p w14:paraId="7D2CA602" w14:textId="1884829A" w:rsidR="001870B2" w:rsidRPr="001870B2" w:rsidRDefault="001870B2" w:rsidP="001870B2">
      <w:pPr>
        <w:spacing w:after="0" w:line="480" w:lineRule="auto"/>
        <w:rPr>
          <w:rFonts w:ascii="Arial" w:eastAsia="Times New Roman" w:hAnsi="Arial" w:cs="Arial"/>
          <w:color w:val="000000"/>
          <w:sz w:val="24"/>
          <w:szCs w:val="24"/>
          <w:lang w:val="en-US" w:eastAsia="en-US"/>
        </w:rPr>
      </w:pPr>
      <w:r w:rsidRPr="001870B2">
        <w:rPr>
          <w:rFonts w:ascii="Arial" w:eastAsia="Times New Roman" w:hAnsi="Arial" w:cs="Arial"/>
          <w:color w:val="000000"/>
          <w:sz w:val="24"/>
          <w:szCs w:val="24"/>
          <w:lang w:val="en-US" w:eastAsia="en-US"/>
        </w:rPr>
        <w:t xml:space="preserve">Concurrent use of </w:t>
      </w:r>
      <w:r w:rsidR="00797DFA">
        <w:rPr>
          <w:rFonts w:ascii="Arial" w:eastAsia="Times New Roman" w:hAnsi="Arial" w:cs="Arial"/>
          <w:color w:val="000000"/>
          <w:sz w:val="24"/>
          <w:szCs w:val="24"/>
          <w:lang w:val="en-US" w:eastAsia="en-US"/>
        </w:rPr>
        <w:t>LIPIDEX</w:t>
      </w:r>
      <w:r w:rsidR="004A02F7">
        <w:rPr>
          <w:rFonts w:ascii="Arial" w:eastAsia="Times New Roman" w:hAnsi="Arial" w:cs="Arial"/>
          <w:color w:val="000000"/>
          <w:sz w:val="24"/>
          <w:szCs w:val="24"/>
          <w:lang w:val="en-US" w:eastAsia="en-US"/>
        </w:rPr>
        <w:t xml:space="preserve"> </w:t>
      </w:r>
      <w:r w:rsidRPr="001870B2">
        <w:rPr>
          <w:rFonts w:ascii="Arial" w:eastAsia="Times New Roman" w:hAnsi="Arial" w:cs="Arial"/>
          <w:color w:val="000000"/>
          <w:sz w:val="24"/>
          <w:szCs w:val="24"/>
          <w:lang w:val="en-US" w:eastAsia="en-US"/>
        </w:rPr>
        <w:t xml:space="preserve">with large volumes of grape fruit juice may significantly increase the plasma concentrations of </w:t>
      </w:r>
      <w:r w:rsidR="00FC6FDB">
        <w:rPr>
          <w:rFonts w:ascii="Arial" w:eastAsia="Times New Roman" w:hAnsi="Arial" w:cs="Arial"/>
          <w:color w:val="000000"/>
          <w:sz w:val="24"/>
          <w:szCs w:val="24"/>
          <w:lang w:val="en-US" w:eastAsia="en-US"/>
        </w:rPr>
        <w:t>simvastatin</w:t>
      </w:r>
      <w:r w:rsidRPr="001870B2">
        <w:rPr>
          <w:rFonts w:ascii="Arial" w:eastAsia="Times New Roman" w:hAnsi="Arial" w:cs="Arial"/>
          <w:color w:val="000000"/>
          <w:sz w:val="24"/>
          <w:szCs w:val="24"/>
          <w:lang w:val="en-US" w:eastAsia="en-US"/>
        </w:rPr>
        <w:t xml:space="preserve"> and increase the risk of myopathy</w:t>
      </w:r>
    </w:p>
    <w:p w14:paraId="34E9A81E" w14:textId="77777777" w:rsidR="001870B2" w:rsidRPr="00EA0389" w:rsidRDefault="001870B2" w:rsidP="001870B2">
      <w:pPr>
        <w:spacing w:after="0" w:line="480" w:lineRule="auto"/>
        <w:rPr>
          <w:rFonts w:ascii="Arial" w:eastAsia="Times New Roman" w:hAnsi="Arial" w:cs="Arial"/>
          <w:b/>
          <w:i/>
          <w:color w:val="000000"/>
          <w:szCs w:val="24"/>
          <w:lang w:val="en-US" w:eastAsia="en-US"/>
        </w:rPr>
      </w:pPr>
    </w:p>
    <w:p w14:paraId="02E35773" w14:textId="77777777" w:rsidR="001870B2" w:rsidRPr="001870B2" w:rsidRDefault="001870B2" w:rsidP="001870B2">
      <w:pPr>
        <w:spacing w:after="0" w:line="480" w:lineRule="auto"/>
        <w:rPr>
          <w:rFonts w:ascii="Arial" w:eastAsia="Times New Roman" w:hAnsi="Arial" w:cs="Arial"/>
          <w:b/>
          <w:i/>
          <w:color w:val="000000"/>
          <w:sz w:val="24"/>
          <w:szCs w:val="24"/>
          <w:lang w:val="en-US" w:eastAsia="en-US"/>
        </w:rPr>
      </w:pPr>
      <w:r w:rsidRPr="001870B2">
        <w:rPr>
          <w:rFonts w:ascii="Arial" w:eastAsia="Times New Roman" w:hAnsi="Arial" w:cs="Arial"/>
          <w:b/>
          <w:i/>
          <w:color w:val="000000"/>
          <w:sz w:val="24"/>
          <w:szCs w:val="24"/>
          <w:lang w:val="en-US" w:eastAsia="en-US"/>
        </w:rPr>
        <w:t>Digoxin:</w:t>
      </w:r>
    </w:p>
    <w:p w14:paraId="669E945E" w14:textId="5844527F" w:rsidR="001870B2" w:rsidRPr="001870B2" w:rsidRDefault="00797DFA" w:rsidP="001870B2">
      <w:pPr>
        <w:spacing w:after="0" w:line="480" w:lineRule="auto"/>
        <w:rPr>
          <w:rFonts w:ascii="Arial" w:eastAsia="Times New Roman" w:hAnsi="Arial" w:cs="Arial"/>
          <w:color w:val="000000"/>
          <w:sz w:val="24"/>
          <w:szCs w:val="24"/>
          <w:lang w:val="en-US" w:eastAsia="en-US"/>
        </w:rPr>
      </w:pPr>
      <w:r>
        <w:rPr>
          <w:rFonts w:ascii="Arial" w:eastAsia="Times New Roman" w:hAnsi="Arial" w:cs="Arial"/>
          <w:color w:val="000000"/>
          <w:sz w:val="24"/>
          <w:szCs w:val="24"/>
          <w:lang w:val="en-US" w:eastAsia="en-US"/>
        </w:rPr>
        <w:t>LIPIDEX</w:t>
      </w:r>
      <w:r w:rsidR="004A02F7">
        <w:rPr>
          <w:rFonts w:ascii="Arial" w:eastAsia="Times New Roman" w:hAnsi="Arial" w:cs="Arial"/>
          <w:color w:val="000000"/>
          <w:sz w:val="24"/>
          <w:szCs w:val="24"/>
          <w:lang w:val="en-US" w:eastAsia="en-US"/>
        </w:rPr>
        <w:t xml:space="preserve"> </w:t>
      </w:r>
      <w:r w:rsidR="001870B2" w:rsidRPr="001870B2">
        <w:rPr>
          <w:rFonts w:ascii="Arial" w:eastAsia="Times New Roman" w:hAnsi="Arial" w:cs="Arial"/>
          <w:color w:val="000000"/>
          <w:sz w:val="24"/>
          <w:szCs w:val="24"/>
          <w:lang w:val="en-US" w:eastAsia="en-US"/>
        </w:rPr>
        <w:t>may cause increases in digoxin levels.</w:t>
      </w:r>
    </w:p>
    <w:p w14:paraId="07020528" w14:textId="77777777" w:rsidR="001870B2" w:rsidRPr="001870B2" w:rsidRDefault="001870B2" w:rsidP="001870B2">
      <w:pPr>
        <w:spacing w:after="0" w:line="480" w:lineRule="auto"/>
        <w:rPr>
          <w:rFonts w:ascii="Arial" w:eastAsia="Times New Roman" w:hAnsi="Arial" w:cs="Arial"/>
          <w:b/>
          <w:i/>
          <w:color w:val="000000"/>
          <w:sz w:val="24"/>
          <w:szCs w:val="24"/>
          <w:lang w:val="en-US" w:eastAsia="en-US"/>
        </w:rPr>
      </w:pPr>
      <w:r w:rsidRPr="001870B2">
        <w:rPr>
          <w:rFonts w:ascii="Arial" w:eastAsia="Times New Roman" w:hAnsi="Arial" w:cs="Arial"/>
          <w:b/>
          <w:i/>
          <w:color w:val="000000"/>
          <w:sz w:val="24"/>
          <w:szCs w:val="24"/>
          <w:lang w:val="en-US" w:eastAsia="en-US"/>
        </w:rPr>
        <w:t>Coumarin-derivatives (e.g. warfarin):</w:t>
      </w:r>
    </w:p>
    <w:p w14:paraId="738C7A9D" w14:textId="129619DE" w:rsidR="001870B2" w:rsidRPr="001870B2" w:rsidRDefault="001870B2" w:rsidP="001870B2">
      <w:pPr>
        <w:spacing w:after="0" w:line="480" w:lineRule="auto"/>
        <w:rPr>
          <w:rFonts w:ascii="Arial" w:eastAsia="Times New Roman" w:hAnsi="Arial" w:cs="Arial"/>
          <w:color w:val="000000"/>
          <w:sz w:val="24"/>
          <w:szCs w:val="24"/>
          <w:lang w:val="en-US" w:eastAsia="en-US"/>
        </w:rPr>
      </w:pPr>
      <w:r w:rsidRPr="001870B2">
        <w:rPr>
          <w:rFonts w:ascii="Arial" w:eastAsia="Times New Roman" w:hAnsi="Arial" w:cs="Arial"/>
          <w:color w:val="000000"/>
          <w:sz w:val="24"/>
          <w:szCs w:val="24"/>
          <w:lang w:val="en-US" w:eastAsia="en-US"/>
        </w:rPr>
        <w:t xml:space="preserve">A possible increase in the anticoagulant effect of the coumarin anticoagulants may occur. Patients taking a coumarin anticoagulant should have their INR determined before starting </w:t>
      </w:r>
      <w:r w:rsidR="00797DFA">
        <w:rPr>
          <w:rFonts w:ascii="Arial" w:eastAsia="Times New Roman" w:hAnsi="Arial" w:cs="Arial"/>
          <w:color w:val="000000"/>
          <w:sz w:val="24"/>
          <w:szCs w:val="24"/>
          <w:lang w:val="en-US" w:eastAsia="en-US"/>
        </w:rPr>
        <w:t>LIPIDEX</w:t>
      </w:r>
      <w:r w:rsidR="004A02F7">
        <w:rPr>
          <w:rFonts w:ascii="Arial" w:eastAsia="Times New Roman" w:hAnsi="Arial" w:cs="Arial"/>
          <w:color w:val="000000"/>
          <w:sz w:val="24"/>
          <w:szCs w:val="24"/>
          <w:lang w:val="en-US" w:eastAsia="en-US"/>
        </w:rPr>
        <w:t xml:space="preserve"> </w:t>
      </w:r>
      <w:r w:rsidRPr="001870B2">
        <w:rPr>
          <w:rFonts w:ascii="Arial" w:eastAsia="Times New Roman" w:hAnsi="Arial" w:cs="Arial"/>
          <w:color w:val="000000"/>
          <w:sz w:val="24"/>
          <w:szCs w:val="24"/>
          <w:lang w:val="en-US" w:eastAsia="en-US"/>
        </w:rPr>
        <w:t xml:space="preserve">therapy. The INR should be monitored frequently enough in the early stages of therapy until stabilised. Once a stable INR has been documented, INR can be monitored at </w:t>
      </w:r>
      <w:r w:rsidRPr="001870B2">
        <w:rPr>
          <w:rFonts w:ascii="Arial" w:eastAsia="Times New Roman" w:hAnsi="Arial" w:cs="Arial"/>
          <w:color w:val="000000"/>
          <w:sz w:val="24"/>
          <w:szCs w:val="24"/>
          <w:lang w:val="en-US" w:eastAsia="en-US"/>
        </w:rPr>
        <w:lastRenderedPageBreak/>
        <w:t xml:space="preserve">the intervals usually recommended for patients on coumarin anticoagulants. When there is a dose adjustment </w:t>
      </w:r>
      <w:r w:rsidRPr="001870B2">
        <w:rPr>
          <w:rFonts w:ascii="Arial" w:eastAsia="Times New Roman" w:hAnsi="Arial" w:cs="Arial"/>
          <w:color w:val="000000"/>
          <w:spacing w:val="8"/>
          <w:sz w:val="24"/>
          <w:szCs w:val="24"/>
          <w:lang w:val="en-US" w:eastAsia="en-US"/>
        </w:rPr>
        <w:t xml:space="preserve">of </w:t>
      </w:r>
      <w:r w:rsidR="00797DFA">
        <w:rPr>
          <w:rFonts w:ascii="Arial" w:eastAsia="Times New Roman" w:hAnsi="Arial" w:cs="Arial"/>
          <w:color w:val="000000"/>
          <w:sz w:val="24"/>
          <w:szCs w:val="24"/>
          <w:lang w:val="en-US" w:eastAsia="en-US"/>
        </w:rPr>
        <w:t>LIPIDEX</w:t>
      </w:r>
      <w:r w:rsidRPr="001870B2">
        <w:rPr>
          <w:rFonts w:ascii="Arial" w:eastAsia="Times New Roman" w:hAnsi="Arial" w:cs="Arial"/>
          <w:color w:val="000000"/>
          <w:sz w:val="24"/>
          <w:szCs w:val="24"/>
          <w:lang w:val="en-US" w:eastAsia="en-US"/>
        </w:rPr>
        <w:t>, this procedure should be repeated.</w:t>
      </w:r>
    </w:p>
    <w:p w14:paraId="6F48C3E1" w14:textId="77777777" w:rsidR="001870B2" w:rsidRPr="00EA0389" w:rsidRDefault="001870B2" w:rsidP="001870B2">
      <w:pPr>
        <w:spacing w:after="0" w:line="480" w:lineRule="auto"/>
        <w:rPr>
          <w:rFonts w:ascii="Arial" w:eastAsia="Times New Roman" w:hAnsi="Arial" w:cs="Arial"/>
          <w:color w:val="000000"/>
          <w:sz w:val="20"/>
          <w:szCs w:val="24"/>
          <w:lang w:val="en-US" w:eastAsia="en-US"/>
        </w:rPr>
      </w:pPr>
    </w:p>
    <w:p w14:paraId="558F8FB0" w14:textId="77777777" w:rsidR="001870B2" w:rsidRPr="001870B2" w:rsidRDefault="001870B2" w:rsidP="001870B2">
      <w:pPr>
        <w:spacing w:after="0" w:line="480" w:lineRule="auto"/>
        <w:rPr>
          <w:rFonts w:ascii="Arial" w:eastAsia="Times New Roman" w:hAnsi="Arial" w:cs="Arial"/>
          <w:b/>
          <w:i/>
          <w:color w:val="000000"/>
          <w:sz w:val="24"/>
          <w:szCs w:val="24"/>
          <w:lang w:val="en-US" w:eastAsia="en-US"/>
        </w:rPr>
      </w:pPr>
      <w:r w:rsidRPr="001870B2">
        <w:rPr>
          <w:rFonts w:ascii="Arial" w:eastAsia="Times New Roman" w:hAnsi="Arial" w:cs="Arial"/>
          <w:b/>
          <w:i/>
          <w:color w:val="000000"/>
          <w:sz w:val="24"/>
          <w:szCs w:val="24"/>
          <w:lang w:val="en-US" w:eastAsia="en-US"/>
        </w:rPr>
        <w:t>Bile acid sequestrants:</w:t>
      </w:r>
    </w:p>
    <w:p w14:paraId="7F884400" w14:textId="5F72B8CF" w:rsidR="001870B2" w:rsidRPr="001870B2" w:rsidRDefault="00797DFA" w:rsidP="001870B2">
      <w:pPr>
        <w:spacing w:after="0" w:line="480" w:lineRule="auto"/>
        <w:rPr>
          <w:rFonts w:ascii="Arial" w:eastAsia="Times New Roman" w:hAnsi="Arial" w:cs="Arial"/>
          <w:color w:val="000000"/>
          <w:sz w:val="24"/>
          <w:szCs w:val="24"/>
          <w:lang w:val="en-US" w:eastAsia="en-US"/>
        </w:rPr>
      </w:pPr>
      <w:r>
        <w:rPr>
          <w:rFonts w:ascii="Arial" w:eastAsia="Times New Roman" w:hAnsi="Arial" w:cs="Arial"/>
          <w:color w:val="000000"/>
          <w:sz w:val="24"/>
          <w:szCs w:val="24"/>
          <w:lang w:val="en-US" w:eastAsia="en-US"/>
        </w:rPr>
        <w:t>LIPIDEX</w:t>
      </w:r>
      <w:r w:rsidR="004A02F7">
        <w:rPr>
          <w:rFonts w:ascii="Arial" w:eastAsia="Times New Roman" w:hAnsi="Arial" w:cs="Arial"/>
          <w:color w:val="000000"/>
          <w:sz w:val="24"/>
          <w:szCs w:val="24"/>
          <w:lang w:val="en-US" w:eastAsia="en-US"/>
        </w:rPr>
        <w:t xml:space="preserve"> </w:t>
      </w:r>
      <w:r w:rsidR="001870B2" w:rsidRPr="001870B2">
        <w:rPr>
          <w:rFonts w:ascii="Arial" w:eastAsia="Times New Roman" w:hAnsi="Arial" w:cs="Arial"/>
          <w:color w:val="000000"/>
          <w:sz w:val="24"/>
          <w:szCs w:val="24"/>
          <w:lang w:val="en-US" w:eastAsia="en-US"/>
        </w:rPr>
        <w:t xml:space="preserve">should be taken 1 hour before or 4 hours after cholestyramine. </w:t>
      </w:r>
    </w:p>
    <w:p w14:paraId="29A5B7E0" w14:textId="6ADCEB74" w:rsidR="001870B2" w:rsidRPr="001870B2" w:rsidRDefault="001870B2" w:rsidP="001870B2">
      <w:pPr>
        <w:spacing w:after="0" w:line="480" w:lineRule="auto"/>
        <w:rPr>
          <w:rFonts w:ascii="Arial" w:eastAsia="Times New Roman" w:hAnsi="Arial" w:cs="Arial"/>
          <w:color w:val="000000"/>
          <w:spacing w:val="8"/>
          <w:sz w:val="24"/>
          <w:szCs w:val="24"/>
          <w:lang w:val="en-US" w:eastAsia="en-US"/>
        </w:rPr>
      </w:pPr>
      <w:r w:rsidRPr="001870B2">
        <w:rPr>
          <w:rFonts w:ascii="Arial" w:eastAsia="Times New Roman" w:hAnsi="Arial" w:cs="Arial"/>
          <w:color w:val="000000"/>
          <w:sz w:val="24"/>
          <w:szCs w:val="24"/>
          <w:lang w:val="en-US" w:eastAsia="en-US"/>
        </w:rPr>
        <w:t xml:space="preserve">Concurrent use may decrease the bioavailability of </w:t>
      </w:r>
      <w:r w:rsidR="00797DFA">
        <w:rPr>
          <w:rFonts w:ascii="Arial" w:eastAsia="Times New Roman" w:hAnsi="Arial" w:cs="Arial"/>
          <w:color w:val="000000"/>
          <w:sz w:val="24"/>
          <w:szCs w:val="24"/>
          <w:lang w:val="en-US" w:eastAsia="en-US"/>
        </w:rPr>
        <w:t>LIPIDEX</w:t>
      </w:r>
      <w:r w:rsidRPr="001870B2">
        <w:rPr>
          <w:rFonts w:ascii="Arial" w:eastAsia="Times New Roman" w:hAnsi="Arial" w:cs="Arial"/>
          <w:color w:val="000000"/>
          <w:sz w:val="24"/>
          <w:szCs w:val="24"/>
          <w:lang w:val="en-US" w:eastAsia="en-US"/>
        </w:rPr>
        <w:t>.</w:t>
      </w:r>
    </w:p>
    <w:p w14:paraId="558BDA39" w14:textId="77777777" w:rsidR="001870B2" w:rsidRPr="00EA0389" w:rsidRDefault="001870B2" w:rsidP="001870B2">
      <w:pPr>
        <w:spacing w:after="0" w:line="480" w:lineRule="auto"/>
        <w:rPr>
          <w:rFonts w:ascii="Arial" w:eastAsia="Times New Roman" w:hAnsi="Arial" w:cs="Arial"/>
          <w:b/>
          <w:color w:val="000000"/>
          <w:sz w:val="20"/>
          <w:szCs w:val="24"/>
          <w:lang w:val="en-US" w:eastAsia="en-US"/>
        </w:rPr>
      </w:pPr>
    </w:p>
    <w:p w14:paraId="713FB257" w14:textId="77777777" w:rsidR="001870B2" w:rsidRPr="001870B2" w:rsidRDefault="001870B2" w:rsidP="001870B2">
      <w:pPr>
        <w:spacing w:after="0" w:line="480" w:lineRule="auto"/>
        <w:rPr>
          <w:rFonts w:ascii="Arial" w:eastAsia="Times New Roman" w:hAnsi="Arial" w:cs="Arial"/>
          <w:b/>
          <w:color w:val="000000"/>
          <w:sz w:val="24"/>
          <w:szCs w:val="24"/>
          <w:lang w:val="en-US" w:eastAsia="en-US"/>
        </w:rPr>
      </w:pPr>
      <w:r w:rsidRPr="001870B2">
        <w:rPr>
          <w:rFonts w:ascii="Arial" w:eastAsia="Times New Roman" w:hAnsi="Arial" w:cs="Arial"/>
          <w:b/>
          <w:color w:val="000000"/>
          <w:sz w:val="24"/>
          <w:szCs w:val="24"/>
          <w:lang w:val="en-US" w:eastAsia="en-US"/>
        </w:rPr>
        <w:t>Pregnancy and lactation:</w:t>
      </w:r>
    </w:p>
    <w:p w14:paraId="33A9BA8D" w14:textId="77777777" w:rsidR="001870B2" w:rsidRPr="001870B2" w:rsidRDefault="001870B2" w:rsidP="001870B2">
      <w:pPr>
        <w:spacing w:after="0" w:line="480" w:lineRule="auto"/>
        <w:rPr>
          <w:rFonts w:ascii="Arial" w:eastAsia="Times New Roman" w:hAnsi="Arial" w:cs="Arial"/>
          <w:color w:val="000000"/>
          <w:sz w:val="24"/>
          <w:szCs w:val="24"/>
          <w:lang w:val="en-US" w:eastAsia="en-US"/>
        </w:rPr>
      </w:pPr>
      <w:r w:rsidRPr="001870B2">
        <w:rPr>
          <w:rFonts w:ascii="Arial" w:eastAsia="Times New Roman" w:hAnsi="Arial" w:cs="Arial"/>
          <w:color w:val="000000"/>
          <w:sz w:val="24"/>
          <w:szCs w:val="24"/>
          <w:lang w:val="en-US" w:eastAsia="en-US"/>
        </w:rPr>
        <w:t>Safety in pregnancy and lactation has not been established.</w:t>
      </w:r>
    </w:p>
    <w:p w14:paraId="1166924F" w14:textId="4BEE325F" w:rsidR="001870B2" w:rsidRPr="001870B2" w:rsidRDefault="001870B2" w:rsidP="001870B2">
      <w:pPr>
        <w:spacing w:after="0" w:line="480" w:lineRule="auto"/>
        <w:rPr>
          <w:rFonts w:ascii="Arial" w:eastAsia="Times New Roman" w:hAnsi="Arial" w:cs="Arial"/>
          <w:color w:val="000000"/>
          <w:spacing w:val="8"/>
          <w:sz w:val="24"/>
          <w:szCs w:val="24"/>
          <w:lang w:val="en-US" w:eastAsia="en-US"/>
        </w:rPr>
      </w:pPr>
      <w:r w:rsidRPr="001870B2">
        <w:rPr>
          <w:rFonts w:ascii="Arial" w:eastAsia="Times New Roman" w:hAnsi="Arial" w:cs="Arial"/>
          <w:color w:val="000000"/>
          <w:spacing w:val="8"/>
          <w:sz w:val="24"/>
          <w:szCs w:val="24"/>
          <w:lang w:val="en-US" w:eastAsia="en-US"/>
        </w:rPr>
        <w:t xml:space="preserve">The active metabolite of </w:t>
      </w:r>
      <w:r w:rsidR="00797DFA">
        <w:rPr>
          <w:rFonts w:ascii="Arial" w:eastAsia="Times New Roman" w:hAnsi="Arial" w:cs="Arial"/>
          <w:color w:val="000000"/>
          <w:sz w:val="24"/>
          <w:szCs w:val="24"/>
          <w:lang w:val="en-US" w:eastAsia="en-US"/>
        </w:rPr>
        <w:t>LIPIDEX</w:t>
      </w:r>
      <w:r w:rsidR="004A02F7">
        <w:rPr>
          <w:rFonts w:ascii="Arial" w:eastAsia="Times New Roman" w:hAnsi="Arial" w:cs="Arial"/>
          <w:color w:val="000000"/>
          <w:sz w:val="24"/>
          <w:szCs w:val="24"/>
          <w:lang w:val="en-US" w:eastAsia="en-US"/>
        </w:rPr>
        <w:t xml:space="preserve"> </w:t>
      </w:r>
      <w:r w:rsidRPr="001870B2">
        <w:rPr>
          <w:rFonts w:ascii="Arial" w:eastAsia="Times New Roman" w:hAnsi="Arial" w:cs="Arial"/>
          <w:color w:val="000000"/>
          <w:spacing w:val="8"/>
          <w:sz w:val="24"/>
          <w:szCs w:val="24"/>
          <w:lang w:val="en-US" w:eastAsia="en-US"/>
        </w:rPr>
        <w:t>is fetotoxic and teratogenic in rats, and it should therefore not be used in female patients of child-bearing potential.</w:t>
      </w:r>
    </w:p>
    <w:p w14:paraId="2707A76F" w14:textId="77777777" w:rsidR="001870B2" w:rsidRPr="00EA0389" w:rsidRDefault="001870B2" w:rsidP="001870B2">
      <w:pPr>
        <w:spacing w:after="0" w:line="480" w:lineRule="auto"/>
        <w:rPr>
          <w:rFonts w:ascii="Arial" w:eastAsia="Times New Roman" w:hAnsi="Arial" w:cs="Arial"/>
          <w:color w:val="000000"/>
          <w:sz w:val="20"/>
          <w:szCs w:val="24"/>
          <w:lang w:val="en-US" w:eastAsia="en-US"/>
        </w:rPr>
      </w:pPr>
    </w:p>
    <w:p w14:paraId="6BAF12C8" w14:textId="77777777" w:rsidR="001870B2" w:rsidRPr="001870B2" w:rsidRDefault="001870B2" w:rsidP="001870B2">
      <w:pPr>
        <w:spacing w:after="0" w:line="480" w:lineRule="auto"/>
        <w:rPr>
          <w:rFonts w:ascii="Arial" w:eastAsia="Times New Roman" w:hAnsi="Arial" w:cs="Arial"/>
          <w:b/>
          <w:color w:val="000000"/>
          <w:sz w:val="24"/>
          <w:szCs w:val="24"/>
          <w:lang w:val="en-US" w:eastAsia="en-US"/>
        </w:rPr>
      </w:pPr>
      <w:r w:rsidRPr="001870B2">
        <w:rPr>
          <w:rFonts w:ascii="Arial" w:eastAsia="Times New Roman" w:hAnsi="Arial" w:cs="Arial"/>
          <w:b/>
          <w:color w:val="000000"/>
          <w:sz w:val="24"/>
          <w:szCs w:val="24"/>
          <w:lang w:val="en-US" w:eastAsia="en-US"/>
        </w:rPr>
        <w:t>Dosage and directions for use:</w:t>
      </w:r>
    </w:p>
    <w:p w14:paraId="36706B1B" w14:textId="43018D64" w:rsidR="001870B2" w:rsidRPr="001870B2" w:rsidRDefault="001870B2" w:rsidP="001870B2">
      <w:pPr>
        <w:spacing w:after="0" w:line="480" w:lineRule="auto"/>
        <w:rPr>
          <w:rFonts w:ascii="Arial" w:eastAsia="Times New Roman" w:hAnsi="Arial" w:cs="Arial"/>
          <w:color w:val="000000"/>
          <w:sz w:val="24"/>
          <w:szCs w:val="24"/>
          <w:lang w:val="en-US" w:eastAsia="en-US"/>
        </w:rPr>
      </w:pPr>
      <w:r w:rsidRPr="001870B2">
        <w:rPr>
          <w:rFonts w:ascii="Arial" w:eastAsia="Times New Roman" w:hAnsi="Arial" w:cs="Arial"/>
          <w:color w:val="000000"/>
          <w:sz w:val="24"/>
          <w:szCs w:val="24"/>
          <w:lang w:val="en-US" w:eastAsia="en-US"/>
        </w:rPr>
        <w:t xml:space="preserve">The patient must follow a cholesterol-lowering diet before initiation of, and while on </w:t>
      </w:r>
      <w:r w:rsidR="00797DFA">
        <w:rPr>
          <w:rFonts w:ascii="Arial" w:eastAsia="Times New Roman" w:hAnsi="Arial" w:cs="Arial"/>
          <w:color w:val="000000"/>
          <w:sz w:val="24"/>
          <w:szCs w:val="24"/>
          <w:lang w:val="en-US" w:eastAsia="en-US"/>
        </w:rPr>
        <w:t>LIPIDEX</w:t>
      </w:r>
      <w:r w:rsidR="004A02F7">
        <w:rPr>
          <w:rFonts w:ascii="Arial" w:eastAsia="Times New Roman" w:hAnsi="Arial" w:cs="Arial"/>
          <w:color w:val="000000"/>
          <w:sz w:val="24"/>
          <w:szCs w:val="24"/>
          <w:lang w:val="en-US" w:eastAsia="en-US"/>
        </w:rPr>
        <w:t xml:space="preserve"> </w:t>
      </w:r>
      <w:r w:rsidRPr="001870B2">
        <w:rPr>
          <w:rFonts w:ascii="Arial" w:eastAsia="Times New Roman" w:hAnsi="Arial" w:cs="Arial"/>
          <w:color w:val="000000"/>
          <w:sz w:val="24"/>
          <w:szCs w:val="24"/>
          <w:lang w:val="en-US" w:eastAsia="en-US"/>
        </w:rPr>
        <w:t>therapy.</w:t>
      </w:r>
    </w:p>
    <w:p w14:paraId="05BA9846" w14:textId="77777777" w:rsidR="001870B2" w:rsidRPr="001870B2" w:rsidRDefault="001870B2" w:rsidP="001870B2">
      <w:pPr>
        <w:spacing w:after="0" w:line="480" w:lineRule="auto"/>
        <w:rPr>
          <w:rFonts w:ascii="Arial" w:eastAsia="Times New Roman" w:hAnsi="Arial" w:cs="Arial"/>
          <w:b/>
          <w:i/>
          <w:color w:val="000000"/>
          <w:sz w:val="24"/>
          <w:szCs w:val="24"/>
          <w:lang w:val="en-US" w:eastAsia="en-US"/>
        </w:rPr>
      </w:pPr>
      <w:r w:rsidRPr="001870B2">
        <w:rPr>
          <w:rFonts w:ascii="Arial" w:eastAsia="Times New Roman" w:hAnsi="Arial" w:cs="Arial"/>
          <w:b/>
          <w:i/>
          <w:color w:val="000000"/>
          <w:sz w:val="24"/>
          <w:szCs w:val="24"/>
          <w:lang w:val="en-US" w:eastAsia="en-US"/>
        </w:rPr>
        <w:t>Hypercholesterolaemia:</w:t>
      </w:r>
    </w:p>
    <w:p w14:paraId="6270599E" w14:textId="77777777" w:rsidR="001870B2" w:rsidRPr="001870B2" w:rsidRDefault="001870B2" w:rsidP="001870B2">
      <w:pPr>
        <w:spacing w:after="0" w:line="480" w:lineRule="auto"/>
        <w:rPr>
          <w:rFonts w:ascii="Arial" w:eastAsia="Times New Roman" w:hAnsi="Arial" w:cs="Arial"/>
          <w:color w:val="000000"/>
          <w:sz w:val="24"/>
          <w:szCs w:val="24"/>
          <w:lang w:val="en-US" w:eastAsia="en-US"/>
        </w:rPr>
      </w:pPr>
      <w:r w:rsidRPr="001870B2">
        <w:rPr>
          <w:rFonts w:ascii="Arial" w:eastAsia="Times New Roman" w:hAnsi="Arial" w:cs="Arial"/>
          <w:i/>
          <w:color w:val="000000"/>
          <w:sz w:val="24"/>
          <w:szCs w:val="24"/>
          <w:lang w:val="en-US" w:eastAsia="en-US"/>
        </w:rPr>
        <w:t>Adults:</w:t>
      </w:r>
      <w:r w:rsidRPr="001870B2">
        <w:rPr>
          <w:rFonts w:ascii="Arial" w:eastAsia="Times New Roman" w:hAnsi="Arial" w:cs="Arial"/>
          <w:color w:val="000000"/>
          <w:sz w:val="24"/>
          <w:szCs w:val="24"/>
          <w:lang w:val="en-US" w:eastAsia="en-US"/>
        </w:rPr>
        <w:t xml:space="preserve"> Initial dose: 10 mg daily as a single dose in the evening.</w:t>
      </w:r>
    </w:p>
    <w:p w14:paraId="0B2AF857" w14:textId="07F1B111" w:rsidR="001870B2" w:rsidRPr="001870B2" w:rsidRDefault="001870B2" w:rsidP="001870B2">
      <w:pPr>
        <w:spacing w:after="0" w:line="480" w:lineRule="auto"/>
        <w:rPr>
          <w:rFonts w:ascii="Arial" w:eastAsia="Times New Roman" w:hAnsi="Arial" w:cs="Arial"/>
          <w:color w:val="000000"/>
          <w:sz w:val="24"/>
          <w:szCs w:val="24"/>
          <w:lang w:val="en-US" w:eastAsia="en-US"/>
        </w:rPr>
      </w:pPr>
      <w:r w:rsidRPr="001870B2">
        <w:rPr>
          <w:rFonts w:ascii="Arial" w:eastAsia="Times New Roman" w:hAnsi="Arial" w:cs="Arial"/>
          <w:color w:val="000000"/>
          <w:sz w:val="24"/>
          <w:szCs w:val="24"/>
          <w:lang w:val="en-US" w:eastAsia="en-US"/>
        </w:rPr>
        <w:t xml:space="preserve">The dose of </w:t>
      </w:r>
      <w:r w:rsidR="00797DFA">
        <w:rPr>
          <w:rFonts w:ascii="Arial" w:eastAsia="Times New Roman" w:hAnsi="Arial" w:cs="Arial"/>
          <w:color w:val="000000"/>
          <w:sz w:val="24"/>
          <w:szCs w:val="24"/>
          <w:lang w:val="en-US" w:eastAsia="en-US"/>
        </w:rPr>
        <w:t>LIPIDEX</w:t>
      </w:r>
      <w:r w:rsidR="004A02F7">
        <w:rPr>
          <w:rFonts w:ascii="Arial" w:eastAsia="Times New Roman" w:hAnsi="Arial" w:cs="Arial"/>
          <w:color w:val="000000"/>
          <w:sz w:val="24"/>
          <w:szCs w:val="24"/>
          <w:lang w:val="en-US" w:eastAsia="en-US"/>
        </w:rPr>
        <w:t xml:space="preserve"> </w:t>
      </w:r>
      <w:r w:rsidRPr="001870B2">
        <w:rPr>
          <w:rFonts w:ascii="Arial" w:eastAsia="Times New Roman" w:hAnsi="Arial" w:cs="Arial"/>
          <w:color w:val="000000"/>
          <w:sz w:val="24"/>
          <w:szCs w:val="24"/>
          <w:lang w:val="en-US" w:eastAsia="en-US"/>
        </w:rPr>
        <w:t>should be reduced if LDL-cholesterol levels fall below 1,94 mmol/l, or total plasma cholesterol levels fall below 3,6 mmol/l.</w:t>
      </w:r>
    </w:p>
    <w:p w14:paraId="51317DF0" w14:textId="77777777" w:rsidR="005C59F1" w:rsidRPr="00EA0389" w:rsidRDefault="005C59F1" w:rsidP="001870B2">
      <w:pPr>
        <w:spacing w:after="0" w:line="480" w:lineRule="auto"/>
        <w:rPr>
          <w:rFonts w:ascii="Arial" w:eastAsia="Times New Roman" w:hAnsi="Arial" w:cs="Arial"/>
          <w:b/>
          <w:i/>
          <w:color w:val="000000"/>
          <w:sz w:val="20"/>
          <w:szCs w:val="24"/>
          <w:lang w:val="en-US" w:eastAsia="en-US"/>
        </w:rPr>
      </w:pPr>
    </w:p>
    <w:p w14:paraId="4ABC9EC4" w14:textId="77777777" w:rsidR="001870B2" w:rsidRPr="001870B2" w:rsidRDefault="001870B2" w:rsidP="001870B2">
      <w:pPr>
        <w:spacing w:after="0" w:line="480" w:lineRule="auto"/>
        <w:rPr>
          <w:rFonts w:ascii="Arial" w:eastAsia="Times New Roman" w:hAnsi="Arial" w:cs="Arial"/>
          <w:b/>
          <w:i/>
          <w:color w:val="000000"/>
          <w:sz w:val="24"/>
          <w:szCs w:val="24"/>
          <w:lang w:val="en-US" w:eastAsia="en-US"/>
        </w:rPr>
      </w:pPr>
      <w:r w:rsidRPr="001870B2">
        <w:rPr>
          <w:rFonts w:ascii="Arial" w:eastAsia="Times New Roman" w:hAnsi="Arial" w:cs="Arial"/>
          <w:b/>
          <w:i/>
          <w:color w:val="000000"/>
          <w:sz w:val="24"/>
          <w:szCs w:val="24"/>
          <w:lang w:val="en-US" w:eastAsia="en-US"/>
        </w:rPr>
        <w:t>Coronary heart disease:</w:t>
      </w:r>
    </w:p>
    <w:p w14:paraId="4123ACD4" w14:textId="77777777" w:rsidR="001870B2" w:rsidRPr="001870B2" w:rsidRDefault="001870B2" w:rsidP="001870B2">
      <w:pPr>
        <w:spacing w:after="0" w:line="480" w:lineRule="auto"/>
        <w:rPr>
          <w:rFonts w:ascii="Arial" w:eastAsia="Times New Roman" w:hAnsi="Arial" w:cs="Arial"/>
          <w:color w:val="000000"/>
          <w:sz w:val="24"/>
          <w:szCs w:val="24"/>
          <w:lang w:val="en-US" w:eastAsia="en-US"/>
        </w:rPr>
      </w:pPr>
      <w:r w:rsidRPr="001870B2">
        <w:rPr>
          <w:rFonts w:ascii="Arial" w:eastAsia="Times New Roman" w:hAnsi="Arial" w:cs="Arial"/>
          <w:i/>
          <w:color w:val="000000"/>
          <w:sz w:val="24"/>
          <w:szCs w:val="24"/>
          <w:lang w:val="en-US" w:eastAsia="en-US"/>
        </w:rPr>
        <w:t>Adults:</w:t>
      </w:r>
      <w:r w:rsidRPr="001870B2">
        <w:rPr>
          <w:rFonts w:ascii="Arial" w:eastAsia="Times New Roman" w:hAnsi="Arial" w:cs="Arial"/>
          <w:color w:val="000000"/>
          <w:sz w:val="24"/>
          <w:szCs w:val="24"/>
          <w:lang w:val="en-US" w:eastAsia="en-US"/>
        </w:rPr>
        <w:t xml:space="preserve"> Initial dose: 20 mg/day as a single dose in the evening.</w:t>
      </w:r>
    </w:p>
    <w:p w14:paraId="10AA22E0" w14:textId="77777777" w:rsidR="001870B2" w:rsidRPr="001870B2" w:rsidRDefault="001870B2" w:rsidP="001870B2">
      <w:pPr>
        <w:spacing w:after="0" w:line="480" w:lineRule="auto"/>
        <w:rPr>
          <w:rFonts w:ascii="Arial" w:eastAsia="Times New Roman" w:hAnsi="Arial" w:cs="Arial"/>
          <w:i/>
          <w:color w:val="000000"/>
          <w:sz w:val="24"/>
          <w:szCs w:val="24"/>
          <w:lang w:val="en-US" w:eastAsia="en-US"/>
        </w:rPr>
      </w:pPr>
      <w:r w:rsidRPr="001870B2">
        <w:rPr>
          <w:rFonts w:ascii="Arial" w:eastAsia="Times New Roman" w:hAnsi="Arial" w:cs="Arial"/>
          <w:i/>
          <w:color w:val="000000"/>
          <w:sz w:val="24"/>
          <w:szCs w:val="24"/>
          <w:lang w:val="en-US" w:eastAsia="en-US"/>
        </w:rPr>
        <w:t>Dosage adjustments:</w:t>
      </w:r>
    </w:p>
    <w:p w14:paraId="6A08A764" w14:textId="77777777" w:rsidR="001870B2" w:rsidRPr="001870B2" w:rsidRDefault="001870B2" w:rsidP="001870B2">
      <w:pPr>
        <w:spacing w:after="0" w:line="480" w:lineRule="auto"/>
        <w:rPr>
          <w:rFonts w:ascii="Arial" w:eastAsia="Times New Roman" w:hAnsi="Arial" w:cs="Arial"/>
          <w:color w:val="000000"/>
          <w:sz w:val="24"/>
          <w:szCs w:val="24"/>
          <w:lang w:val="en-US" w:eastAsia="en-US"/>
        </w:rPr>
      </w:pPr>
      <w:r w:rsidRPr="001870B2">
        <w:rPr>
          <w:rFonts w:ascii="Arial" w:eastAsia="Times New Roman" w:hAnsi="Arial" w:cs="Arial"/>
          <w:color w:val="000000"/>
          <w:sz w:val="24"/>
          <w:szCs w:val="24"/>
          <w:lang w:val="en-US" w:eastAsia="en-US"/>
        </w:rPr>
        <w:t>If required, the dose should be adjusted at intervals of not less than 4 weeks, up to a maximum of 80 mg daily as a single dose in the evening.</w:t>
      </w:r>
    </w:p>
    <w:p w14:paraId="690A941F" w14:textId="6FC54577" w:rsidR="001870B2" w:rsidRPr="001870B2" w:rsidRDefault="00797DFA" w:rsidP="001870B2">
      <w:pPr>
        <w:spacing w:after="0" w:line="480" w:lineRule="auto"/>
        <w:rPr>
          <w:rFonts w:ascii="Arial" w:eastAsia="Times New Roman" w:hAnsi="Arial" w:cs="Arial"/>
          <w:color w:val="000000"/>
          <w:sz w:val="24"/>
          <w:szCs w:val="24"/>
          <w:lang w:val="en-US" w:eastAsia="en-US"/>
        </w:rPr>
      </w:pPr>
      <w:r>
        <w:rPr>
          <w:rFonts w:ascii="Arial" w:eastAsia="Times New Roman" w:hAnsi="Arial" w:cs="Arial"/>
          <w:color w:val="000000"/>
          <w:sz w:val="24"/>
          <w:szCs w:val="24"/>
          <w:lang w:val="en-US" w:eastAsia="en-US"/>
        </w:rPr>
        <w:lastRenderedPageBreak/>
        <w:t>LIPIDEX</w:t>
      </w:r>
      <w:r w:rsidR="004A02F7">
        <w:rPr>
          <w:rFonts w:ascii="Arial" w:eastAsia="Times New Roman" w:hAnsi="Arial" w:cs="Arial"/>
          <w:color w:val="000000"/>
          <w:sz w:val="24"/>
          <w:szCs w:val="24"/>
          <w:lang w:val="en-US" w:eastAsia="en-US"/>
        </w:rPr>
        <w:t xml:space="preserve"> </w:t>
      </w:r>
      <w:r w:rsidR="001870B2" w:rsidRPr="001870B2">
        <w:rPr>
          <w:rFonts w:ascii="Arial" w:eastAsia="Times New Roman" w:hAnsi="Arial" w:cs="Arial"/>
          <w:color w:val="000000"/>
          <w:sz w:val="24"/>
          <w:szCs w:val="24"/>
          <w:lang w:val="en-US" w:eastAsia="en-US"/>
        </w:rPr>
        <w:t xml:space="preserve">can be taken with meals or on an empty stomach. </w:t>
      </w:r>
    </w:p>
    <w:p w14:paraId="55E15F93" w14:textId="77777777" w:rsidR="001870B2" w:rsidRPr="00EA0389" w:rsidRDefault="001870B2" w:rsidP="001870B2">
      <w:pPr>
        <w:spacing w:after="0" w:line="480" w:lineRule="auto"/>
        <w:rPr>
          <w:rFonts w:ascii="Arial" w:eastAsia="Times New Roman" w:hAnsi="Arial" w:cs="Arial"/>
          <w:b/>
          <w:i/>
          <w:color w:val="000000"/>
          <w:sz w:val="20"/>
          <w:szCs w:val="24"/>
          <w:lang w:val="en-US" w:eastAsia="en-US"/>
        </w:rPr>
      </w:pPr>
    </w:p>
    <w:p w14:paraId="421C5CF9" w14:textId="77777777" w:rsidR="001870B2" w:rsidRPr="001870B2" w:rsidRDefault="001870B2" w:rsidP="001870B2">
      <w:pPr>
        <w:spacing w:after="0" w:line="480" w:lineRule="auto"/>
        <w:rPr>
          <w:rFonts w:ascii="Arial" w:eastAsia="Times New Roman" w:hAnsi="Arial" w:cs="Arial"/>
          <w:b/>
          <w:i/>
          <w:color w:val="000000"/>
          <w:sz w:val="24"/>
          <w:szCs w:val="24"/>
          <w:lang w:val="en-US" w:eastAsia="en-US"/>
        </w:rPr>
      </w:pPr>
      <w:r w:rsidRPr="001870B2">
        <w:rPr>
          <w:rFonts w:ascii="Arial" w:eastAsia="Times New Roman" w:hAnsi="Arial" w:cs="Arial"/>
          <w:b/>
          <w:i/>
          <w:color w:val="000000"/>
          <w:sz w:val="24"/>
          <w:szCs w:val="24"/>
          <w:lang w:val="en-US" w:eastAsia="en-US"/>
        </w:rPr>
        <w:t>Dosage in renal insufficiency:</w:t>
      </w:r>
    </w:p>
    <w:p w14:paraId="55279CBD" w14:textId="6917BDB8" w:rsidR="001870B2" w:rsidRPr="001870B2" w:rsidRDefault="00797DFA" w:rsidP="001870B2">
      <w:pPr>
        <w:spacing w:after="0" w:line="480" w:lineRule="auto"/>
        <w:rPr>
          <w:rFonts w:ascii="Arial" w:eastAsia="Times New Roman" w:hAnsi="Arial" w:cs="Arial"/>
          <w:color w:val="000000"/>
          <w:sz w:val="24"/>
          <w:szCs w:val="24"/>
          <w:lang w:val="en-US" w:eastAsia="en-US"/>
        </w:rPr>
      </w:pPr>
      <w:r>
        <w:rPr>
          <w:rFonts w:ascii="Arial" w:eastAsia="Times New Roman" w:hAnsi="Arial" w:cs="Arial"/>
          <w:color w:val="000000"/>
          <w:sz w:val="24"/>
          <w:szCs w:val="24"/>
          <w:lang w:val="en-US" w:eastAsia="en-US"/>
        </w:rPr>
        <w:t>LIPIDEX</w:t>
      </w:r>
      <w:r w:rsidR="004A02F7">
        <w:rPr>
          <w:rFonts w:ascii="Arial" w:eastAsia="Times New Roman" w:hAnsi="Arial" w:cs="Arial"/>
          <w:color w:val="000000"/>
          <w:sz w:val="24"/>
          <w:szCs w:val="24"/>
          <w:lang w:val="en-US" w:eastAsia="en-US"/>
        </w:rPr>
        <w:t xml:space="preserve"> </w:t>
      </w:r>
      <w:r w:rsidR="001870B2" w:rsidRPr="001870B2">
        <w:rPr>
          <w:rFonts w:ascii="Arial" w:eastAsia="Times New Roman" w:hAnsi="Arial" w:cs="Arial"/>
          <w:color w:val="000000"/>
          <w:sz w:val="24"/>
          <w:szCs w:val="24"/>
          <w:lang w:val="en-US" w:eastAsia="en-US"/>
        </w:rPr>
        <w:t xml:space="preserve">does not undergo significant renal excretion, therefore modification of dose should not be necessary in patients with mild to moderate renal insufficiency. In patients with severe renal insufficiency </w:t>
      </w:r>
      <w:r>
        <w:rPr>
          <w:rFonts w:ascii="Arial" w:eastAsia="Times New Roman" w:hAnsi="Arial" w:cs="Arial"/>
          <w:color w:val="000000"/>
          <w:sz w:val="24"/>
          <w:szCs w:val="24"/>
          <w:lang w:val="en-US" w:eastAsia="en-US"/>
        </w:rPr>
        <w:t>LIPIDEX</w:t>
      </w:r>
      <w:r w:rsidR="004A02F7">
        <w:rPr>
          <w:rFonts w:ascii="Arial" w:eastAsia="Times New Roman" w:hAnsi="Arial" w:cs="Arial"/>
          <w:color w:val="000000"/>
          <w:sz w:val="24"/>
          <w:szCs w:val="24"/>
          <w:lang w:val="en-US" w:eastAsia="en-US"/>
        </w:rPr>
        <w:t xml:space="preserve"> </w:t>
      </w:r>
      <w:r w:rsidR="001870B2" w:rsidRPr="001870B2">
        <w:rPr>
          <w:rFonts w:ascii="Arial" w:eastAsia="Times New Roman" w:hAnsi="Arial" w:cs="Arial"/>
          <w:color w:val="000000"/>
          <w:sz w:val="24"/>
          <w:szCs w:val="24"/>
          <w:lang w:val="en-US" w:eastAsia="en-US"/>
        </w:rPr>
        <w:t>therapy should be closely monitored and doses above 10 mg/day should be implemented with caution.</w:t>
      </w:r>
    </w:p>
    <w:p w14:paraId="6BB4E828" w14:textId="77777777" w:rsidR="001870B2" w:rsidRPr="00EA0389" w:rsidRDefault="001870B2" w:rsidP="001870B2">
      <w:pPr>
        <w:spacing w:after="0" w:line="480" w:lineRule="auto"/>
        <w:rPr>
          <w:rFonts w:ascii="Arial" w:eastAsia="Times New Roman" w:hAnsi="Arial" w:cs="Arial"/>
          <w:color w:val="000000"/>
          <w:sz w:val="18"/>
          <w:szCs w:val="24"/>
          <w:u w:val="single"/>
          <w:lang w:val="en-US" w:eastAsia="en-US"/>
        </w:rPr>
      </w:pPr>
    </w:p>
    <w:p w14:paraId="163B3D25" w14:textId="77777777" w:rsidR="001870B2" w:rsidRPr="001870B2" w:rsidRDefault="001870B2" w:rsidP="001870B2">
      <w:pPr>
        <w:spacing w:after="0" w:line="480" w:lineRule="auto"/>
        <w:rPr>
          <w:rFonts w:ascii="Arial" w:eastAsia="Times New Roman" w:hAnsi="Arial" w:cs="Arial"/>
          <w:b/>
          <w:i/>
          <w:color w:val="000000"/>
          <w:sz w:val="24"/>
          <w:szCs w:val="24"/>
          <w:lang w:val="en-US" w:eastAsia="en-US"/>
        </w:rPr>
      </w:pPr>
      <w:r w:rsidRPr="001870B2">
        <w:rPr>
          <w:rFonts w:ascii="Arial" w:eastAsia="Times New Roman" w:hAnsi="Arial" w:cs="Arial"/>
          <w:b/>
          <w:i/>
          <w:color w:val="000000"/>
          <w:sz w:val="24"/>
          <w:szCs w:val="24"/>
          <w:lang w:val="en-US" w:eastAsia="en-US"/>
        </w:rPr>
        <w:t>Concomitant therapy:</w:t>
      </w:r>
    </w:p>
    <w:p w14:paraId="79A57C98" w14:textId="0A09FE36" w:rsidR="001870B2" w:rsidRPr="001870B2" w:rsidRDefault="00797DFA" w:rsidP="001870B2">
      <w:pPr>
        <w:spacing w:after="0" w:line="480" w:lineRule="auto"/>
        <w:rPr>
          <w:rFonts w:ascii="Arial" w:eastAsia="Times New Roman" w:hAnsi="Arial" w:cs="Arial"/>
          <w:color w:val="000000"/>
          <w:sz w:val="24"/>
          <w:szCs w:val="24"/>
          <w:lang w:val="en-US" w:eastAsia="en-US"/>
        </w:rPr>
      </w:pPr>
      <w:r>
        <w:rPr>
          <w:rFonts w:ascii="Arial" w:eastAsia="Times New Roman" w:hAnsi="Arial" w:cs="Arial"/>
          <w:color w:val="000000"/>
          <w:sz w:val="24"/>
          <w:szCs w:val="24"/>
          <w:lang w:val="en-US" w:eastAsia="en-US"/>
        </w:rPr>
        <w:t>LIPIDEX</w:t>
      </w:r>
      <w:r w:rsidR="004A02F7">
        <w:rPr>
          <w:rFonts w:ascii="Arial" w:eastAsia="Times New Roman" w:hAnsi="Arial" w:cs="Arial"/>
          <w:color w:val="000000"/>
          <w:sz w:val="24"/>
          <w:szCs w:val="24"/>
          <w:lang w:val="en-US" w:eastAsia="en-US"/>
        </w:rPr>
        <w:t xml:space="preserve"> </w:t>
      </w:r>
      <w:r w:rsidR="001870B2" w:rsidRPr="001870B2">
        <w:rPr>
          <w:rFonts w:ascii="Arial" w:eastAsia="Times New Roman" w:hAnsi="Arial" w:cs="Arial"/>
          <w:color w:val="000000"/>
          <w:sz w:val="24"/>
          <w:szCs w:val="24"/>
          <w:lang w:val="en-US" w:eastAsia="en-US"/>
        </w:rPr>
        <w:t>effective alone or in combination with bile acid sequestrants.</w:t>
      </w:r>
    </w:p>
    <w:p w14:paraId="5CA9D059" w14:textId="6BA196B5" w:rsidR="001870B2" w:rsidRPr="001870B2" w:rsidRDefault="001870B2" w:rsidP="001870B2">
      <w:pPr>
        <w:spacing w:after="0" w:line="480" w:lineRule="auto"/>
        <w:rPr>
          <w:rFonts w:ascii="Arial" w:eastAsia="Times New Roman" w:hAnsi="Arial" w:cs="Arial"/>
          <w:color w:val="000000"/>
          <w:sz w:val="24"/>
          <w:szCs w:val="24"/>
          <w:lang w:val="en-US" w:eastAsia="en-US"/>
        </w:rPr>
      </w:pPr>
      <w:r w:rsidRPr="001870B2">
        <w:rPr>
          <w:rFonts w:ascii="Arial" w:eastAsia="Times New Roman" w:hAnsi="Arial" w:cs="Arial"/>
          <w:color w:val="000000"/>
          <w:sz w:val="24"/>
          <w:szCs w:val="24"/>
          <w:lang w:val="en-US" w:eastAsia="en-US"/>
        </w:rPr>
        <w:t xml:space="preserve">When both medicines are prescribed, </w:t>
      </w:r>
      <w:r w:rsidR="00797DFA">
        <w:rPr>
          <w:rFonts w:ascii="Arial" w:eastAsia="Times New Roman" w:hAnsi="Arial" w:cs="Arial"/>
          <w:color w:val="000000"/>
          <w:sz w:val="24"/>
          <w:szCs w:val="24"/>
          <w:lang w:val="en-US" w:eastAsia="en-US"/>
        </w:rPr>
        <w:t>LIPIDEX</w:t>
      </w:r>
      <w:r w:rsidR="004A02F7">
        <w:rPr>
          <w:rFonts w:ascii="Arial" w:eastAsia="Times New Roman" w:hAnsi="Arial" w:cs="Arial"/>
          <w:color w:val="000000"/>
          <w:sz w:val="24"/>
          <w:szCs w:val="24"/>
          <w:lang w:val="en-US" w:eastAsia="en-US"/>
        </w:rPr>
        <w:t xml:space="preserve"> </w:t>
      </w:r>
      <w:r w:rsidRPr="001870B2">
        <w:rPr>
          <w:rFonts w:ascii="Arial" w:eastAsia="Times New Roman" w:hAnsi="Arial" w:cs="Arial"/>
          <w:color w:val="000000"/>
          <w:sz w:val="24"/>
          <w:szCs w:val="24"/>
          <w:lang w:val="en-US" w:eastAsia="en-US"/>
        </w:rPr>
        <w:t xml:space="preserve">should be given 1 hour before or 4 hours after cholestyramine administration </w:t>
      </w:r>
      <w:r w:rsidRPr="001870B2">
        <w:rPr>
          <w:rFonts w:ascii="Arial" w:eastAsia="Times New Roman" w:hAnsi="Arial" w:cs="Arial"/>
          <w:color w:val="000000"/>
          <w:spacing w:val="2"/>
          <w:sz w:val="24"/>
          <w:szCs w:val="24"/>
          <w:lang w:val="en-US" w:eastAsia="en-US"/>
        </w:rPr>
        <w:t>(see</w:t>
      </w:r>
      <w:r w:rsidRPr="001870B2">
        <w:rPr>
          <w:rFonts w:ascii="Arial" w:eastAsia="Times New Roman" w:hAnsi="Arial" w:cs="Arial"/>
          <w:color w:val="000000"/>
          <w:sz w:val="24"/>
          <w:szCs w:val="24"/>
          <w:lang w:val="en-US" w:eastAsia="en-US"/>
        </w:rPr>
        <w:t xml:space="preserve"> “Interactions”). A maximum daily dose of 10 mg </w:t>
      </w:r>
      <w:r w:rsidR="00797DFA">
        <w:rPr>
          <w:rFonts w:ascii="Arial" w:eastAsia="Times New Roman" w:hAnsi="Arial" w:cs="Arial"/>
          <w:color w:val="000000"/>
          <w:sz w:val="24"/>
          <w:szCs w:val="24"/>
          <w:lang w:val="en-US" w:eastAsia="en-US"/>
        </w:rPr>
        <w:t>LIPIDEX</w:t>
      </w:r>
      <w:r w:rsidR="004A02F7">
        <w:rPr>
          <w:rFonts w:ascii="Arial" w:eastAsia="Times New Roman" w:hAnsi="Arial" w:cs="Arial"/>
          <w:color w:val="000000"/>
          <w:sz w:val="24"/>
          <w:szCs w:val="24"/>
          <w:lang w:val="en-US" w:eastAsia="en-US"/>
        </w:rPr>
        <w:t xml:space="preserve"> </w:t>
      </w:r>
      <w:r w:rsidRPr="001870B2">
        <w:rPr>
          <w:rFonts w:ascii="Arial" w:eastAsia="Times New Roman" w:hAnsi="Arial" w:cs="Arial"/>
          <w:color w:val="000000"/>
          <w:sz w:val="24"/>
          <w:szCs w:val="24"/>
          <w:lang w:val="en-US" w:eastAsia="en-US"/>
        </w:rPr>
        <w:t>is recommended in patients taking cyclosporin, danazol, fibrates or niacin concomitantly (see “Interactions”).</w:t>
      </w:r>
    </w:p>
    <w:p w14:paraId="0C5D8E84" w14:textId="77777777" w:rsidR="005C59F1" w:rsidRPr="00EA0389" w:rsidRDefault="005C59F1" w:rsidP="001870B2">
      <w:pPr>
        <w:spacing w:after="0" w:line="480" w:lineRule="auto"/>
        <w:rPr>
          <w:rFonts w:ascii="Arial" w:eastAsia="Times New Roman" w:hAnsi="Arial" w:cs="Arial"/>
          <w:color w:val="000000"/>
          <w:sz w:val="20"/>
          <w:szCs w:val="24"/>
          <w:lang w:val="en-US" w:eastAsia="en-US"/>
        </w:rPr>
      </w:pPr>
    </w:p>
    <w:p w14:paraId="288F5328" w14:textId="77777777" w:rsidR="001870B2" w:rsidRPr="001870B2" w:rsidRDefault="001870B2" w:rsidP="001870B2">
      <w:pPr>
        <w:spacing w:after="0" w:line="480" w:lineRule="auto"/>
        <w:rPr>
          <w:rFonts w:ascii="Arial" w:eastAsia="Times New Roman" w:hAnsi="Arial" w:cs="Arial"/>
          <w:b/>
          <w:color w:val="000000"/>
          <w:sz w:val="24"/>
          <w:szCs w:val="24"/>
          <w:lang w:val="en-US" w:eastAsia="en-US"/>
        </w:rPr>
      </w:pPr>
      <w:r w:rsidRPr="001870B2">
        <w:rPr>
          <w:rFonts w:ascii="Arial" w:eastAsia="Times New Roman" w:hAnsi="Arial" w:cs="Arial"/>
          <w:b/>
          <w:color w:val="000000"/>
          <w:sz w:val="24"/>
          <w:szCs w:val="24"/>
          <w:lang w:val="en-US" w:eastAsia="en-US"/>
        </w:rPr>
        <w:t>Side-effects and special precautions:</w:t>
      </w:r>
    </w:p>
    <w:p w14:paraId="1D75E466" w14:textId="77777777" w:rsidR="001870B2" w:rsidRPr="001870B2" w:rsidRDefault="001870B2" w:rsidP="001870B2">
      <w:pPr>
        <w:spacing w:after="0" w:line="480" w:lineRule="auto"/>
        <w:rPr>
          <w:rFonts w:ascii="Arial" w:eastAsia="Times New Roman" w:hAnsi="Arial" w:cs="Arial"/>
          <w:b/>
          <w:i/>
          <w:color w:val="000000"/>
          <w:spacing w:val="6"/>
          <w:sz w:val="24"/>
          <w:szCs w:val="24"/>
          <w:lang w:val="en-US" w:eastAsia="en-US"/>
        </w:rPr>
      </w:pPr>
      <w:r w:rsidRPr="001870B2">
        <w:rPr>
          <w:rFonts w:ascii="Arial" w:eastAsia="Times New Roman" w:hAnsi="Arial" w:cs="Arial"/>
          <w:b/>
          <w:i/>
          <w:color w:val="000000"/>
          <w:spacing w:val="6"/>
          <w:sz w:val="24"/>
          <w:szCs w:val="24"/>
          <w:lang w:val="en-US" w:eastAsia="en-US"/>
        </w:rPr>
        <w:t>Side-effects:</w:t>
      </w:r>
    </w:p>
    <w:p w14:paraId="4EC7DFBE" w14:textId="77777777" w:rsidR="001870B2" w:rsidRPr="001870B2" w:rsidRDefault="001870B2" w:rsidP="001870B2">
      <w:pPr>
        <w:spacing w:after="0" w:line="480" w:lineRule="auto"/>
        <w:rPr>
          <w:rFonts w:ascii="Arial" w:eastAsia="Times New Roman" w:hAnsi="Arial" w:cs="Times New Roman"/>
          <w:b/>
          <w:color w:val="000000"/>
          <w:sz w:val="24"/>
          <w:szCs w:val="20"/>
          <w:lang w:val="en-GB" w:eastAsia="en-US"/>
        </w:rPr>
      </w:pPr>
      <w:r w:rsidRPr="001870B2">
        <w:rPr>
          <w:rFonts w:ascii="Arial" w:eastAsia="Times New Roman" w:hAnsi="Arial" w:cs="Arial"/>
          <w:b/>
          <w:color w:val="000000"/>
          <w:spacing w:val="6"/>
          <w:sz w:val="24"/>
          <w:szCs w:val="24"/>
          <w:lang w:val="en-US" w:eastAsia="en-US"/>
        </w:rPr>
        <w:t>Gast</w:t>
      </w:r>
      <w:r w:rsidRPr="001870B2">
        <w:rPr>
          <w:rFonts w:ascii="Arial" w:eastAsia="Times New Roman" w:hAnsi="Arial" w:cs="Times New Roman"/>
          <w:b/>
          <w:color w:val="000000"/>
          <w:sz w:val="24"/>
          <w:szCs w:val="20"/>
          <w:lang w:val="en-GB" w:eastAsia="en-US"/>
        </w:rPr>
        <w:t>rointestinal:</w:t>
      </w:r>
    </w:p>
    <w:p w14:paraId="64DF48D3" w14:textId="77777777" w:rsidR="001870B2" w:rsidRPr="001870B2" w:rsidRDefault="001870B2" w:rsidP="001870B2">
      <w:pPr>
        <w:spacing w:after="0" w:line="480" w:lineRule="auto"/>
        <w:rPr>
          <w:rFonts w:ascii="Arial" w:eastAsia="Times New Roman" w:hAnsi="Arial" w:cs="Times New Roman"/>
          <w:color w:val="000000"/>
          <w:sz w:val="24"/>
          <w:szCs w:val="20"/>
          <w:lang w:val="en-GB" w:eastAsia="en-US"/>
        </w:rPr>
      </w:pPr>
      <w:r w:rsidRPr="001870B2">
        <w:rPr>
          <w:rFonts w:ascii="Arial" w:eastAsia="Times New Roman" w:hAnsi="Arial" w:cs="Times New Roman"/>
          <w:i/>
          <w:color w:val="000000"/>
          <w:sz w:val="24"/>
          <w:szCs w:val="20"/>
          <w:lang w:val="en-GB" w:eastAsia="en-US"/>
        </w:rPr>
        <w:t xml:space="preserve">Frequent:  </w:t>
      </w:r>
      <w:r w:rsidRPr="001870B2">
        <w:rPr>
          <w:rFonts w:ascii="Arial" w:eastAsia="Times New Roman" w:hAnsi="Arial" w:cs="Times New Roman"/>
          <w:color w:val="000000"/>
          <w:sz w:val="24"/>
          <w:szCs w:val="20"/>
          <w:lang w:val="en-GB" w:eastAsia="en-US"/>
        </w:rPr>
        <w:t>Constipation, diarrhoea, nausea, flatulence, abdominal pain.</w:t>
      </w:r>
    </w:p>
    <w:p w14:paraId="64F9A775" w14:textId="77777777" w:rsidR="001870B2" w:rsidRPr="001870B2" w:rsidRDefault="001870B2" w:rsidP="001870B2">
      <w:pPr>
        <w:spacing w:after="0" w:line="480" w:lineRule="auto"/>
        <w:rPr>
          <w:rFonts w:ascii="Arial" w:eastAsia="Times New Roman" w:hAnsi="Arial" w:cs="Times New Roman"/>
          <w:i/>
          <w:color w:val="000000"/>
          <w:sz w:val="24"/>
          <w:szCs w:val="20"/>
          <w:lang w:val="en-GB" w:eastAsia="en-US"/>
        </w:rPr>
      </w:pPr>
      <w:r w:rsidRPr="001870B2">
        <w:rPr>
          <w:rFonts w:ascii="Arial" w:eastAsia="Times New Roman" w:hAnsi="Arial" w:cs="Times New Roman"/>
          <w:i/>
          <w:color w:val="000000"/>
          <w:sz w:val="24"/>
          <w:szCs w:val="20"/>
          <w:lang w:val="en-GB" w:eastAsia="en-US"/>
        </w:rPr>
        <w:t>The following have been reported and the frequencies are unknown:</w:t>
      </w:r>
    </w:p>
    <w:p w14:paraId="589A276B" w14:textId="77777777" w:rsidR="001870B2" w:rsidRPr="001870B2" w:rsidRDefault="001870B2" w:rsidP="001870B2">
      <w:pPr>
        <w:spacing w:after="0" w:line="480" w:lineRule="auto"/>
        <w:rPr>
          <w:rFonts w:ascii="Arial" w:eastAsia="Times New Roman" w:hAnsi="Arial" w:cs="Times New Roman"/>
          <w:color w:val="000000"/>
          <w:sz w:val="24"/>
          <w:szCs w:val="20"/>
          <w:lang w:val="en-GB" w:eastAsia="en-US"/>
        </w:rPr>
      </w:pPr>
      <w:r w:rsidRPr="001870B2">
        <w:rPr>
          <w:rFonts w:ascii="Arial" w:eastAsia="Times New Roman" w:hAnsi="Arial" w:cs="Times New Roman"/>
          <w:color w:val="000000"/>
          <w:sz w:val="24"/>
          <w:szCs w:val="20"/>
          <w:lang w:val="en-GB" w:eastAsia="en-US"/>
        </w:rPr>
        <w:t>Vomiting, dyspepsia and pancreatitis.</w:t>
      </w:r>
    </w:p>
    <w:p w14:paraId="2CE70DA3" w14:textId="77777777" w:rsidR="001870B2" w:rsidRPr="00EA0389" w:rsidRDefault="001870B2" w:rsidP="001870B2">
      <w:pPr>
        <w:spacing w:after="0" w:line="480" w:lineRule="auto"/>
        <w:rPr>
          <w:rFonts w:ascii="Arial" w:eastAsia="Times New Roman" w:hAnsi="Arial" w:cs="Times New Roman"/>
          <w:b/>
          <w:color w:val="000000"/>
          <w:sz w:val="20"/>
          <w:szCs w:val="20"/>
          <w:lang w:val="en-GB" w:eastAsia="en-US"/>
        </w:rPr>
      </w:pPr>
    </w:p>
    <w:p w14:paraId="3702F0EB" w14:textId="77777777" w:rsidR="001870B2" w:rsidRPr="001870B2" w:rsidRDefault="001870B2" w:rsidP="001870B2">
      <w:pPr>
        <w:spacing w:after="0" w:line="480" w:lineRule="auto"/>
        <w:rPr>
          <w:rFonts w:ascii="Arial" w:eastAsia="Times New Roman" w:hAnsi="Arial" w:cs="Times New Roman"/>
          <w:color w:val="000000"/>
          <w:sz w:val="24"/>
          <w:szCs w:val="20"/>
          <w:lang w:val="en-GB" w:eastAsia="en-US"/>
        </w:rPr>
      </w:pPr>
      <w:r w:rsidRPr="001870B2">
        <w:rPr>
          <w:rFonts w:ascii="Arial" w:eastAsia="Times New Roman" w:hAnsi="Arial" w:cs="Times New Roman"/>
          <w:b/>
          <w:color w:val="000000"/>
          <w:sz w:val="24"/>
          <w:szCs w:val="20"/>
          <w:lang w:val="en-GB" w:eastAsia="en-US"/>
        </w:rPr>
        <w:t>Haematological:</w:t>
      </w:r>
    </w:p>
    <w:p w14:paraId="06E144E3" w14:textId="77777777" w:rsidR="001870B2" w:rsidRPr="001870B2" w:rsidRDefault="001870B2" w:rsidP="001870B2">
      <w:pPr>
        <w:spacing w:after="0" w:line="480" w:lineRule="auto"/>
        <w:rPr>
          <w:rFonts w:ascii="Arial" w:eastAsia="Times New Roman" w:hAnsi="Arial" w:cs="Times New Roman"/>
          <w:i/>
          <w:color w:val="000000"/>
          <w:sz w:val="24"/>
          <w:szCs w:val="20"/>
          <w:lang w:val="en-GB" w:eastAsia="en-US"/>
        </w:rPr>
      </w:pPr>
      <w:r w:rsidRPr="001870B2">
        <w:rPr>
          <w:rFonts w:ascii="Arial" w:eastAsia="Times New Roman" w:hAnsi="Arial" w:cs="Times New Roman"/>
          <w:i/>
          <w:color w:val="000000"/>
          <w:sz w:val="24"/>
          <w:szCs w:val="20"/>
          <w:lang w:val="en-GB" w:eastAsia="en-US"/>
        </w:rPr>
        <w:t>The following have been reported and the frequencies are unknown:</w:t>
      </w:r>
    </w:p>
    <w:p w14:paraId="0B1C5FF5" w14:textId="77777777" w:rsidR="001870B2" w:rsidRPr="001870B2" w:rsidRDefault="001870B2" w:rsidP="001870B2">
      <w:pPr>
        <w:spacing w:after="0" w:line="480" w:lineRule="auto"/>
        <w:rPr>
          <w:rFonts w:ascii="Arial" w:eastAsia="Times New Roman" w:hAnsi="Arial" w:cs="Times New Roman"/>
          <w:color w:val="000000"/>
          <w:sz w:val="24"/>
          <w:szCs w:val="20"/>
          <w:lang w:val="en-GB" w:eastAsia="en-US"/>
        </w:rPr>
      </w:pPr>
      <w:r w:rsidRPr="001870B2">
        <w:rPr>
          <w:rFonts w:ascii="Arial" w:eastAsia="Times New Roman" w:hAnsi="Arial" w:cs="Times New Roman"/>
          <w:color w:val="000000"/>
          <w:sz w:val="24"/>
          <w:szCs w:val="20"/>
          <w:lang w:val="en-GB" w:eastAsia="en-US"/>
        </w:rPr>
        <w:t>Anaemia, neutropenia.</w:t>
      </w:r>
    </w:p>
    <w:p w14:paraId="5A99E2EA" w14:textId="77777777" w:rsidR="001870B2" w:rsidRPr="00EA0389" w:rsidRDefault="001870B2" w:rsidP="001870B2">
      <w:pPr>
        <w:spacing w:after="0" w:line="480" w:lineRule="auto"/>
        <w:rPr>
          <w:rFonts w:ascii="Arial" w:eastAsia="Times New Roman" w:hAnsi="Arial" w:cs="Arial"/>
          <w:i/>
          <w:color w:val="000000"/>
          <w:spacing w:val="8"/>
          <w:sz w:val="20"/>
          <w:szCs w:val="24"/>
          <w:lang w:val="en-US" w:eastAsia="en-US"/>
        </w:rPr>
      </w:pPr>
    </w:p>
    <w:p w14:paraId="5CA30B97" w14:textId="77777777" w:rsidR="001870B2" w:rsidRPr="001870B2" w:rsidRDefault="001870B2" w:rsidP="001870B2">
      <w:pPr>
        <w:spacing w:after="0" w:line="480" w:lineRule="auto"/>
        <w:rPr>
          <w:rFonts w:ascii="Arial" w:eastAsia="Times New Roman" w:hAnsi="Arial" w:cs="Arial"/>
          <w:b/>
          <w:color w:val="000000"/>
          <w:spacing w:val="8"/>
          <w:sz w:val="24"/>
          <w:szCs w:val="24"/>
          <w:lang w:val="en-US" w:eastAsia="en-US"/>
        </w:rPr>
      </w:pPr>
      <w:r w:rsidRPr="001870B2">
        <w:rPr>
          <w:rFonts w:ascii="Arial" w:eastAsia="Times New Roman" w:hAnsi="Arial" w:cs="Arial"/>
          <w:b/>
          <w:color w:val="000000"/>
          <w:spacing w:val="8"/>
          <w:sz w:val="24"/>
          <w:szCs w:val="24"/>
          <w:lang w:val="en-US" w:eastAsia="en-US"/>
        </w:rPr>
        <w:t xml:space="preserve">Skin and appendages: </w:t>
      </w:r>
    </w:p>
    <w:p w14:paraId="76007EDD" w14:textId="77777777" w:rsidR="001870B2" w:rsidRPr="001870B2" w:rsidRDefault="001870B2" w:rsidP="001870B2">
      <w:pPr>
        <w:spacing w:after="0" w:line="480" w:lineRule="auto"/>
        <w:rPr>
          <w:rFonts w:ascii="Arial" w:eastAsia="Times New Roman" w:hAnsi="Arial" w:cs="Times New Roman"/>
          <w:color w:val="000000"/>
          <w:sz w:val="24"/>
          <w:szCs w:val="20"/>
          <w:lang w:val="en-GB" w:eastAsia="en-US"/>
        </w:rPr>
      </w:pPr>
      <w:r w:rsidRPr="001870B2">
        <w:rPr>
          <w:rFonts w:ascii="Arial" w:eastAsia="Times New Roman" w:hAnsi="Arial" w:cs="Times New Roman"/>
          <w:i/>
          <w:color w:val="000000"/>
          <w:sz w:val="24"/>
          <w:szCs w:val="20"/>
          <w:lang w:val="en-GB" w:eastAsia="en-US"/>
        </w:rPr>
        <w:t xml:space="preserve">Frequent:  </w:t>
      </w:r>
      <w:r w:rsidRPr="001870B2">
        <w:rPr>
          <w:rFonts w:ascii="Arial" w:eastAsia="Times New Roman" w:hAnsi="Arial" w:cs="Times New Roman"/>
          <w:color w:val="000000"/>
          <w:sz w:val="24"/>
          <w:szCs w:val="20"/>
          <w:lang w:val="en-GB" w:eastAsia="en-US"/>
        </w:rPr>
        <w:t>Skin rash.</w:t>
      </w:r>
    </w:p>
    <w:p w14:paraId="0C0FCA6A" w14:textId="77777777" w:rsidR="001870B2" w:rsidRPr="001870B2" w:rsidRDefault="001870B2" w:rsidP="001870B2">
      <w:pPr>
        <w:spacing w:after="0" w:line="480" w:lineRule="auto"/>
        <w:rPr>
          <w:rFonts w:ascii="Arial" w:eastAsia="Times New Roman" w:hAnsi="Arial" w:cs="Times New Roman"/>
          <w:i/>
          <w:color w:val="000000"/>
          <w:sz w:val="24"/>
          <w:szCs w:val="20"/>
          <w:lang w:val="en-GB" w:eastAsia="en-US"/>
        </w:rPr>
      </w:pPr>
      <w:r w:rsidRPr="001870B2">
        <w:rPr>
          <w:rFonts w:ascii="Arial" w:eastAsia="Times New Roman" w:hAnsi="Arial" w:cs="Times New Roman"/>
          <w:i/>
          <w:color w:val="000000"/>
          <w:sz w:val="24"/>
          <w:szCs w:val="20"/>
          <w:lang w:val="en-GB" w:eastAsia="en-US"/>
        </w:rPr>
        <w:t>The following has been reported and the frequency is unknown:</w:t>
      </w:r>
    </w:p>
    <w:p w14:paraId="54D50E29" w14:textId="77777777" w:rsidR="001870B2" w:rsidRPr="001870B2" w:rsidRDefault="001870B2" w:rsidP="001870B2">
      <w:pPr>
        <w:spacing w:after="0" w:line="480" w:lineRule="auto"/>
        <w:rPr>
          <w:rFonts w:ascii="Arial" w:eastAsia="Times New Roman" w:hAnsi="Arial" w:cs="Times New Roman"/>
          <w:color w:val="000000"/>
          <w:sz w:val="24"/>
          <w:szCs w:val="20"/>
          <w:lang w:val="en-GB" w:eastAsia="en-US"/>
        </w:rPr>
      </w:pPr>
      <w:r w:rsidRPr="001870B2">
        <w:rPr>
          <w:rFonts w:ascii="Arial" w:eastAsia="Times New Roman" w:hAnsi="Arial" w:cs="Times New Roman"/>
          <w:color w:val="000000"/>
          <w:sz w:val="24"/>
          <w:szCs w:val="20"/>
          <w:lang w:val="en-GB" w:eastAsia="en-US"/>
        </w:rPr>
        <w:t>Alopecia.</w:t>
      </w:r>
    </w:p>
    <w:p w14:paraId="0C8D29F1" w14:textId="77777777" w:rsidR="001870B2" w:rsidRPr="00EA0389" w:rsidRDefault="001870B2" w:rsidP="001870B2">
      <w:pPr>
        <w:spacing w:after="0" w:line="480" w:lineRule="auto"/>
        <w:rPr>
          <w:rFonts w:ascii="Arial" w:eastAsia="Times New Roman" w:hAnsi="Arial" w:cs="Times New Roman"/>
          <w:color w:val="000000"/>
          <w:sz w:val="18"/>
          <w:szCs w:val="20"/>
          <w:lang w:val="en-GB" w:eastAsia="en-US"/>
        </w:rPr>
      </w:pPr>
    </w:p>
    <w:p w14:paraId="1E8EBD5F" w14:textId="77777777" w:rsidR="001870B2" w:rsidRPr="001870B2" w:rsidRDefault="001870B2" w:rsidP="001870B2">
      <w:pPr>
        <w:spacing w:after="0" w:line="480" w:lineRule="auto"/>
        <w:rPr>
          <w:rFonts w:ascii="Arial" w:eastAsia="Times New Roman" w:hAnsi="Arial" w:cs="Times New Roman"/>
          <w:i/>
          <w:color w:val="000000"/>
          <w:sz w:val="24"/>
          <w:szCs w:val="20"/>
          <w:lang w:val="en-GB" w:eastAsia="en-US"/>
        </w:rPr>
      </w:pPr>
      <w:r w:rsidRPr="001870B2">
        <w:rPr>
          <w:rFonts w:ascii="Arial" w:eastAsia="Times New Roman" w:hAnsi="Arial" w:cs="Times New Roman"/>
          <w:b/>
          <w:color w:val="000000"/>
          <w:sz w:val="24"/>
          <w:szCs w:val="20"/>
          <w:lang w:val="en-GB" w:eastAsia="en-US"/>
        </w:rPr>
        <w:t>Musculoskeletal:</w:t>
      </w:r>
    </w:p>
    <w:p w14:paraId="6503AF8A" w14:textId="77777777" w:rsidR="001870B2" w:rsidRPr="001870B2" w:rsidRDefault="001870B2" w:rsidP="001870B2">
      <w:pPr>
        <w:spacing w:after="0" w:line="480" w:lineRule="auto"/>
        <w:rPr>
          <w:rFonts w:ascii="Arial" w:eastAsia="Times New Roman" w:hAnsi="Arial" w:cs="Times New Roman"/>
          <w:color w:val="000000"/>
          <w:sz w:val="24"/>
          <w:szCs w:val="20"/>
          <w:lang w:val="en-GB" w:eastAsia="en-US"/>
        </w:rPr>
      </w:pPr>
      <w:r w:rsidRPr="001870B2">
        <w:rPr>
          <w:rFonts w:ascii="Arial" w:eastAsia="Times New Roman" w:hAnsi="Arial" w:cs="Times New Roman"/>
          <w:i/>
          <w:color w:val="000000"/>
          <w:sz w:val="24"/>
          <w:szCs w:val="20"/>
          <w:lang w:val="en-GB" w:eastAsia="en-US"/>
        </w:rPr>
        <w:t>Less frequent</w:t>
      </w:r>
      <w:r w:rsidRPr="001870B2">
        <w:rPr>
          <w:rFonts w:ascii="Arial" w:eastAsia="Times New Roman" w:hAnsi="Arial" w:cs="Times New Roman"/>
          <w:color w:val="000000"/>
          <w:sz w:val="24"/>
          <w:szCs w:val="20"/>
          <w:lang w:val="en-GB" w:eastAsia="en-US"/>
        </w:rPr>
        <w:t>:  Myalgia, myositis, rhabdomyolysis presenting as muscle pain with elevated creatine phosphoskinase and myoglobinuria leading to renal failure.</w:t>
      </w:r>
    </w:p>
    <w:p w14:paraId="59722CA7" w14:textId="77777777" w:rsidR="001870B2" w:rsidRPr="001870B2" w:rsidRDefault="001870B2" w:rsidP="001870B2">
      <w:pPr>
        <w:spacing w:after="0" w:line="480" w:lineRule="auto"/>
        <w:rPr>
          <w:rFonts w:ascii="Arial" w:eastAsia="Times New Roman" w:hAnsi="Arial" w:cs="Times New Roman"/>
          <w:i/>
          <w:color w:val="000000"/>
          <w:sz w:val="24"/>
          <w:szCs w:val="20"/>
          <w:lang w:val="en-GB" w:eastAsia="en-US"/>
        </w:rPr>
      </w:pPr>
      <w:r w:rsidRPr="001870B2">
        <w:rPr>
          <w:rFonts w:ascii="Arial" w:eastAsia="Times New Roman" w:hAnsi="Arial" w:cs="Times New Roman"/>
          <w:i/>
          <w:color w:val="000000"/>
          <w:sz w:val="24"/>
          <w:szCs w:val="20"/>
          <w:lang w:val="en-GB" w:eastAsia="en-US"/>
        </w:rPr>
        <w:t>The following have been reported and the frequencies are unknown:</w:t>
      </w:r>
    </w:p>
    <w:p w14:paraId="0C27F59D" w14:textId="77777777" w:rsidR="001870B2" w:rsidRPr="001870B2" w:rsidRDefault="001870B2" w:rsidP="001870B2">
      <w:pPr>
        <w:spacing w:after="0" w:line="480" w:lineRule="auto"/>
        <w:rPr>
          <w:rFonts w:ascii="Arial" w:eastAsia="Times New Roman" w:hAnsi="Arial" w:cs="Times New Roman"/>
          <w:color w:val="000000"/>
          <w:sz w:val="24"/>
          <w:szCs w:val="20"/>
          <w:lang w:val="en-GB" w:eastAsia="en-US"/>
        </w:rPr>
      </w:pPr>
      <w:r w:rsidRPr="001870B2">
        <w:rPr>
          <w:rFonts w:ascii="Arial" w:eastAsia="Times New Roman" w:hAnsi="Arial" w:cs="Times New Roman"/>
          <w:color w:val="000000"/>
          <w:sz w:val="24"/>
          <w:szCs w:val="20"/>
          <w:lang w:val="en-GB" w:eastAsia="en-US"/>
        </w:rPr>
        <w:t>Myopathy, muscle cramps.</w:t>
      </w:r>
    </w:p>
    <w:p w14:paraId="010EFF4B" w14:textId="77777777" w:rsidR="005C59F1" w:rsidRPr="001870B2" w:rsidRDefault="005C59F1" w:rsidP="001870B2">
      <w:pPr>
        <w:spacing w:after="0" w:line="480" w:lineRule="auto"/>
        <w:rPr>
          <w:rFonts w:ascii="Arial" w:eastAsia="Times New Roman" w:hAnsi="Arial" w:cs="Arial"/>
          <w:color w:val="000000"/>
          <w:sz w:val="24"/>
          <w:szCs w:val="24"/>
          <w:lang w:val="en-US" w:eastAsia="en-US"/>
        </w:rPr>
      </w:pPr>
    </w:p>
    <w:p w14:paraId="2C0F3A51" w14:textId="77777777" w:rsidR="001870B2" w:rsidRPr="001870B2" w:rsidRDefault="001870B2" w:rsidP="001870B2">
      <w:pPr>
        <w:spacing w:after="0" w:line="480" w:lineRule="auto"/>
        <w:rPr>
          <w:rFonts w:ascii="Arial" w:eastAsia="Times New Roman" w:hAnsi="Arial" w:cs="Arial"/>
          <w:b/>
          <w:color w:val="000000"/>
          <w:spacing w:val="8"/>
          <w:sz w:val="24"/>
          <w:szCs w:val="24"/>
          <w:lang w:val="en-US" w:eastAsia="en-US"/>
        </w:rPr>
      </w:pPr>
      <w:r w:rsidRPr="001870B2">
        <w:rPr>
          <w:rFonts w:ascii="Arial" w:eastAsia="Times New Roman" w:hAnsi="Arial" w:cs="Arial"/>
          <w:b/>
          <w:color w:val="000000"/>
          <w:spacing w:val="8"/>
          <w:sz w:val="24"/>
          <w:szCs w:val="24"/>
          <w:lang w:val="en-US" w:eastAsia="en-US"/>
        </w:rPr>
        <w:t>Neurological:</w:t>
      </w:r>
    </w:p>
    <w:p w14:paraId="5F3D0E10" w14:textId="77777777" w:rsidR="001870B2" w:rsidRPr="001870B2" w:rsidRDefault="001870B2" w:rsidP="001870B2">
      <w:pPr>
        <w:spacing w:after="0" w:line="480" w:lineRule="auto"/>
        <w:rPr>
          <w:rFonts w:ascii="Arial" w:eastAsia="Times New Roman" w:hAnsi="Arial" w:cs="Times New Roman"/>
          <w:color w:val="000000"/>
          <w:sz w:val="24"/>
          <w:szCs w:val="20"/>
          <w:lang w:val="en-GB" w:eastAsia="en-US"/>
        </w:rPr>
      </w:pPr>
      <w:r w:rsidRPr="001870B2">
        <w:rPr>
          <w:rFonts w:ascii="Arial" w:eastAsia="Times New Roman" w:hAnsi="Arial" w:cs="Times New Roman"/>
          <w:i/>
          <w:color w:val="000000"/>
          <w:sz w:val="24"/>
          <w:szCs w:val="20"/>
          <w:lang w:val="en-GB" w:eastAsia="en-US"/>
        </w:rPr>
        <w:t xml:space="preserve">Frequent:  </w:t>
      </w:r>
      <w:r w:rsidRPr="001870B2">
        <w:rPr>
          <w:rFonts w:ascii="Arial" w:eastAsia="Times New Roman" w:hAnsi="Arial" w:cs="Times New Roman"/>
          <w:color w:val="000000"/>
          <w:sz w:val="24"/>
          <w:szCs w:val="20"/>
          <w:lang w:val="en-GB" w:eastAsia="en-US"/>
        </w:rPr>
        <w:t>Headache, dizziness.</w:t>
      </w:r>
    </w:p>
    <w:p w14:paraId="44517772" w14:textId="77777777" w:rsidR="001870B2" w:rsidRPr="001870B2" w:rsidRDefault="001870B2" w:rsidP="001870B2">
      <w:pPr>
        <w:spacing w:after="0" w:line="480" w:lineRule="auto"/>
        <w:rPr>
          <w:rFonts w:ascii="Arial" w:eastAsia="Times New Roman" w:hAnsi="Arial" w:cs="Times New Roman"/>
          <w:color w:val="000000"/>
          <w:sz w:val="24"/>
          <w:szCs w:val="20"/>
          <w:lang w:val="en-GB" w:eastAsia="en-US"/>
        </w:rPr>
      </w:pPr>
      <w:r w:rsidRPr="001870B2">
        <w:rPr>
          <w:rFonts w:ascii="Arial" w:eastAsia="Times New Roman" w:hAnsi="Arial" w:cs="Times New Roman"/>
          <w:i/>
          <w:color w:val="000000"/>
          <w:sz w:val="24"/>
          <w:szCs w:val="20"/>
          <w:lang w:val="en-GB" w:eastAsia="en-US"/>
        </w:rPr>
        <w:t xml:space="preserve">The following have been reported and the frequencies are unknown:  </w:t>
      </w:r>
      <w:r w:rsidRPr="001870B2">
        <w:rPr>
          <w:rFonts w:ascii="Arial" w:eastAsia="Times New Roman" w:hAnsi="Arial" w:cs="Times New Roman"/>
          <w:color w:val="000000"/>
          <w:sz w:val="24"/>
          <w:szCs w:val="20"/>
          <w:lang w:val="en-GB" w:eastAsia="en-US"/>
        </w:rPr>
        <w:t xml:space="preserve"> </w:t>
      </w:r>
    </w:p>
    <w:p w14:paraId="04601F05" w14:textId="77777777" w:rsidR="001870B2" w:rsidRPr="001870B2" w:rsidRDefault="001870B2" w:rsidP="001870B2">
      <w:pPr>
        <w:spacing w:after="0" w:line="480" w:lineRule="auto"/>
        <w:rPr>
          <w:rFonts w:ascii="Arial" w:eastAsia="Times New Roman" w:hAnsi="Arial" w:cs="Times New Roman"/>
          <w:color w:val="000000"/>
          <w:sz w:val="24"/>
          <w:szCs w:val="20"/>
          <w:lang w:val="en-GB" w:eastAsia="en-US"/>
        </w:rPr>
      </w:pPr>
      <w:r w:rsidRPr="001870B2">
        <w:rPr>
          <w:rFonts w:ascii="Arial" w:eastAsia="Times New Roman" w:hAnsi="Arial" w:cs="Times New Roman"/>
          <w:color w:val="000000"/>
          <w:sz w:val="24"/>
          <w:szCs w:val="20"/>
          <w:lang w:val="en-GB" w:eastAsia="en-US"/>
        </w:rPr>
        <w:t>Fatigue, asthenia, paraesthesia, peripheral neuropathy.</w:t>
      </w:r>
    </w:p>
    <w:p w14:paraId="7692A4AE" w14:textId="77777777" w:rsidR="001870B2" w:rsidRPr="001870B2" w:rsidRDefault="001870B2" w:rsidP="001870B2">
      <w:pPr>
        <w:spacing w:after="0" w:line="480" w:lineRule="auto"/>
        <w:rPr>
          <w:rFonts w:ascii="Arial" w:eastAsia="Times New Roman" w:hAnsi="Arial" w:cs="Arial"/>
          <w:color w:val="000000"/>
          <w:sz w:val="24"/>
          <w:szCs w:val="24"/>
          <w:lang w:val="en-US" w:eastAsia="en-US"/>
        </w:rPr>
      </w:pPr>
    </w:p>
    <w:p w14:paraId="72C4AB4F" w14:textId="77777777" w:rsidR="001870B2" w:rsidRPr="001870B2" w:rsidRDefault="001870B2" w:rsidP="001870B2">
      <w:pPr>
        <w:spacing w:after="0" w:line="480" w:lineRule="auto"/>
        <w:rPr>
          <w:rFonts w:ascii="Arial Bold" w:eastAsia="Times New Roman" w:hAnsi="Arial Bold" w:cs="Times New Roman"/>
          <w:color w:val="000000"/>
          <w:sz w:val="24"/>
          <w:szCs w:val="24"/>
          <w:lang w:val="en-GB" w:eastAsia="en-US"/>
        </w:rPr>
      </w:pPr>
      <w:r w:rsidRPr="001870B2">
        <w:rPr>
          <w:rFonts w:ascii="Arial Bold" w:eastAsia="Times New Roman" w:hAnsi="Arial Bold" w:cs="Times New Roman"/>
          <w:b/>
          <w:color w:val="000000"/>
          <w:sz w:val="24"/>
          <w:szCs w:val="24"/>
          <w:lang w:val="en-GB" w:eastAsia="en-US"/>
        </w:rPr>
        <w:t>Immune system disorders:</w:t>
      </w:r>
    </w:p>
    <w:p w14:paraId="7DECD887" w14:textId="77777777" w:rsidR="001870B2" w:rsidRPr="001870B2" w:rsidRDefault="001870B2" w:rsidP="001870B2">
      <w:pPr>
        <w:spacing w:after="0" w:line="480" w:lineRule="auto"/>
        <w:rPr>
          <w:rFonts w:ascii="Arial" w:eastAsia="Times New Roman" w:hAnsi="Arial" w:cs="Times New Roman"/>
          <w:color w:val="000000"/>
          <w:sz w:val="24"/>
          <w:szCs w:val="20"/>
          <w:lang w:val="en-GB" w:eastAsia="en-US"/>
        </w:rPr>
      </w:pPr>
      <w:r w:rsidRPr="001870B2">
        <w:rPr>
          <w:rFonts w:ascii="Arial" w:eastAsia="Times New Roman" w:hAnsi="Arial" w:cs="Times New Roman"/>
          <w:i/>
          <w:color w:val="000000"/>
          <w:sz w:val="24"/>
          <w:szCs w:val="20"/>
          <w:lang w:val="en-GB" w:eastAsia="en-US"/>
        </w:rPr>
        <w:t>The following have been reported and the frequencies are unknown</w:t>
      </w:r>
      <w:r w:rsidRPr="001870B2">
        <w:rPr>
          <w:rFonts w:ascii="Arial" w:eastAsia="Times New Roman" w:hAnsi="Arial" w:cs="Times New Roman"/>
          <w:color w:val="000000"/>
          <w:sz w:val="24"/>
          <w:szCs w:val="20"/>
          <w:lang w:val="en-GB" w:eastAsia="en-US"/>
        </w:rPr>
        <w:t>:</w:t>
      </w:r>
    </w:p>
    <w:p w14:paraId="023BA35D" w14:textId="77777777" w:rsidR="001870B2" w:rsidRPr="001870B2" w:rsidRDefault="001870B2" w:rsidP="001870B2">
      <w:pPr>
        <w:spacing w:after="0" w:line="480" w:lineRule="auto"/>
        <w:rPr>
          <w:rFonts w:ascii="Arial" w:eastAsia="Times New Roman" w:hAnsi="Arial" w:cs="Times New Roman"/>
          <w:color w:val="000000"/>
          <w:sz w:val="24"/>
          <w:szCs w:val="20"/>
          <w:lang w:val="en-GB" w:eastAsia="en-US"/>
        </w:rPr>
      </w:pPr>
      <w:r w:rsidRPr="001870B2">
        <w:rPr>
          <w:rFonts w:ascii="Arial" w:eastAsia="Times New Roman" w:hAnsi="Arial" w:cs="Times New Roman"/>
          <w:color w:val="000000"/>
          <w:sz w:val="24"/>
          <w:szCs w:val="24"/>
          <w:lang w:val="en-GB" w:eastAsia="en-US"/>
        </w:rPr>
        <w:t>Hypersensitivity reactions that include</w:t>
      </w:r>
      <w:r w:rsidRPr="001870B2">
        <w:rPr>
          <w:rFonts w:ascii="Arial" w:eastAsia="Times New Roman" w:hAnsi="Arial" w:cs="Times New Roman"/>
          <w:color w:val="000000"/>
          <w:sz w:val="24"/>
          <w:szCs w:val="20"/>
          <w:lang w:val="en-GB" w:eastAsia="en-US"/>
        </w:rPr>
        <w:t xml:space="preserve"> angioedema, lupus-like syndrome, polymyalgia rheumatica, vasculitis, thrombocytopenia, increased erythrocyte sedimentation rate, eosinophilia, arthritis, arthralgia, urticaria, photosensitivity, fever, flushing, malaise and dyspnoea.</w:t>
      </w:r>
    </w:p>
    <w:p w14:paraId="44F6E50D" w14:textId="77777777" w:rsidR="001870B2" w:rsidRPr="001870B2" w:rsidRDefault="001870B2" w:rsidP="001870B2">
      <w:pPr>
        <w:spacing w:after="0" w:line="480" w:lineRule="auto"/>
        <w:rPr>
          <w:rFonts w:ascii="Arial" w:eastAsia="Times New Roman" w:hAnsi="Arial" w:cs="Arial"/>
          <w:color w:val="000000"/>
          <w:sz w:val="24"/>
          <w:szCs w:val="24"/>
          <w:lang w:val="en-US" w:eastAsia="en-US"/>
        </w:rPr>
      </w:pPr>
    </w:p>
    <w:p w14:paraId="4EBDFB64" w14:textId="77777777" w:rsidR="001870B2" w:rsidRPr="001870B2" w:rsidRDefault="001870B2" w:rsidP="001870B2">
      <w:pPr>
        <w:spacing w:after="0" w:line="480" w:lineRule="auto"/>
        <w:rPr>
          <w:rFonts w:ascii="Arial" w:eastAsia="Times New Roman" w:hAnsi="Arial" w:cs="Times New Roman"/>
          <w:color w:val="000000"/>
          <w:sz w:val="24"/>
          <w:szCs w:val="20"/>
          <w:lang w:val="en-GB" w:eastAsia="en-US"/>
        </w:rPr>
      </w:pPr>
      <w:r w:rsidRPr="001870B2">
        <w:rPr>
          <w:rFonts w:ascii="Arial" w:eastAsia="Times New Roman" w:hAnsi="Arial" w:cs="Times New Roman"/>
          <w:b/>
          <w:color w:val="000000"/>
          <w:sz w:val="24"/>
          <w:szCs w:val="20"/>
          <w:lang w:val="en-GB" w:eastAsia="en-US"/>
        </w:rPr>
        <w:lastRenderedPageBreak/>
        <w:t>General disorders:</w:t>
      </w:r>
    </w:p>
    <w:p w14:paraId="696209BC" w14:textId="77777777" w:rsidR="001870B2" w:rsidRPr="001870B2" w:rsidRDefault="001870B2" w:rsidP="001870B2">
      <w:pPr>
        <w:spacing w:after="0" w:line="480" w:lineRule="auto"/>
        <w:rPr>
          <w:rFonts w:ascii="Arial" w:eastAsia="Times New Roman" w:hAnsi="Arial" w:cs="Times New Roman"/>
          <w:i/>
          <w:color w:val="000000"/>
          <w:sz w:val="24"/>
          <w:szCs w:val="20"/>
          <w:lang w:val="en-GB" w:eastAsia="en-US"/>
        </w:rPr>
      </w:pPr>
      <w:r w:rsidRPr="001870B2">
        <w:rPr>
          <w:rFonts w:ascii="Arial" w:eastAsia="Times New Roman" w:hAnsi="Arial" w:cs="Times New Roman"/>
          <w:i/>
          <w:color w:val="000000"/>
          <w:sz w:val="24"/>
          <w:szCs w:val="20"/>
          <w:lang w:val="en-GB" w:eastAsia="en-US"/>
        </w:rPr>
        <w:t>The following has been reported and the frequency is unknown:</w:t>
      </w:r>
    </w:p>
    <w:p w14:paraId="711C6C67" w14:textId="77777777" w:rsidR="001870B2" w:rsidRPr="001870B2" w:rsidRDefault="001870B2" w:rsidP="001870B2">
      <w:pPr>
        <w:spacing w:after="0" w:line="480" w:lineRule="auto"/>
        <w:rPr>
          <w:rFonts w:ascii="Arial" w:eastAsia="Times New Roman" w:hAnsi="Arial" w:cs="Arial"/>
          <w:color w:val="000000"/>
          <w:sz w:val="24"/>
          <w:szCs w:val="24"/>
          <w:lang w:val="en-US" w:eastAsia="en-US"/>
        </w:rPr>
      </w:pPr>
      <w:r w:rsidRPr="001870B2">
        <w:rPr>
          <w:rFonts w:ascii="Arial" w:eastAsia="Times New Roman" w:hAnsi="Arial" w:cs="Arial"/>
          <w:color w:val="000000"/>
          <w:sz w:val="24"/>
          <w:szCs w:val="24"/>
          <w:lang w:val="en-US" w:eastAsia="en-US"/>
        </w:rPr>
        <w:t>Mass gain.</w:t>
      </w:r>
    </w:p>
    <w:p w14:paraId="6A7795F7" w14:textId="77777777" w:rsidR="001870B2" w:rsidRPr="001870B2" w:rsidRDefault="001870B2" w:rsidP="001870B2">
      <w:pPr>
        <w:spacing w:after="0" w:line="480" w:lineRule="auto"/>
        <w:rPr>
          <w:rFonts w:ascii="Arial" w:eastAsia="Times New Roman" w:hAnsi="Arial" w:cs="Arial"/>
          <w:color w:val="000000"/>
          <w:sz w:val="24"/>
          <w:szCs w:val="24"/>
          <w:lang w:val="en-US" w:eastAsia="en-US"/>
        </w:rPr>
      </w:pPr>
    </w:p>
    <w:p w14:paraId="08C109D0" w14:textId="77777777" w:rsidR="001870B2" w:rsidRPr="001870B2" w:rsidRDefault="001870B2" w:rsidP="001870B2">
      <w:pPr>
        <w:spacing w:after="0" w:line="480" w:lineRule="auto"/>
        <w:rPr>
          <w:rFonts w:ascii="Arial" w:eastAsia="Times New Roman" w:hAnsi="Arial" w:cs="Arial"/>
          <w:i/>
          <w:color w:val="000000"/>
          <w:sz w:val="24"/>
          <w:szCs w:val="24"/>
          <w:lang w:val="en-US" w:eastAsia="en-US"/>
        </w:rPr>
      </w:pPr>
      <w:r w:rsidRPr="001870B2">
        <w:rPr>
          <w:rFonts w:ascii="Arial" w:eastAsia="Times New Roman" w:hAnsi="Arial" w:cs="Arial"/>
          <w:i/>
          <w:color w:val="000000"/>
          <w:sz w:val="24"/>
          <w:szCs w:val="24"/>
          <w:lang w:val="en-US" w:eastAsia="en-US"/>
        </w:rPr>
        <w:t>Laboratory test findings:</w:t>
      </w:r>
    </w:p>
    <w:p w14:paraId="70A2254F" w14:textId="77777777" w:rsidR="001870B2" w:rsidRPr="001870B2" w:rsidRDefault="001870B2" w:rsidP="001870B2">
      <w:pPr>
        <w:spacing w:after="0" w:line="480" w:lineRule="auto"/>
        <w:rPr>
          <w:rFonts w:ascii="Arial" w:eastAsia="Times New Roman" w:hAnsi="Arial" w:cs="Arial"/>
          <w:color w:val="000000"/>
          <w:sz w:val="24"/>
          <w:szCs w:val="24"/>
          <w:lang w:val="en-US" w:eastAsia="en-US"/>
        </w:rPr>
      </w:pPr>
      <w:r w:rsidRPr="001870B2">
        <w:rPr>
          <w:rFonts w:ascii="Arial" w:eastAsia="Times New Roman" w:hAnsi="Arial" w:cs="Arial"/>
          <w:color w:val="000000"/>
          <w:sz w:val="24"/>
          <w:szCs w:val="24"/>
          <w:lang w:val="en-US" w:eastAsia="en-US"/>
        </w:rPr>
        <w:t>Marked and persistent increases of serum transaminases and elevated alkaline</w:t>
      </w:r>
    </w:p>
    <w:p w14:paraId="177E431C" w14:textId="77777777" w:rsidR="001870B2" w:rsidRPr="001870B2" w:rsidRDefault="001870B2" w:rsidP="001870B2">
      <w:pPr>
        <w:spacing w:after="0" w:line="480" w:lineRule="auto"/>
        <w:rPr>
          <w:rFonts w:ascii="Arial" w:eastAsia="Times New Roman" w:hAnsi="Arial" w:cs="Arial"/>
          <w:color w:val="000000"/>
          <w:sz w:val="24"/>
          <w:szCs w:val="24"/>
          <w:lang w:val="en-US" w:eastAsia="en-US"/>
        </w:rPr>
      </w:pPr>
      <w:r w:rsidRPr="001870B2">
        <w:rPr>
          <w:rFonts w:ascii="Arial" w:eastAsia="Times New Roman" w:hAnsi="Arial" w:cs="Arial"/>
          <w:color w:val="000000"/>
          <w:sz w:val="24"/>
          <w:szCs w:val="24"/>
          <w:lang w:val="en-US" w:eastAsia="en-US"/>
        </w:rPr>
        <w:t>phosphatase and gamma-glutamyl transpeptidase have been reported. Liver function</w:t>
      </w:r>
    </w:p>
    <w:p w14:paraId="61E142F1" w14:textId="77777777" w:rsidR="001870B2" w:rsidRPr="001870B2" w:rsidRDefault="001870B2" w:rsidP="001870B2">
      <w:pPr>
        <w:spacing w:after="0" w:line="480" w:lineRule="auto"/>
        <w:rPr>
          <w:rFonts w:ascii="Arial" w:eastAsia="Times New Roman" w:hAnsi="Arial" w:cs="Arial"/>
          <w:color w:val="000000"/>
          <w:sz w:val="24"/>
          <w:szCs w:val="24"/>
          <w:lang w:val="en-US" w:eastAsia="en-US"/>
        </w:rPr>
      </w:pPr>
      <w:r w:rsidRPr="001870B2">
        <w:rPr>
          <w:rFonts w:ascii="Arial" w:eastAsia="Times New Roman" w:hAnsi="Arial" w:cs="Arial"/>
          <w:color w:val="000000"/>
          <w:sz w:val="24"/>
          <w:szCs w:val="24"/>
          <w:lang w:val="en-US" w:eastAsia="en-US"/>
        </w:rPr>
        <w:t>test abnormalities have generally been mild and transient. Increases in serum creatinine</w:t>
      </w:r>
    </w:p>
    <w:p w14:paraId="19D1F31E" w14:textId="77777777" w:rsidR="001870B2" w:rsidRPr="001870B2" w:rsidRDefault="001870B2" w:rsidP="001870B2">
      <w:pPr>
        <w:spacing w:after="0" w:line="480" w:lineRule="auto"/>
        <w:rPr>
          <w:rFonts w:ascii="Arial" w:eastAsia="Times New Roman" w:hAnsi="Arial" w:cs="Arial"/>
          <w:color w:val="000000"/>
          <w:sz w:val="24"/>
          <w:szCs w:val="24"/>
          <w:lang w:val="en-US" w:eastAsia="en-US"/>
        </w:rPr>
      </w:pPr>
      <w:r w:rsidRPr="001870B2">
        <w:rPr>
          <w:rFonts w:ascii="Arial" w:eastAsia="Times New Roman" w:hAnsi="Arial" w:cs="Arial"/>
          <w:color w:val="000000"/>
          <w:sz w:val="24"/>
          <w:szCs w:val="24"/>
          <w:lang w:val="en-US" w:eastAsia="en-US"/>
        </w:rPr>
        <w:t>kinase (CK) levels, derived from skeletal muscle, have been reported (see “Special precautions”).</w:t>
      </w:r>
    </w:p>
    <w:p w14:paraId="37648E2E" w14:textId="77777777" w:rsidR="005C59F1" w:rsidRPr="001870B2" w:rsidRDefault="005C59F1" w:rsidP="001870B2">
      <w:pPr>
        <w:spacing w:after="0" w:line="480" w:lineRule="auto"/>
        <w:rPr>
          <w:rFonts w:ascii="Arial" w:eastAsia="Times New Roman" w:hAnsi="Arial" w:cs="Arial"/>
          <w:color w:val="000000"/>
          <w:sz w:val="24"/>
          <w:szCs w:val="24"/>
          <w:u w:val="single"/>
          <w:lang w:val="en-US" w:eastAsia="en-US"/>
        </w:rPr>
      </w:pPr>
    </w:p>
    <w:p w14:paraId="10D16BE1" w14:textId="77777777" w:rsidR="001870B2" w:rsidRPr="001870B2" w:rsidRDefault="001870B2" w:rsidP="001870B2">
      <w:pPr>
        <w:spacing w:after="0" w:line="480" w:lineRule="auto"/>
        <w:rPr>
          <w:rFonts w:ascii="Arial" w:eastAsia="Times New Roman" w:hAnsi="Arial" w:cs="Arial"/>
          <w:b/>
          <w:i/>
          <w:color w:val="000000"/>
          <w:sz w:val="24"/>
          <w:szCs w:val="24"/>
          <w:lang w:val="en-US" w:eastAsia="en-US"/>
        </w:rPr>
      </w:pPr>
      <w:r w:rsidRPr="001870B2">
        <w:rPr>
          <w:rFonts w:ascii="Arial" w:eastAsia="Times New Roman" w:hAnsi="Arial" w:cs="Arial"/>
          <w:b/>
          <w:i/>
          <w:color w:val="000000"/>
          <w:sz w:val="24"/>
          <w:szCs w:val="24"/>
          <w:lang w:val="en-US" w:eastAsia="en-US"/>
        </w:rPr>
        <w:t>Special precautions:</w:t>
      </w:r>
    </w:p>
    <w:p w14:paraId="4D244737" w14:textId="227D6E77" w:rsidR="001870B2" w:rsidRPr="001870B2" w:rsidRDefault="00797DFA" w:rsidP="001870B2">
      <w:pPr>
        <w:spacing w:after="0" w:line="480" w:lineRule="auto"/>
        <w:rPr>
          <w:rFonts w:ascii="Arial" w:eastAsia="Times New Roman" w:hAnsi="Arial" w:cs="Arial"/>
          <w:color w:val="000000"/>
          <w:sz w:val="24"/>
          <w:szCs w:val="24"/>
          <w:lang w:val="en-US" w:eastAsia="en-US"/>
        </w:rPr>
      </w:pPr>
      <w:r>
        <w:rPr>
          <w:rFonts w:ascii="Arial" w:eastAsia="Times New Roman" w:hAnsi="Arial" w:cs="Arial"/>
          <w:color w:val="000000"/>
          <w:sz w:val="24"/>
          <w:szCs w:val="24"/>
          <w:lang w:val="en-US" w:eastAsia="en-US"/>
        </w:rPr>
        <w:t>LIPIDEX</w:t>
      </w:r>
      <w:r w:rsidR="004A02F7">
        <w:rPr>
          <w:rFonts w:ascii="Arial" w:eastAsia="Times New Roman" w:hAnsi="Arial" w:cs="Arial"/>
          <w:color w:val="000000"/>
          <w:sz w:val="24"/>
          <w:szCs w:val="24"/>
          <w:lang w:val="en-US" w:eastAsia="en-US"/>
        </w:rPr>
        <w:t xml:space="preserve"> </w:t>
      </w:r>
      <w:r w:rsidR="001870B2" w:rsidRPr="001870B2">
        <w:rPr>
          <w:rFonts w:ascii="Arial" w:eastAsia="Times New Roman" w:hAnsi="Arial" w:cs="Arial"/>
          <w:color w:val="000000"/>
          <w:sz w:val="24"/>
          <w:szCs w:val="24"/>
          <w:lang w:val="en-US" w:eastAsia="en-US"/>
        </w:rPr>
        <w:t>should be used with caution in patients who:</w:t>
      </w:r>
    </w:p>
    <w:p w14:paraId="03CCF6D4" w14:textId="77777777" w:rsidR="001870B2" w:rsidRPr="001870B2" w:rsidRDefault="001870B2" w:rsidP="001870B2">
      <w:pPr>
        <w:spacing w:after="0" w:line="480" w:lineRule="auto"/>
        <w:rPr>
          <w:rFonts w:ascii="Arial" w:eastAsia="Times New Roman" w:hAnsi="Arial" w:cs="Arial"/>
          <w:color w:val="000000"/>
          <w:sz w:val="24"/>
          <w:szCs w:val="24"/>
          <w:lang w:val="en-US" w:eastAsia="en-US"/>
        </w:rPr>
      </w:pPr>
      <w:r w:rsidRPr="001870B2">
        <w:rPr>
          <w:rFonts w:ascii="Arial" w:eastAsia="Times New Roman" w:hAnsi="Arial" w:cs="Arial"/>
          <w:color w:val="000000"/>
          <w:sz w:val="24"/>
          <w:szCs w:val="24"/>
          <w:lang w:val="en-US" w:eastAsia="en-US"/>
        </w:rPr>
        <w:t>•        Consume substantial amounts of alcohol and/or who have a history of liver disease.</w:t>
      </w:r>
    </w:p>
    <w:p w14:paraId="6925E16E" w14:textId="77777777" w:rsidR="001870B2" w:rsidRPr="001870B2" w:rsidRDefault="001870B2" w:rsidP="001870B2">
      <w:pPr>
        <w:spacing w:after="0" w:line="480" w:lineRule="auto"/>
        <w:rPr>
          <w:rFonts w:ascii="Arial" w:eastAsia="Times New Roman" w:hAnsi="Arial" w:cs="Arial"/>
          <w:color w:val="000000"/>
          <w:sz w:val="24"/>
          <w:szCs w:val="24"/>
          <w:lang w:val="en-US" w:eastAsia="en-US"/>
        </w:rPr>
      </w:pPr>
      <w:r w:rsidRPr="001870B2">
        <w:rPr>
          <w:rFonts w:ascii="Arial" w:eastAsia="Times New Roman" w:hAnsi="Arial" w:cs="Arial"/>
          <w:color w:val="000000"/>
          <w:sz w:val="24"/>
          <w:szCs w:val="24"/>
          <w:lang w:val="en-US" w:eastAsia="en-US"/>
        </w:rPr>
        <w:t>•</w:t>
      </w:r>
      <w:r w:rsidRPr="001870B2">
        <w:rPr>
          <w:rFonts w:ascii="Arial" w:eastAsia="Times New Roman" w:hAnsi="Arial" w:cs="Arial"/>
          <w:color w:val="000000"/>
          <w:sz w:val="24"/>
          <w:szCs w:val="24"/>
          <w:lang w:val="en-US" w:eastAsia="en-US"/>
        </w:rPr>
        <w:tab/>
        <w:t>May be predisposed to developing renal failure secondary to rhabdomyolysis such as in those with severe acute infection, hypotension, severe metabolic, endocrine or electrolyte disorders, uncontrolled seizures, major surgery or trauma. There is an increased risk of developing renal failure if rhabdomyolysis occurs.</w:t>
      </w:r>
    </w:p>
    <w:p w14:paraId="6D461E90" w14:textId="77777777" w:rsidR="001870B2" w:rsidRPr="001870B2" w:rsidRDefault="001870B2" w:rsidP="001870B2">
      <w:pPr>
        <w:spacing w:after="0" w:line="480" w:lineRule="auto"/>
        <w:rPr>
          <w:rFonts w:ascii="Arial" w:eastAsia="Times New Roman" w:hAnsi="Arial" w:cs="Arial"/>
          <w:color w:val="000000"/>
          <w:sz w:val="24"/>
          <w:szCs w:val="24"/>
          <w:lang w:val="en-US" w:eastAsia="en-US"/>
        </w:rPr>
      </w:pPr>
      <w:r w:rsidRPr="001870B2">
        <w:rPr>
          <w:rFonts w:ascii="Arial" w:eastAsia="Times New Roman" w:hAnsi="Arial" w:cs="Arial"/>
          <w:color w:val="000000"/>
          <w:sz w:val="24"/>
          <w:szCs w:val="24"/>
          <w:lang w:val="en-US" w:eastAsia="en-US"/>
        </w:rPr>
        <w:t>•</w:t>
      </w:r>
      <w:r w:rsidRPr="001870B2">
        <w:rPr>
          <w:rFonts w:ascii="Arial" w:eastAsia="Times New Roman" w:hAnsi="Arial" w:cs="Arial"/>
          <w:color w:val="000000"/>
          <w:sz w:val="24"/>
          <w:szCs w:val="24"/>
          <w:lang w:val="en-US" w:eastAsia="en-US"/>
        </w:rPr>
        <w:tab/>
        <w:t xml:space="preserve">Have severe renal impairment. </w:t>
      </w:r>
    </w:p>
    <w:p w14:paraId="360F5FD7" w14:textId="77777777" w:rsidR="001870B2" w:rsidRPr="001870B2" w:rsidRDefault="001870B2" w:rsidP="001870B2">
      <w:pPr>
        <w:spacing w:after="0" w:line="480" w:lineRule="auto"/>
        <w:rPr>
          <w:rFonts w:ascii="Arial" w:eastAsia="Times New Roman" w:hAnsi="Arial" w:cs="Arial"/>
          <w:color w:val="000000"/>
          <w:sz w:val="24"/>
          <w:szCs w:val="24"/>
          <w:lang w:val="en-US" w:eastAsia="en-US"/>
        </w:rPr>
      </w:pPr>
    </w:p>
    <w:p w14:paraId="06DC99BE" w14:textId="77777777" w:rsidR="001870B2" w:rsidRPr="001870B2" w:rsidRDefault="001870B2" w:rsidP="001870B2">
      <w:pPr>
        <w:spacing w:after="0" w:line="480" w:lineRule="auto"/>
        <w:rPr>
          <w:rFonts w:ascii="Arial" w:eastAsia="Times New Roman" w:hAnsi="Arial" w:cs="Arial"/>
          <w:i/>
          <w:color w:val="000000"/>
          <w:sz w:val="24"/>
          <w:szCs w:val="24"/>
          <w:lang w:val="en-US" w:eastAsia="en-US"/>
        </w:rPr>
      </w:pPr>
      <w:r w:rsidRPr="001870B2">
        <w:rPr>
          <w:rFonts w:ascii="Arial" w:eastAsia="Times New Roman" w:hAnsi="Arial" w:cs="Arial"/>
          <w:i/>
          <w:color w:val="000000"/>
          <w:sz w:val="24"/>
          <w:szCs w:val="24"/>
          <w:lang w:val="en-US" w:eastAsia="en-US"/>
        </w:rPr>
        <w:t>Hepatic effects:</w:t>
      </w:r>
    </w:p>
    <w:p w14:paraId="5802D14F" w14:textId="5F19EEF5" w:rsidR="001870B2" w:rsidRPr="001870B2" w:rsidRDefault="001870B2" w:rsidP="001870B2">
      <w:pPr>
        <w:spacing w:after="0" w:line="480" w:lineRule="auto"/>
        <w:rPr>
          <w:rFonts w:ascii="Arial" w:eastAsia="Times New Roman" w:hAnsi="Arial" w:cs="Arial"/>
          <w:color w:val="000000"/>
          <w:sz w:val="24"/>
          <w:szCs w:val="24"/>
          <w:lang w:val="en-US" w:eastAsia="en-US"/>
        </w:rPr>
      </w:pPr>
      <w:r w:rsidRPr="001870B2">
        <w:rPr>
          <w:rFonts w:ascii="Arial" w:eastAsia="Times New Roman" w:hAnsi="Arial" w:cs="Arial"/>
          <w:color w:val="000000"/>
          <w:sz w:val="24"/>
          <w:szCs w:val="24"/>
          <w:lang w:val="en-US" w:eastAsia="en-US"/>
        </w:rPr>
        <w:t xml:space="preserve">Liver function tests, including serum transaminase determinations are recommended prior to initiation of </w:t>
      </w:r>
      <w:r w:rsidR="00797DFA">
        <w:rPr>
          <w:rFonts w:ascii="Arial" w:eastAsia="Times New Roman" w:hAnsi="Arial" w:cs="Arial"/>
          <w:color w:val="000000"/>
          <w:sz w:val="24"/>
          <w:szCs w:val="24"/>
          <w:lang w:val="en-US" w:eastAsia="en-US"/>
        </w:rPr>
        <w:t>LIPIDEX</w:t>
      </w:r>
      <w:r w:rsidR="004A02F7">
        <w:rPr>
          <w:rFonts w:ascii="Arial" w:eastAsia="Times New Roman" w:hAnsi="Arial" w:cs="Arial"/>
          <w:color w:val="000000"/>
          <w:sz w:val="24"/>
          <w:szCs w:val="24"/>
          <w:lang w:val="en-US" w:eastAsia="en-US"/>
        </w:rPr>
        <w:t xml:space="preserve"> </w:t>
      </w:r>
      <w:r w:rsidRPr="001870B2">
        <w:rPr>
          <w:rFonts w:ascii="Arial" w:eastAsia="Times New Roman" w:hAnsi="Arial" w:cs="Arial"/>
          <w:color w:val="000000"/>
          <w:sz w:val="24"/>
          <w:szCs w:val="24"/>
          <w:lang w:val="en-US" w:eastAsia="en-US"/>
        </w:rPr>
        <w:t xml:space="preserve">therapy and periodically until one year after the last elevation in </w:t>
      </w:r>
      <w:r w:rsidRPr="001870B2">
        <w:rPr>
          <w:rFonts w:ascii="Arial" w:eastAsia="Times New Roman" w:hAnsi="Arial" w:cs="Arial"/>
          <w:color w:val="000000"/>
          <w:sz w:val="24"/>
          <w:szCs w:val="24"/>
          <w:lang w:val="en-US" w:eastAsia="en-US"/>
        </w:rPr>
        <w:lastRenderedPageBreak/>
        <w:t xml:space="preserve">dose. </w:t>
      </w:r>
      <w:r w:rsidR="00797DFA">
        <w:rPr>
          <w:rFonts w:ascii="Arial" w:eastAsia="Times New Roman" w:hAnsi="Arial" w:cs="Arial"/>
          <w:color w:val="000000"/>
          <w:sz w:val="24"/>
          <w:szCs w:val="24"/>
          <w:lang w:val="en-US" w:eastAsia="en-US"/>
        </w:rPr>
        <w:t>LIPIDEX</w:t>
      </w:r>
      <w:r w:rsidR="004A02F7">
        <w:rPr>
          <w:rFonts w:ascii="Arial" w:eastAsia="Times New Roman" w:hAnsi="Arial" w:cs="Arial"/>
          <w:color w:val="000000"/>
          <w:sz w:val="24"/>
          <w:szCs w:val="24"/>
          <w:lang w:val="en-US" w:eastAsia="en-US"/>
        </w:rPr>
        <w:t xml:space="preserve"> </w:t>
      </w:r>
      <w:r w:rsidRPr="001870B2">
        <w:rPr>
          <w:rFonts w:ascii="Arial" w:eastAsia="Times New Roman" w:hAnsi="Arial" w:cs="Arial"/>
          <w:color w:val="000000"/>
          <w:sz w:val="24"/>
          <w:szCs w:val="24"/>
          <w:lang w:val="en-US" w:eastAsia="en-US"/>
        </w:rPr>
        <w:t>should be discontinued if the rise in transaminase levels is persistent and/or increases to three times or more the upper limit of normal (ULN).</w:t>
      </w:r>
    </w:p>
    <w:p w14:paraId="7F24A1E1" w14:textId="77777777" w:rsidR="001870B2" w:rsidRPr="001870B2" w:rsidRDefault="001870B2" w:rsidP="001870B2">
      <w:pPr>
        <w:spacing w:after="0" w:line="480" w:lineRule="auto"/>
        <w:rPr>
          <w:rFonts w:ascii="Arial" w:eastAsia="Times New Roman" w:hAnsi="Arial" w:cs="Arial"/>
          <w:color w:val="000000"/>
          <w:sz w:val="24"/>
          <w:szCs w:val="24"/>
          <w:lang w:val="en-US" w:eastAsia="en-US"/>
        </w:rPr>
      </w:pPr>
    </w:p>
    <w:p w14:paraId="3B63414E" w14:textId="77777777" w:rsidR="001870B2" w:rsidRPr="001870B2" w:rsidRDefault="001870B2" w:rsidP="001870B2">
      <w:pPr>
        <w:spacing w:after="0" w:line="480" w:lineRule="auto"/>
        <w:rPr>
          <w:rFonts w:ascii="Arial" w:eastAsia="Times New Roman" w:hAnsi="Arial" w:cs="Arial"/>
          <w:i/>
          <w:color w:val="000000"/>
          <w:sz w:val="24"/>
          <w:szCs w:val="24"/>
          <w:lang w:val="en-US" w:eastAsia="en-US"/>
        </w:rPr>
      </w:pPr>
      <w:r w:rsidRPr="001870B2">
        <w:rPr>
          <w:rFonts w:ascii="Arial" w:eastAsia="Times New Roman" w:hAnsi="Arial" w:cs="Arial"/>
          <w:i/>
          <w:color w:val="000000"/>
          <w:sz w:val="24"/>
          <w:szCs w:val="24"/>
          <w:lang w:val="en-US" w:eastAsia="en-US"/>
        </w:rPr>
        <w:t>Myopathy:</w:t>
      </w:r>
    </w:p>
    <w:p w14:paraId="69CD1DE2" w14:textId="77777777" w:rsidR="001870B2" w:rsidRPr="001870B2" w:rsidRDefault="001870B2" w:rsidP="001870B2">
      <w:pPr>
        <w:spacing w:after="0" w:line="480" w:lineRule="auto"/>
        <w:rPr>
          <w:rFonts w:ascii="Arial" w:eastAsia="Times New Roman" w:hAnsi="Arial" w:cs="Arial"/>
          <w:color w:val="000000"/>
          <w:sz w:val="24"/>
          <w:szCs w:val="24"/>
          <w:lang w:val="en-US" w:eastAsia="en-US"/>
        </w:rPr>
      </w:pPr>
      <w:r w:rsidRPr="001870B2">
        <w:rPr>
          <w:rFonts w:ascii="Arial" w:eastAsia="Times New Roman" w:hAnsi="Arial" w:cs="Arial"/>
          <w:color w:val="000000"/>
          <w:sz w:val="24"/>
          <w:szCs w:val="24"/>
          <w:lang w:val="en-US" w:eastAsia="en-US"/>
        </w:rPr>
        <w:t>Reducing the risk of myopathy:</w:t>
      </w:r>
    </w:p>
    <w:p w14:paraId="7D004B0D" w14:textId="77777777" w:rsidR="001870B2" w:rsidRPr="001870B2" w:rsidRDefault="001870B2" w:rsidP="001870B2">
      <w:pPr>
        <w:spacing w:after="0" w:line="480" w:lineRule="auto"/>
        <w:ind w:left="113"/>
        <w:rPr>
          <w:rFonts w:ascii="Arial" w:eastAsia="Times New Roman" w:hAnsi="Arial" w:cs="Arial"/>
          <w:color w:val="000000"/>
          <w:sz w:val="24"/>
          <w:szCs w:val="24"/>
          <w:u w:val="single"/>
          <w:lang w:val="en-US" w:eastAsia="en-US"/>
        </w:rPr>
      </w:pPr>
      <w:r w:rsidRPr="001870B2">
        <w:rPr>
          <w:rFonts w:ascii="Arial" w:eastAsia="Times New Roman" w:hAnsi="Arial" w:cs="Arial"/>
          <w:color w:val="000000"/>
          <w:sz w:val="24"/>
          <w:szCs w:val="24"/>
          <w:lang w:val="en-US" w:eastAsia="en-US"/>
        </w:rPr>
        <w:t>1.    General measures:</w:t>
      </w:r>
    </w:p>
    <w:p w14:paraId="0F4C3DC4" w14:textId="3E608D07" w:rsidR="001870B2" w:rsidRPr="001870B2" w:rsidRDefault="001870B2" w:rsidP="001870B2">
      <w:pPr>
        <w:spacing w:after="0" w:line="480" w:lineRule="auto"/>
        <w:ind w:left="227"/>
        <w:rPr>
          <w:rFonts w:ascii="Arial" w:eastAsia="Times New Roman" w:hAnsi="Arial" w:cs="Arial"/>
          <w:color w:val="000000"/>
          <w:sz w:val="24"/>
          <w:szCs w:val="24"/>
          <w:lang w:val="en-US" w:eastAsia="en-US"/>
        </w:rPr>
      </w:pPr>
      <w:r w:rsidRPr="001870B2">
        <w:rPr>
          <w:rFonts w:ascii="Arial" w:eastAsia="Times New Roman" w:hAnsi="Arial" w:cs="Arial"/>
          <w:color w:val="000000"/>
          <w:sz w:val="24"/>
          <w:szCs w:val="24"/>
          <w:lang w:val="en-US" w:eastAsia="en-US"/>
        </w:rPr>
        <w:t xml:space="preserve">Patients starting therapy with </w:t>
      </w:r>
      <w:r w:rsidR="00797DFA">
        <w:rPr>
          <w:rFonts w:ascii="Arial" w:eastAsia="Times New Roman" w:hAnsi="Arial" w:cs="Arial"/>
          <w:color w:val="000000"/>
          <w:sz w:val="24"/>
          <w:szCs w:val="24"/>
          <w:lang w:val="en-US" w:eastAsia="en-US"/>
        </w:rPr>
        <w:t>LIPIDEX</w:t>
      </w:r>
      <w:r w:rsidR="004A02F7">
        <w:rPr>
          <w:rFonts w:ascii="Arial" w:eastAsia="Times New Roman" w:hAnsi="Arial" w:cs="Arial"/>
          <w:color w:val="000000"/>
          <w:sz w:val="24"/>
          <w:szCs w:val="24"/>
          <w:lang w:val="en-US" w:eastAsia="en-US"/>
        </w:rPr>
        <w:t xml:space="preserve"> </w:t>
      </w:r>
      <w:r w:rsidRPr="001870B2">
        <w:rPr>
          <w:rFonts w:ascii="Arial" w:eastAsia="Times New Roman" w:hAnsi="Arial" w:cs="Arial"/>
          <w:color w:val="000000"/>
          <w:sz w:val="24"/>
          <w:szCs w:val="24"/>
          <w:lang w:val="en-US" w:eastAsia="en-US"/>
        </w:rPr>
        <w:t xml:space="preserve">should be advised of the risk of myopathy and should report, promptly, unexplained muscle pain, tenderness or weakness. A creatinine kinase (CK) level above 10 times the Upper Limit of Normal (ULN) in a patient, with unexplained symptoms, indicates myopathy. </w:t>
      </w:r>
      <w:r w:rsidR="00797DFA">
        <w:rPr>
          <w:rFonts w:ascii="Arial" w:eastAsia="Times New Roman" w:hAnsi="Arial" w:cs="Arial"/>
          <w:color w:val="000000"/>
          <w:sz w:val="24"/>
          <w:szCs w:val="24"/>
          <w:lang w:val="en-US" w:eastAsia="en-US"/>
        </w:rPr>
        <w:t>LIPIDEX</w:t>
      </w:r>
      <w:r w:rsidR="004A02F7">
        <w:rPr>
          <w:rFonts w:ascii="Arial" w:eastAsia="Times New Roman" w:hAnsi="Arial" w:cs="Arial"/>
          <w:color w:val="000000"/>
          <w:sz w:val="24"/>
          <w:szCs w:val="24"/>
          <w:lang w:val="en-US" w:eastAsia="en-US"/>
        </w:rPr>
        <w:t xml:space="preserve"> </w:t>
      </w:r>
      <w:r w:rsidRPr="001870B2">
        <w:rPr>
          <w:rFonts w:ascii="Arial" w:eastAsia="Times New Roman" w:hAnsi="Arial" w:cs="Arial"/>
          <w:color w:val="000000"/>
          <w:sz w:val="24"/>
          <w:szCs w:val="24"/>
          <w:lang w:val="en-US" w:eastAsia="en-US"/>
        </w:rPr>
        <w:t xml:space="preserve">should be discontinued if myopathy is diagnosed or suspected. </w:t>
      </w:r>
    </w:p>
    <w:p w14:paraId="7AEA4E68" w14:textId="77777777" w:rsidR="001870B2" w:rsidRPr="00EA0389" w:rsidRDefault="001870B2" w:rsidP="001870B2">
      <w:pPr>
        <w:spacing w:after="0" w:line="480" w:lineRule="auto"/>
        <w:ind w:left="227"/>
        <w:rPr>
          <w:rFonts w:ascii="Arial" w:eastAsia="Times New Roman" w:hAnsi="Arial" w:cs="Arial"/>
          <w:color w:val="000000"/>
          <w:sz w:val="20"/>
          <w:szCs w:val="24"/>
          <w:lang w:val="en-US" w:eastAsia="en-US"/>
        </w:rPr>
      </w:pPr>
    </w:p>
    <w:p w14:paraId="09CEF38E" w14:textId="77777777" w:rsidR="001870B2" w:rsidRPr="001870B2" w:rsidRDefault="001870B2" w:rsidP="001870B2">
      <w:pPr>
        <w:spacing w:after="0" w:line="480" w:lineRule="auto"/>
        <w:ind w:left="113"/>
        <w:rPr>
          <w:rFonts w:ascii="Arial" w:eastAsia="Times New Roman" w:hAnsi="Arial" w:cs="Arial"/>
          <w:color w:val="000000"/>
          <w:sz w:val="24"/>
          <w:szCs w:val="24"/>
          <w:u w:val="single"/>
          <w:lang w:val="en-US" w:eastAsia="en-US"/>
        </w:rPr>
      </w:pPr>
      <w:r w:rsidRPr="001870B2">
        <w:rPr>
          <w:rFonts w:ascii="Arial" w:eastAsia="Times New Roman" w:hAnsi="Arial" w:cs="Arial"/>
          <w:color w:val="000000"/>
          <w:sz w:val="24"/>
          <w:szCs w:val="24"/>
          <w:lang w:val="en-US" w:eastAsia="en-US"/>
        </w:rPr>
        <w:t>2.</w:t>
      </w:r>
      <w:r w:rsidRPr="001870B2">
        <w:rPr>
          <w:rFonts w:ascii="Arial" w:eastAsia="Times New Roman" w:hAnsi="Arial" w:cs="Arial"/>
          <w:color w:val="000000"/>
          <w:sz w:val="24"/>
          <w:szCs w:val="24"/>
          <w:lang w:val="en-US" w:eastAsia="en-US"/>
        </w:rPr>
        <w:tab/>
        <w:t>Measures to reduce the risk of myopathy caused by medicine interactions:</w:t>
      </w:r>
    </w:p>
    <w:p w14:paraId="63624728" w14:textId="613D15E5" w:rsidR="001870B2" w:rsidRPr="001870B2" w:rsidRDefault="001870B2" w:rsidP="001870B2">
      <w:pPr>
        <w:spacing w:after="0" w:line="480" w:lineRule="auto"/>
        <w:ind w:left="227"/>
        <w:rPr>
          <w:rFonts w:ascii="Arial" w:eastAsia="Times New Roman" w:hAnsi="Arial" w:cs="Arial"/>
          <w:color w:val="000000"/>
          <w:sz w:val="24"/>
          <w:szCs w:val="24"/>
          <w:lang w:val="en-US" w:eastAsia="en-US"/>
        </w:rPr>
      </w:pPr>
      <w:r w:rsidRPr="001870B2">
        <w:rPr>
          <w:rFonts w:ascii="Arial" w:eastAsia="Times New Roman" w:hAnsi="Arial" w:cs="Arial"/>
          <w:color w:val="000000"/>
          <w:sz w:val="24"/>
          <w:szCs w:val="24"/>
          <w:lang w:val="en-US" w:eastAsia="en-US"/>
        </w:rPr>
        <w:t xml:space="preserve">The benefits and risks of using </w:t>
      </w:r>
      <w:r w:rsidR="00797DFA">
        <w:rPr>
          <w:rFonts w:ascii="Arial" w:eastAsia="Times New Roman" w:hAnsi="Arial" w:cs="Arial"/>
          <w:color w:val="000000"/>
          <w:sz w:val="24"/>
          <w:szCs w:val="24"/>
          <w:lang w:val="en-US" w:eastAsia="en-US"/>
        </w:rPr>
        <w:t>LIPIDEX</w:t>
      </w:r>
      <w:r w:rsidR="004A02F7">
        <w:rPr>
          <w:rFonts w:ascii="Arial" w:eastAsia="Times New Roman" w:hAnsi="Arial" w:cs="Arial"/>
          <w:color w:val="000000"/>
          <w:sz w:val="24"/>
          <w:szCs w:val="24"/>
          <w:lang w:val="en-US" w:eastAsia="en-US"/>
        </w:rPr>
        <w:t xml:space="preserve"> </w:t>
      </w:r>
      <w:r w:rsidRPr="001870B2">
        <w:rPr>
          <w:rFonts w:ascii="Arial" w:eastAsia="Times New Roman" w:hAnsi="Arial" w:cs="Arial"/>
          <w:color w:val="000000"/>
          <w:sz w:val="24"/>
          <w:szCs w:val="24"/>
          <w:lang w:val="en-US" w:eastAsia="en-US"/>
        </w:rPr>
        <w:t xml:space="preserve">concomitantly with immunosuppresants, fibrates or lipid-lowering doses of niacin should be carefully considered, and the dose of </w:t>
      </w:r>
      <w:r w:rsidR="00797DFA">
        <w:rPr>
          <w:rFonts w:ascii="Arial" w:eastAsia="Times New Roman" w:hAnsi="Arial" w:cs="Arial"/>
          <w:color w:val="000000"/>
          <w:sz w:val="24"/>
          <w:szCs w:val="24"/>
          <w:lang w:val="en-US" w:eastAsia="en-US"/>
        </w:rPr>
        <w:t>LIPIDEX</w:t>
      </w:r>
      <w:r w:rsidR="004A02F7">
        <w:rPr>
          <w:rFonts w:ascii="Arial" w:eastAsia="Times New Roman" w:hAnsi="Arial" w:cs="Arial"/>
          <w:color w:val="000000"/>
          <w:sz w:val="24"/>
          <w:szCs w:val="24"/>
          <w:lang w:val="en-US" w:eastAsia="en-US"/>
        </w:rPr>
        <w:t xml:space="preserve"> </w:t>
      </w:r>
      <w:r w:rsidRPr="001870B2">
        <w:rPr>
          <w:rFonts w:ascii="Arial" w:eastAsia="Times New Roman" w:hAnsi="Arial" w:cs="Arial"/>
          <w:color w:val="000000"/>
          <w:sz w:val="24"/>
          <w:szCs w:val="24"/>
          <w:lang w:val="en-US" w:eastAsia="en-US"/>
        </w:rPr>
        <w:t>should generally not exceed 10 mg/day. Concomitant administration with cyclosporin, danazol, itraconazole, ketoconazole, erythromycin, clarithromycin, HIV-protease inhibitors and nefazodone, is not recommended.</w:t>
      </w:r>
    </w:p>
    <w:p w14:paraId="4C50A8B1" w14:textId="1C6D0E04" w:rsidR="001870B2" w:rsidRPr="001870B2" w:rsidRDefault="001870B2" w:rsidP="001870B2">
      <w:pPr>
        <w:spacing w:after="0" w:line="480" w:lineRule="auto"/>
        <w:ind w:left="227"/>
        <w:rPr>
          <w:rFonts w:ascii="Arial" w:eastAsia="Times New Roman" w:hAnsi="Arial" w:cs="Arial"/>
          <w:color w:val="000000"/>
          <w:sz w:val="24"/>
          <w:szCs w:val="24"/>
          <w:lang w:val="en-US" w:eastAsia="en-US"/>
        </w:rPr>
      </w:pPr>
      <w:r w:rsidRPr="001870B2">
        <w:rPr>
          <w:rFonts w:ascii="Arial" w:eastAsia="Times New Roman" w:hAnsi="Arial" w:cs="Arial"/>
          <w:color w:val="000000"/>
          <w:sz w:val="24"/>
          <w:szCs w:val="24"/>
          <w:lang w:val="en-US" w:eastAsia="en-US"/>
        </w:rPr>
        <w:t xml:space="preserve">In patients receiving cyclosporine, </w:t>
      </w:r>
      <w:r w:rsidR="00797DFA">
        <w:rPr>
          <w:rFonts w:ascii="Arial" w:eastAsia="Times New Roman" w:hAnsi="Arial" w:cs="Arial"/>
          <w:color w:val="000000"/>
          <w:sz w:val="24"/>
          <w:szCs w:val="24"/>
          <w:lang w:val="en-US" w:eastAsia="en-US"/>
        </w:rPr>
        <w:t>LIPIDEX</w:t>
      </w:r>
      <w:r w:rsidR="004A02F7">
        <w:rPr>
          <w:rFonts w:ascii="Arial" w:eastAsia="Times New Roman" w:hAnsi="Arial" w:cs="Arial"/>
          <w:color w:val="000000"/>
          <w:sz w:val="24"/>
          <w:szCs w:val="24"/>
          <w:lang w:val="en-US" w:eastAsia="en-US"/>
        </w:rPr>
        <w:t xml:space="preserve"> </w:t>
      </w:r>
      <w:r w:rsidRPr="001870B2">
        <w:rPr>
          <w:rFonts w:ascii="Arial" w:eastAsia="Times New Roman" w:hAnsi="Arial" w:cs="Arial"/>
          <w:color w:val="000000"/>
          <w:sz w:val="24"/>
          <w:szCs w:val="24"/>
          <w:lang w:val="en-US" w:eastAsia="en-US"/>
        </w:rPr>
        <w:t>should be temporarily discontinued if systemic azole derivative-antifungal therapy is required.</w:t>
      </w:r>
    </w:p>
    <w:p w14:paraId="4D645C00" w14:textId="77777777" w:rsidR="001870B2" w:rsidRPr="00EA0389" w:rsidRDefault="001870B2" w:rsidP="001870B2">
      <w:pPr>
        <w:spacing w:after="0" w:line="480" w:lineRule="auto"/>
        <w:ind w:left="227"/>
        <w:rPr>
          <w:rFonts w:ascii="Arial" w:eastAsia="Times New Roman" w:hAnsi="Arial" w:cs="Arial"/>
          <w:color w:val="000000"/>
          <w:sz w:val="20"/>
          <w:szCs w:val="24"/>
          <w:lang w:val="en-US" w:eastAsia="en-US"/>
        </w:rPr>
      </w:pPr>
    </w:p>
    <w:p w14:paraId="1E2A53B4" w14:textId="77777777" w:rsidR="001870B2" w:rsidRPr="001870B2" w:rsidRDefault="001870B2" w:rsidP="001870B2">
      <w:pPr>
        <w:spacing w:after="0" w:line="480" w:lineRule="auto"/>
        <w:rPr>
          <w:rFonts w:ascii="Arial" w:eastAsia="Times New Roman" w:hAnsi="Arial" w:cs="Arial"/>
          <w:b/>
          <w:color w:val="000000"/>
          <w:sz w:val="24"/>
          <w:szCs w:val="24"/>
          <w:lang w:val="en-US" w:eastAsia="en-US"/>
        </w:rPr>
      </w:pPr>
      <w:r w:rsidRPr="001870B2">
        <w:rPr>
          <w:rFonts w:ascii="Arial" w:eastAsia="Times New Roman" w:hAnsi="Arial" w:cs="Arial"/>
          <w:b/>
          <w:color w:val="000000"/>
          <w:sz w:val="24"/>
          <w:szCs w:val="24"/>
          <w:lang w:val="en-US" w:eastAsia="en-US"/>
        </w:rPr>
        <w:t>Known symptoms of overdosage and particulars of its treatment:</w:t>
      </w:r>
    </w:p>
    <w:p w14:paraId="58D9E2DA" w14:textId="77777777" w:rsidR="001870B2" w:rsidRPr="001870B2" w:rsidRDefault="001870B2" w:rsidP="001870B2">
      <w:pPr>
        <w:spacing w:after="0" w:line="480" w:lineRule="auto"/>
        <w:rPr>
          <w:rFonts w:ascii="Arial" w:eastAsia="Times New Roman" w:hAnsi="Arial" w:cs="Arial"/>
          <w:b/>
          <w:color w:val="000000"/>
          <w:sz w:val="24"/>
          <w:szCs w:val="24"/>
          <w:lang w:val="en-US" w:eastAsia="en-US"/>
        </w:rPr>
      </w:pPr>
      <w:r w:rsidRPr="001870B2">
        <w:rPr>
          <w:rFonts w:ascii="Arial" w:eastAsia="Times New Roman" w:hAnsi="Arial" w:cs="Arial"/>
          <w:color w:val="000000"/>
          <w:sz w:val="24"/>
          <w:szCs w:val="24"/>
          <w:lang w:val="en-US" w:eastAsia="en-US"/>
        </w:rPr>
        <w:t>(See</w:t>
      </w:r>
      <w:r w:rsidRPr="001870B2">
        <w:rPr>
          <w:rFonts w:ascii="Arial" w:eastAsia="Times New Roman" w:hAnsi="Arial" w:cs="Arial"/>
          <w:b/>
          <w:color w:val="000000"/>
          <w:sz w:val="24"/>
          <w:szCs w:val="24"/>
          <w:lang w:val="en-US" w:eastAsia="en-US"/>
        </w:rPr>
        <w:t xml:space="preserve"> </w:t>
      </w:r>
      <w:r w:rsidRPr="001870B2">
        <w:rPr>
          <w:rFonts w:ascii="Arial" w:eastAsia="Times New Roman" w:hAnsi="Arial" w:cs="Arial"/>
          <w:color w:val="000000"/>
          <w:sz w:val="24"/>
          <w:szCs w:val="24"/>
          <w:lang w:val="en-US" w:eastAsia="en-US"/>
        </w:rPr>
        <w:t>“Side-effects and special precautions”).</w:t>
      </w:r>
    </w:p>
    <w:p w14:paraId="39E0A375" w14:textId="77777777" w:rsidR="001870B2" w:rsidRPr="001870B2" w:rsidRDefault="001870B2" w:rsidP="001870B2">
      <w:pPr>
        <w:spacing w:after="0" w:line="480" w:lineRule="auto"/>
        <w:rPr>
          <w:rFonts w:ascii="Arial" w:eastAsia="Times New Roman" w:hAnsi="Arial" w:cs="Arial"/>
          <w:color w:val="000000"/>
          <w:sz w:val="24"/>
          <w:szCs w:val="24"/>
          <w:lang w:val="en-US" w:eastAsia="en-US"/>
        </w:rPr>
      </w:pPr>
      <w:r w:rsidRPr="001870B2">
        <w:rPr>
          <w:rFonts w:ascii="Arial" w:eastAsia="Times New Roman" w:hAnsi="Arial" w:cs="Arial"/>
          <w:color w:val="000000"/>
          <w:sz w:val="24"/>
          <w:szCs w:val="24"/>
          <w:lang w:val="en-US" w:eastAsia="en-US"/>
        </w:rPr>
        <w:t>General measures should be adopted and liver function should be monitored.</w:t>
      </w:r>
    </w:p>
    <w:p w14:paraId="79EB864F" w14:textId="77777777" w:rsidR="001870B2" w:rsidRPr="001870B2" w:rsidRDefault="001870B2" w:rsidP="001870B2">
      <w:pPr>
        <w:spacing w:after="0" w:line="480" w:lineRule="auto"/>
        <w:rPr>
          <w:rFonts w:ascii="Arial" w:eastAsia="Times New Roman" w:hAnsi="Arial" w:cs="Arial"/>
          <w:color w:val="000000"/>
          <w:sz w:val="24"/>
          <w:szCs w:val="24"/>
          <w:lang w:val="en-US" w:eastAsia="en-US"/>
        </w:rPr>
      </w:pPr>
      <w:r w:rsidRPr="001870B2">
        <w:rPr>
          <w:rFonts w:ascii="Arial" w:eastAsia="Times New Roman" w:hAnsi="Arial" w:cs="Arial"/>
          <w:color w:val="000000"/>
          <w:sz w:val="24"/>
          <w:szCs w:val="24"/>
          <w:lang w:val="en-US" w:eastAsia="en-US"/>
        </w:rPr>
        <w:lastRenderedPageBreak/>
        <w:t xml:space="preserve">Treatment is symptomatic and supportive. </w:t>
      </w:r>
    </w:p>
    <w:p w14:paraId="5B8C777D" w14:textId="373B9AB2" w:rsidR="00EA0389" w:rsidRDefault="00EA0389">
      <w:pPr>
        <w:rPr>
          <w:rFonts w:ascii="Arial" w:eastAsia="Times New Roman" w:hAnsi="Arial" w:cs="Arial"/>
          <w:color w:val="000000"/>
          <w:sz w:val="24"/>
          <w:szCs w:val="24"/>
          <w:lang w:val="en-US" w:eastAsia="en-US"/>
        </w:rPr>
      </w:pPr>
    </w:p>
    <w:p w14:paraId="36D0DABD" w14:textId="77777777" w:rsidR="001870B2" w:rsidRPr="001870B2" w:rsidRDefault="001870B2" w:rsidP="001870B2">
      <w:pPr>
        <w:spacing w:after="0" w:line="480" w:lineRule="auto"/>
        <w:rPr>
          <w:rFonts w:ascii="Arial" w:eastAsia="Times New Roman" w:hAnsi="Arial" w:cs="Arial"/>
          <w:b/>
          <w:color w:val="000000"/>
          <w:sz w:val="24"/>
          <w:szCs w:val="24"/>
          <w:lang w:val="en-US" w:eastAsia="en-US"/>
        </w:rPr>
      </w:pPr>
      <w:r w:rsidRPr="001870B2">
        <w:rPr>
          <w:rFonts w:ascii="Arial" w:eastAsia="Times New Roman" w:hAnsi="Arial" w:cs="Arial"/>
          <w:b/>
          <w:color w:val="000000"/>
          <w:sz w:val="24"/>
          <w:szCs w:val="24"/>
          <w:lang w:val="en-US" w:eastAsia="en-US"/>
        </w:rPr>
        <w:t>Identification:</w:t>
      </w:r>
    </w:p>
    <w:p w14:paraId="056466D2" w14:textId="24E671D2" w:rsidR="001870B2" w:rsidRPr="001870B2" w:rsidRDefault="00FC6FDB" w:rsidP="001870B2">
      <w:pPr>
        <w:spacing w:after="0" w:line="480" w:lineRule="auto"/>
        <w:rPr>
          <w:rFonts w:ascii="Arial" w:eastAsia="Times New Roman" w:hAnsi="Arial" w:cs="Arial"/>
          <w:color w:val="000000"/>
          <w:sz w:val="24"/>
          <w:szCs w:val="24"/>
          <w:lang w:val="en-US" w:eastAsia="en-US"/>
        </w:rPr>
      </w:pPr>
      <w:r>
        <w:rPr>
          <w:rFonts w:ascii="Arial" w:eastAsia="Times New Roman" w:hAnsi="Arial" w:cs="Arial"/>
          <w:color w:val="000000"/>
          <w:sz w:val="24"/>
          <w:szCs w:val="24"/>
          <w:lang w:val="en-US" w:eastAsia="en-US"/>
        </w:rPr>
        <w:t>Lipidex</w:t>
      </w:r>
      <w:r w:rsidR="002B37FA">
        <w:rPr>
          <w:rFonts w:ascii="Arial" w:eastAsia="Times New Roman" w:hAnsi="Arial" w:cs="Arial"/>
          <w:color w:val="000000"/>
          <w:sz w:val="24"/>
          <w:szCs w:val="24"/>
          <w:lang w:val="en-US" w:eastAsia="en-US"/>
        </w:rPr>
        <w:t xml:space="preserve"> 10 </w:t>
      </w:r>
      <w:r w:rsidR="001870B2" w:rsidRPr="001870B2">
        <w:rPr>
          <w:rFonts w:ascii="Arial" w:eastAsia="Times New Roman" w:hAnsi="Arial" w:cs="Arial"/>
          <w:color w:val="000000"/>
          <w:sz w:val="24"/>
          <w:szCs w:val="24"/>
          <w:lang w:val="en-US" w:eastAsia="en-US"/>
        </w:rPr>
        <w:t>:</w:t>
      </w:r>
      <w:r w:rsidR="001870B2" w:rsidRPr="001870B2">
        <w:rPr>
          <w:rFonts w:ascii="Arial" w:eastAsia="Times New Roman" w:hAnsi="Arial" w:cs="Arial"/>
          <w:color w:val="000000"/>
          <w:sz w:val="24"/>
          <w:szCs w:val="24"/>
          <w:lang w:val="en-US" w:eastAsia="en-US"/>
        </w:rPr>
        <w:tab/>
      </w:r>
      <w:r w:rsidR="001870B2" w:rsidRPr="001870B2">
        <w:rPr>
          <w:rFonts w:ascii="Arial" w:eastAsia="Times New Roman" w:hAnsi="Arial" w:cs="Arial"/>
          <w:color w:val="000000"/>
          <w:sz w:val="24"/>
          <w:szCs w:val="24"/>
          <w:lang w:val="en-US" w:eastAsia="en-US"/>
        </w:rPr>
        <w:tab/>
        <w:t xml:space="preserve">A peach-coloured, coated, oval, scored, convex tablet. Code SIM 10 on </w:t>
      </w:r>
    </w:p>
    <w:p w14:paraId="77C937D0" w14:textId="580E908F" w:rsidR="001870B2" w:rsidRPr="001870B2" w:rsidRDefault="001870B2" w:rsidP="001870B2">
      <w:pPr>
        <w:spacing w:after="0" w:line="480" w:lineRule="auto"/>
        <w:ind w:left="1440" w:firstLine="720"/>
        <w:rPr>
          <w:rFonts w:ascii="Arial" w:eastAsia="Times New Roman" w:hAnsi="Arial" w:cs="Arial"/>
          <w:color w:val="000000"/>
          <w:sz w:val="24"/>
          <w:szCs w:val="24"/>
          <w:lang w:val="en-US" w:eastAsia="en-US"/>
        </w:rPr>
      </w:pPr>
      <w:r w:rsidRPr="001870B2">
        <w:rPr>
          <w:rFonts w:ascii="Arial" w:eastAsia="Times New Roman" w:hAnsi="Arial" w:cs="Arial"/>
          <w:color w:val="000000"/>
          <w:sz w:val="24"/>
          <w:szCs w:val="24"/>
          <w:lang w:val="en-US" w:eastAsia="en-US"/>
        </w:rPr>
        <w:t>one side. Size: Approximately 9.8</w:t>
      </w:r>
      <w:r w:rsidR="00797DFA">
        <w:rPr>
          <w:rFonts w:ascii="Arial" w:eastAsia="Times New Roman" w:hAnsi="Arial" w:cs="Arial"/>
          <w:color w:val="000000"/>
          <w:sz w:val="24"/>
          <w:szCs w:val="24"/>
          <w:lang w:val="en-US" w:eastAsia="en-US"/>
        </w:rPr>
        <w:t xml:space="preserve"> </w:t>
      </w:r>
      <w:r w:rsidRPr="001870B2">
        <w:rPr>
          <w:rFonts w:ascii="Arial" w:eastAsia="Times New Roman" w:hAnsi="Arial" w:cs="Arial"/>
          <w:color w:val="000000"/>
          <w:sz w:val="24"/>
          <w:szCs w:val="24"/>
          <w:lang w:val="en-US" w:eastAsia="en-US"/>
        </w:rPr>
        <w:t>mm x 5</w:t>
      </w:r>
      <w:r w:rsidR="00797DFA">
        <w:rPr>
          <w:rFonts w:ascii="Arial" w:eastAsia="Times New Roman" w:hAnsi="Arial" w:cs="Arial"/>
          <w:color w:val="000000"/>
          <w:sz w:val="24"/>
          <w:szCs w:val="24"/>
          <w:lang w:val="en-US" w:eastAsia="en-US"/>
        </w:rPr>
        <w:t xml:space="preserve"> </w:t>
      </w:r>
      <w:r w:rsidRPr="001870B2">
        <w:rPr>
          <w:rFonts w:ascii="Arial" w:eastAsia="Times New Roman" w:hAnsi="Arial" w:cs="Arial"/>
          <w:color w:val="000000"/>
          <w:sz w:val="24"/>
          <w:szCs w:val="24"/>
          <w:lang w:val="en-US" w:eastAsia="en-US"/>
        </w:rPr>
        <w:t>mm</w:t>
      </w:r>
    </w:p>
    <w:p w14:paraId="2C8DDA9C" w14:textId="64716951" w:rsidR="001870B2" w:rsidRPr="001870B2" w:rsidRDefault="00FC6FDB" w:rsidP="00797DFA">
      <w:pPr>
        <w:spacing w:after="0" w:line="480" w:lineRule="auto"/>
        <w:ind w:left="2160" w:hanging="2160"/>
        <w:rPr>
          <w:rFonts w:ascii="Arial" w:eastAsia="Times New Roman" w:hAnsi="Arial" w:cs="Arial"/>
          <w:color w:val="000000"/>
          <w:sz w:val="24"/>
          <w:szCs w:val="24"/>
          <w:lang w:val="en-US" w:eastAsia="en-US"/>
        </w:rPr>
      </w:pPr>
      <w:r>
        <w:rPr>
          <w:rFonts w:ascii="Arial" w:eastAsia="Times New Roman" w:hAnsi="Arial" w:cs="Arial"/>
          <w:color w:val="000000"/>
          <w:sz w:val="24"/>
          <w:szCs w:val="24"/>
          <w:lang w:val="en-US" w:eastAsia="en-US"/>
        </w:rPr>
        <w:t>Lipidex</w:t>
      </w:r>
      <w:r w:rsidR="002B37FA">
        <w:rPr>
          <w:rFonts w:ascii="Arial" w:eastAsia="Times New Roman" w:hAnsi="Arial" w:cs="Arial"/>
          <w:color w:val="000000"/>
          <w:sz w:val="24"/>
          <w:szCs w:val="24"/>
          <w:lang w:val="en-US" w:eastAsia="en-US"/>
        </w:rPr>
        <w:t xml:space="preserve"> 20 </w:t>
      </w:r>
      <w:r w:rsidR="001870B2" w:rsidRPr="001870B2">
        <w:rPr>
          <w:rFonts w:ascii="Arial" w:eastAsia="Times New Roman" w:hAnsi="Arial" w:cs="Arial"/>
          <w:color w:val="000000"/>
          <w:sz w:val="24"/>
          <w:szCs w:val="24"/>
          <w:lang w:val="en-US" w:eastAsia="en-US"/>
        </w:rPr>
        <w:t>:</w:t>
      </w:r>
      <w:r w:rsidR="001870B2" w:rsidRPr="001870B2">
        <w:rPr>
          <w:rFonts w:ascii="Arial" w:eastAsia="Times New Roman" w:hAnsi="Arial" w:cs="Arial"/>
          <w:color w:val="000000"/>
          <w:sz w:val="24"/>
          <w:szCs w:val="24"/>
          <w:lang w:val="en-US" w:eastAsia="en-US"/>
        </w:rPr>
        <w:tab/>
        <w:t>An orange-coloured coated, oval, scored, convex tablet. Code SIM 20 on one side. Size: Approximately 11.7</w:t>
      </w:r>
      <w:r w:rsidR="00797DFA">
        <w:rPr>
          <w:rFonts w:ascii="Arial" w:eastAsia="Times New Roman" w:hAnsi="Arial" w:cs="Arial"/>
          <w:color w:val="000000"/>
          <w:sz w:val="24"/>
          <w:szCs w:val="24"/>
          <w:lang w:val="en-US" w:eastAsia="en-US"/>
        </w:rPr>
        <w:t xml:space="preserve"> </w:t>
      </w:r>
      <w:r w:rsidR="001870B2" w:rsidRPr="001870B2">
        <w:rPr>
          <w:rFonts w:ascii="Arial" w:eastAsia="Times New Roman" w:hAnsi="Arial" w:cs="Arial"/>
          <w:color w:val="000000"/>
          <w:sz w:val="24"/>
          <w:szCs w:val="24"/>
          <w:lang w:val="en-US" w:eastAsia="en-US"/>
        </w:rPr>
        <w:t>mm x 6</w:t>
      </w:r>
      <w:r w:rsidR="00797DFA">
        <w:rPr>
          <w:rFonts w:ascii="Arial" w:eastAsia="Times New Roman" w:hAnsi="Arial" w:cs="Arial"/>
          <w:color w:val="000000"/>
          <w:sz w:val="24"/>
          <w:szCs w:val="24"/>
          <w:lang w:val="en-US" w:eastAsia="en-US"/>
        </w:rPr>
        <w:t xml:space="preserve"> </w:t>
      </w:r>
      <w:r w:rsidR="001870B2" w:rsidRPr="001870B2">
        <w:rPr>
          <w:rFonts w:ascii="Arial" w:eastAsia="Times New Roman" w:hAnsi="Arial" w:cs="Arial"/>
          <w:color w:val="000000"/>
          <w:sz w:val="24"/>
          <w:szCs w:val="24"/>
          <w:lang w:val="en-US" w:eastAsia="en-US"/>
        </w:rPr>
        <w:t>mm.</w:t>
      </w:r>
    </w:p>
    <w:p w14:paraId="5908573B" w14:textId="77777777" w:rsidR="001870B2" w:rsidRPr="00EA0389" w:rsidRDefault="001870B2" w:rsidP="001870B2">
      <w:pPr>
        <w:spacing w:after="0" w:line="480" w:lineRule="auto"/>
        <w:rPr>
          <w:rFonts w:ascii="Arial" w:eastAsia="Times New Roman" w:hAnsi="Arial" w:cs="Arial"/>
          <w:color w:val="000000"/>
          <w:sz w:val="20"/>
          <w:szCs w:val="24"/>
          <w:lang w:val="en-US" w:eastAsia="en-US"/>
        </w:rPr>
      </w:pPr>
    </w:p>
    <w:p w14:paraId="300753FE" w14:textId="77777777" w:rsidR="001870B2" w:rsidRPr="001870B2" w:rsidRDefault="001870B2" w:rsidP="001870B2">
      <w:pPr>
        <w:spacing w:after="0" w:line="480" w:lineRule="auto"/>
        <w:rPr>
          <w:rFonts w:ascii="Arial" w:eastAsia="Times New Roman" w:hAnsi="Arial" w:cs="Arial"/>
          <w:b/>
          <w:color w:val="000000"/>
          <w:spacing w:val="-2"/>
          <w:sz w:val="24"/>
          <w:szCs w:val="24"/>
          <w:lang w:val="en-US" w:eastAsia="en-US"/>
        </w:rPr>
      </w:pPr>
      <w:r w:rsidRPr="001870B2">
        <w:rPr>
          <w:rFonts w:ascii="Arial" w:eastAsia="Times New Roman" w:hAnsi="Arial" w:cs="Arial"/>
          <w:b/>
          <w:color w:val="000000"/>
          <w:spacing w:val="-2"/>
          <w:sz w:val="24"/>
          <w:szCs w:val="24"/>
          <w:lang w:val="en-US" w:eastAsia="en-US"/>
        </w:rPr>
        <w:t>Presentation:</w:t>
      </w:r>
    </w:p>
    <w:p w14:paraId="242DFDC8" w14:textId="77777777" w:rsidR="001870B2" w:rsidRPr="001870B2" w:rsidRDefault="001870B2" w:rsidP="001870B2">
      <w:pPr>
        <w:spacing w:after="0" w:line="480" w:lineRule="auto"/>
        <w:rPr>
          <w:rFonts w:ascii="Arial" w:eastAsia="Times New Roman" w:hAnsi="Arial" w:cs="Arial"/>
          <w:b/>
          <w:color w:val="000000"/>
          <w:sz w:val="24"/>
          <w:szCs w:val="24"/>
          <w:lang w:val="en-US" w:eastAsia="en-US"/>
        </w:rPr>
      </w:pPr>
      <w:r w:rsidRPr="001870B2">
        <w:rPr>
          <w:rFonts w:ascii="Arial" w:eastAsia="Times New Roman" w:hAnsi="Arial" w:cs="Arial"/>
          <w:color w:val="000000"/>
          <w:sz w:val="24"/>
          <w:szCs w:val="24"/>
          <w:lang w:val="en-US" w:eastAsia="en-US"/>
        </w:rPr>
        <w:t>White opaque polyethylene (HDPE) containers and closures (tamper evident) containing 30 tablets or white opaque PVC/aluminium blister packs containing 30 tablets per carton.</w:t>
      </w:r>
    </w:p>
    <w:p w14:paraId="136DB893" w14:textId="77777777" w:rsidR="001870B2" w:rsidRPr="00EA0389" w:rsidRDefault="001870B2" w:rsidP="001870B2">
      <w:pPr>
        <w:spacing w:after="0" w:line="480" w:lineRule="auto"/>
        <w:rPr>
          <w:rFonts w:ascii="Arial" w:eastAsia="Times New Roman" w:hAnsi="Arial" w:cs="Arial"/>
          <w:color w:val="000000"/>
          <w:spacing w:val="-2"/>
          <w:szCs w:val="24"/>
          <w:lang w:val="en-US" w:eastAsia="en-US"/>
        </w:rPr>
      </w:pPr>
    </w:p>
    <w:p w14:paraId="734EADD9" w14:textId="77777777" w:rsidR="001870B2" w:rsidRPr="001870B2" w:rsidRDefault="001870B2" w:rsidP="001870B2">
      <w:pPr>
        <w:spacing w:after="0" w:line="480" w:lineRule="auto"/>
        <w:rPr>
          <w:rFonts w:ascii="Arial" w:eastAsia="Times New Roman" w:hAnsi="Arial" w:cs="Arial"/>
          <w:b/>
          <w:color w:val="000000"/>
          <w:spacing w:val="-2"/>
          <w:sz w:val="24"/>
          <w:szCs w:val="24"/>
          <w:lang w:val="en-US" w:eastAsia="en-US"/>
        </w:rPr>
      </w:pPr>
      <w:r w:rsidRPr="001870B2">
        <w:rPr>
          <w:rFonts w:ascii="Arial" w:eastAsia="Times New Roman" w:hAnsi="Arial" w:cs="Arial"/>
          <w:b/>
          <w:color w:val="000000"/>
          <w:spacing w:val="-2"/>
          <w:sz w:val="24"/>
          <w:szCs w:val="24"/>
          <w:lang w:val="en-US" w:eastAsia="en-US"/>
        </w:rPr>
        <w:t>Storage instructions:</w:t>
      </w:r>
    </w:p>
    <w:p w14:paraId="2C7064DB" w14:textId="77777777" w:rsidR="001870B2" w:rsidRPr="001870B2" w:rsidRDefault="001870B2" w:rsidP="001870B2">
      <w:pPr>
        <w:spacing w:after="0" w:line="480" w:lineRule="auto"/>
        <w:rPr>
          <w:rFonts w:ascii="Arial" w:eastAsia="Times New Roman" w:hAnsi="Arial" w:cs="Arial"/>
          <w:b/>
          <w:i/>
          <w:color w:val="000000"/>
          <w:sz w:val="24"/>
          <w:szCs w:val="24"/>
          <w:lang w:val="en-US" w:eastAsia="en-US"/>
        </w:rPr>
      </w:pPr>
      <w:r w:rsidRPr="001870B2">
        <w:rPr>
          <w:rFonts w:ascii="Arial" w:eastAsia="Times New Roman" w:hAnsi="Arial" w:cs="Arial"/>
          <w:b/>
          <w:i/>
          <w:color w:val="000000"/>
          <w:sz w:val="24"/>
          <w:szCs w:val="24"/>
          <w:lang w:val="en-US" w:eastAsia="en-US"/>
        </w:rPr>
        <w:t xml:space="preserve">Polyethylene (HDPE) containers and closures: </w:t>
      </w:r>
    </w:p>
    <w:p w14:paraId="6ED9E52C" w14:textId="6DE22808" w:rsidR="001870B2" w:rsidRPr="001870B2" w:rsidRDefault="001870B2" w:rsidP="001870B2">
      <w:pPr>
        <w:spacing w:after="0" w:line="480" w:lineRule="auto"/>
        <w:rPr>
          <w:rFonts w:ascii="Arial" w:eastAsia="Times New Roman" w:hAnsi="Arial" w:cs="Arial"/>
          <w:color w:val="000000"/>
          <w:sz w:val="24"/>
          <w:szCs w:val="24"/>
          <w:lang w:val="en-US" w:eastAsia="en-US"/>
        </w:rPr>
      </w:pPr>
      <w:r w:rsidRPr="001870B2">
        <w:rPr>
          <w:rFonts w:ascii="Arial" w:eastAsia="Times New Roman" w:hAnsi="Arial" w:cs="Arial"/>
          <w:color w:val="000000"/>
          <w:sz w:val="24"/>
          <w:szCs w:val="24"/>
          <w:lang w:val="en-US" w:eastAsia="en-US"/>
        </w:rPr>
        <w:t>Keep container tightly closed. Store in a dry place,</w:t>
      </w:r>
      <w:r w:rsidR="00EA0389">
        <w:rPr>
          <w:rFonts w:ascii="Arial" w:eastAsia="Times New Roman" w:hAnsi="Arial" w:cs="Arial"/>
          <w:color w:val="000000"/>
          <w:sz w:val="24"/>
          <w:szCs w:val="24"/>
          <w:lang w:val="en-US" w:eastAsia="en-US"/>
        </w:rPr>
        <w:t xml:space="preserve"> at or</w:t>
      </w:r>
      <w:r w:rsidRPr="001870B2">
        <w:rPr>
          <w:rFonts w:ascii="Arial" w:eastAsia="Times New Roman" w:hAnsi="Arial" w:cs="Arial"/>
          <w:color w:val="000000"/>
          <w:sz w:val="24"/>
          <w:szCs w:val="24"/>
          <w:lang w:val="en-US" w:eastAsia="en-US"/>
        </w:rPr>
        <w:t xml:space="preserve"> below 25</w:t>
      </w:r>
      <w:r w:rsidR="00797DFA">
        <w:rPr>
          <w:rFonts w:ascii="Arial" w:eastAsia="Times New Roman" w:hAnsi="Arial" w:cs="Arial"/>
          <w:color w:val="000000"/>
          <w:sz w:val="24"/>
          <w:szCs w:val="24"/>
          <w:lang w:val="en-US" w:eastAsia="en-US"/>
        </w:rPr>
        <w:t xml:space="preserve"> </w:t>
      </w:r>
      <w:r w:rsidRPr="001870B2">
        <w:rPr>
          <w:rFonts w:ascii="Arial" w:eastAsia="Times New Roman" w:hAnsi="Arial" w:cs="Arial"/>
          <w:color w:val="000000"/>
          <w:sz w:val="24"/>
          <w:szCs w:val="24"/>
          <w:lang w:val="en-US" w:eastAsia="en-US"/>
        </w:rPr>
        <w:sym w:font="Symbol" w:char="F0B0"/>
      </w:r>
      <w:r w:rsidRPr="001870B2">
        <w:rPr>
          <w:rFonts w:ascii="Arial" w:eastAsia="Times New Roman" w:hAnsi="Arial" w:cs="Arial"/>
          <w:color w:val="000000"/>
          <w:sz w:val="24"/>
          <w:szCs w:val="24"/>
          <w:lang w:val="en-US" w:eastAsia="en-US"/>
        </w:rPr>
        <w:t>C.  Protect from light.</w:t>
      </w:r>
    </w:p>
    <w:p w14:paraId="3839AAFE" w14:textId="77777777" w:rsidR="001870B2" w:rsidRPr="00EA0389" w:rsidRDefault="001870B2" w:rsidP="001870B2">
      <w:pPr>
        <w:spacing w:after="0" w:line="480" w:lineRule="auto"/>
        <w:rPr>
          <w:rFonts w:ascii="Arial" w:eastAsia="Times New Roman" w:hAnsi="Arial" w:cs="Arial"/>
          <w:b/>
          <w:color w:val="000000"/>
          <w:sz w:val="20"/>
          <w:szCs w:val="24"/>
          <w:lang w:val="en-US" w:eastAsia="en-US"/>
        </w:rPr>
      </w:pPr>
    </w:p>
    <w:p w14:paraId="17619C3B" w14:textId="77777777" w:rsidR="001870B2" w:rsidRPr="001870B2" w:rsidRDefault="001870B2" w:rsidP="001870B2">
      <w:pPr>
        <w:spacing w:after="0" w:line="480" w:lineRule="auto"/>
        <w:rPr>
          <w:rFonts w:ascii="Arial" w:eastAsia="Times New Roman" w:hAnsi="Arial" w:cs="Arial"/>
          <w:b/>
          <w:i/>
          <w:color w:val="000000"/>
          <w:sz w:val="24"/>
          <w:szCs w:val="24"/>
          <w:lang w:val="en-US" w:eastAsia="en-US"/>
        </w:rPr>
      </w:pPr>
      <w:r w:rsidRPr="001870B2">
        <w:rPr>
          <w:rFonts w:ascii="Arial" w:eastAsia="Times New Roman" w:hAnsi="Arial" w:cs="Arial"/>
          <w:b/>
          <w:i/>
          <w:color w:val="000000"/>
          <w:sz w:val="24"/>
          <w:szCs w:val="24"/>
          <w:lang w:val="en-US" w:eastAsia="en-US"/>
        </w:rPr>
        <w:t>White opaque PVC/aluminium blister packs:</w:t>
      </w:r>
    </w:p>
    <w:p w14:paraId="16B341A0" w14:textId="1826B26B" w:rsidR="001870B2" w:rsidRPr="001870B2" w:rsidRDefault="001870B2" w:rsidP="001870B2">
      <w:pPr>
        <w:spacing w:after="0" w:line="480" w:lineRule="auto"/>
        <w:rPr>
          <w:rFonts w:ascii="Arial" w:eastAsia="Times New Roman" w:hAnsi="Arial" w:cs="Arial"/>
          <w:color w:val="000000"/>
          <w:sz w:val="24"/>
          <w:szCs w:val="24"/>
          <w:lang w:val="en-US" w:eastAsia="en-US"/>
        </w:rPr>
      </w:pPr>
      <w:r w:rsidRPr="001870B2">
        <w:rPr>
          <w:rFonts w:ascii="Arial" w:eastAsia="Times New Roman" w:hAnsi="Arial" w:cs="Arial"/>
          <w:color w:val="000000"/>
          <w:sz w:val="24"/>
          <w:szCs w:val="24"/>
          <w:lang w:val="en-US" w:eastAsia="en-US"/>
        </w:rPr>
        <w:t xml:space="preserve">Store in a dry place, </w:t>
      </w:r>
      <w:r w:rsidR="00EA0389">
        <w:rPr>
          <w:rFonts w:ascii="Arial" w:eastAsia="Times New Roman" w:hAnsi="Arial" w:cs="Arial"/>
          <w:color w:val="000000"/>
          <w:sz w:val="24"/>
          <w:szCs w:val="24"/>
          <w:lang w:val="en-US" w:eastAsia="en-US"/>
        </w:rPr>
        <w:t xml:space="preserve">at or </w:t>
      </w:r>
      <w:r w:rsidRPr="001870B2">
        <w:rPr>
          <w:rFonts w:ascii="Arial" w:eastAsia="Times New Roman" w:hAnsi="Arial" w:cs="Arial"/>
          <w:color w:val="000000"/>
          <w:sz w:val="24"/>
          <w:szCs w:val="24"/>
          <w:lang w:val="en-US" w:eastAsia="en-US"/>
        </w:rPr>
        <w:t>below 25</w:t>
      </w:r>
      <w:r w:rsidR="00797DFA">
        <w:rPr>
          <w:rFonts w:ascii="Arial" w:eastAsia="Times New Roman" w:hAnsi="Arial" w:cs="Arial"/>
          <w:color w:val="000000"/>
          <w:sz w:val="24"/>
          <w:szCs w:val="24"/>
          <w:lang w:val="en-US" w:eastAsia="en-US"/>
        </w:rPr>
        <w:t xml:space="preserve"> </w:t>
      </w:r>
      <w:r w:rsidRPr="001870B2">
        <w:rPr>
          <w:rFonts w:ascii="Arial" w:eastAsia="Times New Roman" w:hAnsi="Arial" w:cs="Arial"/>
          <w:color w:val="000000"/>
          <w:sz w:val="24"/>
          <w:szCs w:val="24"/>
          <w:lang w:val="en-US" w:eastAsia="en-US"/>
        </w:rPr>
        <w:sym w:font="Symbol" w:char="F0B0"/>
      </w:r>
      <w:r w:rsidRPr="001870B2">
        <w:rPr>
          <w:rFonts w:ascii="Arial" w:eastAsia="Times New Roman" w:hAnsi="Arial" w:cs="Arial"/>
          <w:color w:val="000000"/>
          <w:sz w:val="24"/>
          <w:szCs w:val="24"/>
          <w:lang w:val="en-US" w:eastAsia="en-US"/>
        </w:rPr>
        <w:t xml:space="preserve">C. Protect from light. </w:t>
      </w:r>
    </w:p>
    <w:p w14:paraId="75E967D2" w14:textId="77777777" w:rsidR="001870B2" w:rsidRPr="001870B2" w:rsidRDefault="001870B2" w:rsidP="001870B2">
      <w:pPr>
        <w:spacing w:after="0" w:line="480" w:lineRule="auto"/>
        <w:rPr>
          <w:rFonts w:ascii="Arial" w:eastAsia="Times New Roman" w:hAnsi="Arial" w:cs="Arial"/>
          <w:color w:val="000000"/>
          <w:sz w:val="24"/>
          <w:szCs w:val="24"/>
          <w:lang w:val="en-US" w:eastAsia="en-US"/>
        </w:rPr>
      </w:pPr>
      <w:r w:rsidRPr="001870B2">
        <w:rPr>
          <w:rFonts w:ascii="Arial" w:eastAsia="Times New Roman" w:hAnsi="Arial" w:cs="Arial"/>
          <w:color w:val="000000"/>
          <w:sz w:val="24"/>
          <w:szCs w:val="24"/>
          <w:lang w:val="en-US" w:eastAsia="en-US"/>
        </w:rPr>
        <w:t>Do not remove the blisters from the outer carton until required for use.</w:t>
      </w:r>
    </w:p>
    <w:p w14:paraId="503F2325" w14:textId="77777777" w:rsidR="001870B2" w:rsidRPr="001870B2" w:rsidRDefault="001870B2" w:rsidP="001870B2">
      <w:pPr>
        <w:spacing w:after="0" w:line="480" w:lineRule="auto"/>
        <w:rPr>
          <w:rFonts w:ascii="Arial" w:eastAsia="Times New Roman" w:hAnsi="Arial" w:cs="Arial"/>
          <w:color w:val="000000"/>
          <w:spacing w:val="-2"/>
          <w:sz w:val="24"/>
          <w:szCs w:val="24"/>
          <w:lang w:val="en-US" w:eastAsia="en-US"/>
        </w:rPr>
      </w:pPr>
      <w:r w:rsidRPr="001870B2">
        <w:rPr>
          <w:rFonts w:ascii="Arial" w:eastAsia="Times New Roman" w:hAnsi="Arial" w:cs="Arial"/>
          <w:color w:val="000000"/>
          <w:spacing w:val="-2"/>
          <w:sz w:val="24"/>
          <w:szCs w:val="24"/>
          <w:lang w:val="en-US" w:eastAsia="en-US"/>
        </w:rPr>
        <w:t>KEEP OUT OF THE REACH OF CHILDREN</w:t>
      </w:r>
    </w:p>
    <w:p w14:paraId="21342FB0" w14:textId="77777777" w:rsidR="001870B2" w:rsidRPr="00EA0389" w:rsidRDefault="001870B2" w:rsidP="001870B2">
      <w:pPr>
        <w:spacing w:after="0" w:line="480" w:lineRule="auto"/>
        <w:rPr>
          <w:rFonts w:ascii="Arial" w:eastAsia="Times New Roman" w:hAnsi="Arial" w:cs="Arial"/>
          <w:b/>
          <w:color w:val="000000"/>
          <w:spacing w:val="-2"/>
          <w:szCs w:val="24"/>
          <w:lang w:val="en-US" w:eastAsia="en-US"/>
        </w:rPr>
      </w:pPr>
    </w:p>
    <w:p w14:paraId="6A164655" w14:textId="77777777" w:rsidR="001870B2" w:rsidRPr="001870B2" w:rsidRDefault="001870B2" w:rsidP="001870B2">
      <w:pPr>
        <w:spacing w:after="0" w:line="480" w:lineRule="auto"/>
        <w:rPr>
          <w:rFonts w:ascii="Arial" w:eastAsia="Times New Roman" w:hAnsi="Arial" w:cs="Arial"/>
          <w:color w:val="000000"/>
          <w:spacing w:val="-2"/>
          <w:sz w:val="24"/>
          <w:szCs w:val="24"/>
          <w:lang w:val="en-US" w:eastAsia="en-US"/>
        </w:rPr>
      </w:pPr>
      <w:r w:rsidRPr="001870B2">
        <w:rPr>
          <w:rFonts w:ascii="Arial" w:eastAsia="Times New Roman" w:hAnsi="Arial" w:cs="Arial"/>
          <w:b/>
          <w:color w:val="000000"/>
          <w:spacing w:val="-2"/>
          <w:sz w:val="24"/>
          <w:szCs w:val="24"/>
          <w:lang w:val="en-US" w:eastAsia="en-US"/>
        </w:rPr>
        <w:t>Registration numbers:</w:t>
      </w:r>
    </w:p>
    <w:p w14:paraId="73950B16" w14:textId="23C4DC70" w:rsidR="001870B2" w:rsidRPr="001870B2" w:rsidRDefault="00FC6FDB" w:rsidP="001870B2">
      <w:pPr>
        <w:spacing w:after="0" w:line="480" w:lineRule="auto"/>
        <w:rPr>
          <w:rFonts w:ascii="Arial" w:eastAsia="Times New Roman" w:hAnsi="Arial" w:cs="Arial"/>
          <w:color w:val="000000"/>
          <w:sz w:val="24"/>
          <w:szCs w:val="24"/>
          <w:lang w:val="en-US" w:eastAsia="en-US"/>
        </w:rPr>
      </w:pPr>
      <w:r>
        <w:rPr>
          <w:rFonts w:ascii="Arial" w:eastAsia="Times New Roman" w:hAnsi="Arial" w:cs="Arial"/>
          <w:color w:val="000000"/>
          <w:sz w:val="24"/>
          <w:szCs w:val="24"/>
          <w:lang w:val="en-US" w:eastAsia="en-US"/>
        </w:rPr>
        <w:t>Lipidex</w:t>
      </w:r>
      <w:r w:rsidR="002B37FA">
        <w:rPr>
          <w:rFonts w:ascii="Arial" w:eastAsia="Times New Roman" w:hAnsi="Arial" w:cs="Arial"/>
          <w:color w:val="000000"/>
          <w:sz w:val="24"/>
          <w:szCs w:val="24"/>
          <w:lang w:val="en-US" w:eastAsia="en-US"/>
        </w:rPr>
        <w:t xml:space="preserve"> 10 </w:t>
      </w:r>
      <w:r>
        <w:rPr>
          <w:rFonts w:ascii="Arial" w:eastAsia="Times New Roman" w:hAnsi="Arial" w:cs="Arial"/>
          <w:color w:val="000000"/>
          <w:sz w:val="24"/>
          <w:szCs w:val="24"/>
          <w:lang w:val="en-US" w:eastAsia="en-US"/>
        </w:rPr>
        <w:t>:</w:t>
      </w:r>
      <w:r>
        <w:rPr>
          <w:rFonts w:ascii="Arial" w:eastAsia="Times New Roman" w:hAnsi="Arial" w:cs="Arial"/>
          <w:color w:val="000000"/>
          <w:sz w:val="24"/>
          <w:szCs w:val="24"/>
          <w:lang w:val="en-US" w:eastAsia="en-US"/>
        </w:rPr>
        <w:tab/>
      </w:r>
      <w:r w:rsidR="001870B2" w:rsidRPr="001870B2">
        <w:rPr>
          <w:rFonts w:ascii="Arial" w:eastAsia="Times New Roman" w:hAnsi="Arial" w:cs="Arial"/>
          <w:color w:val="000000"/>
          <w:sz w:val="24"/>
          <w:szCs w:val="24"/>
          <w:lang w:val="en-US" w:eastAsia="en-US"/>
        </w:rPr>
        <w:t>36/7.5/0213</w:t>
      </w:r>
    </w:p>
    <w:p w14:paraId="37D72D86" w14:textId="0E0C23C3" w:rsidR="001870B2" w:rsidRPr="001870B2" w:rsidRDefault="00FC6FDB" w:rsidP="001870B2">
      <w:pPr>
        <w:spacing w:after="0" w:line="480" w:lineRule="auto"/>
        <w:rPr>
          <w:rFonts w:ascii="Arial" w:eastAsia="Times New Roman" w:hAnsi="Arial" w:cs="Arial"/>
          <w:color w:val="000000"/>
          <w:sz w:val="24"/>
          <w:szCs w:val="24"/>
          <w:lang w:val="en-US" w:eastAsia="en-US"/>
        </w:rPr>
      </w:pPr>
      <w:r>
        <w:rPr>
          <w:rFonts w:ascii="Arial" w:eastAsia="Times New Roman" w:hAnsi="Arial" w:cs="Arial"/>
          <w:color w:val="000000"/>
          <w:sz w:val="24"/>
          <w:szCs w:val="24"/>
          <w:lang w:val="en-US" w:eastAsia="en-US"/>
        </w:rPr>
        <w:t>Lipidex</w:t>
      </w:r>
      <w:r w:rsidR="002B37FA">
        <w:rPr>
          <w:rFonts w:ascii="Arial" w:eastAsia="Times New Roman" w:hAnsi="Arial" w:cs="Arial"/>
          <w:color w:val="000000"/>
          <w:sz w:val="24"/>
          <w:szCs w:val="24"/>
          <w:lang w:val="en-US" w:eastAsia="en-US"/>
        </w:rPr>
        <w:t xml:space="preserve"> 20 </w:t>
      </w:r>
      <w:r>
        <w:rPr>
          <w:rFonts w:ascii="Arial" w:eastAsia="Times New Roman" w:hAnsi="Arial" w:cs="Arial"/>
          <w:color w:val="000000"/>
          <w:sz w:val="24"/>
          <w:szCs w:val="24"/>
          <w:lang w:val="en-US" w:eastAsia="en-US"/>
        </w:rPr>
        <w:t>:</w:t>
      </w:r>
      <w:r>
        <w:rPr>
          <w:rFonts w:ascii="Arial" w:eastAsia="Times New Roman" w:hAnsi="Arial" w:cs="Arial"/>
          <w:color w:val="000000"/>
          <w:sz w:val="24"/>
          <w:szCs w:val="24"/>
          <w:lang w:val="en-US" w:eastAsia="en-US"/>
        </w:rPr>
        <w:tab/>
      </w:r>
      <w:r w:rsidR="001870B2" w:rsidRPr="001870B2">
        <w:rPr>
          <w:rFonts w:ascii="Arial" w:eastAsia="Times New Roman" w:hAnsi="Arial" w:cs="Arial"/>
          <w:color w:val="000000"/>
          <w:sz w:val="24"/>
          <w:szCs w:val="24"/>
          <w:lang w:val="en-US" w:eastAsia="en-US"/>
        </w:rPr>
        <w:t>36/7.5/0214</w:t>
      </w:r>
    </w:p>
    <w:p w14:paraId="54FA421F" w14:textId="77777777" w:rsidR="001870B2" w:rsidRPr="001870B2" w:rsidRDefault="001870B2" w:rsidP="001870B2">
      <w:pPr>
        <w:spacing w:after="0" w:line="480" w:lineRule="auto"/>
        <w:rPr>
          <w:rFonts w:ascii="Arial" w:eastAsia="Times New Roman" w:hAnsi="Arial" w:cs="Arial"/>
          <w:b/>
          <w:color w:val="000000"/>
          <w:spacing w:val="-2"/>
          <w:sz w:val="24"/>
          <w:szCs w:val="24"/>
          <w:lang w:val="en-US" w:eastAsia="en-US"/>
        </w:rPr>
      </w:pPr>
    </w:p>
    <w:p w14:paraId="1FC7944D" w14:textId="77777777" w:rsidR="001870B2" w:rsidRPr="001870B2" w:rsidRDefault="001870B2" w:rsidP="001870B2">
      <w:pPr>
        <w:spacing w:after="0" w:line="480" w:lineRule="auto"/>
        <w:rPr>
          <w:rFonts w:ascii="Arial" w:eastAsia="Times New Roman" w:hAnsi="Arial" w:cs="Arial"/>
          <w:b/>
          <w:color w:val="000000"/>
          <w:spacing w:val="-2"/>
          <w:sz w:val="24"/>
          <w:szCs w:val="24"/>
          <w:lang w:val="en-US" w:eastAsia="en-US"/>
        </w:rPr>
      </w:pPr>
      <w:r w:rsidRPr="001870B2">
        <w:rPr>
          <w:rFonts w:ascii="Arial" w:eastAsia="Times New Roman" w:hAnsi="Arial" w:cs="Arial"/>
          <w:b/>
          <w:color w:val="000000"/>
          <w:spacing w:val="-2"/>
          <w:sz w:val="24"/>
          <w:szCs w:val="24"/>
          <w:lang w:val="en-US" w:eastAsia="en-US"/>
        </w:rPr>
        <w:t>Name and business address of the holder of the certificate of registration:</w:t>
      </w:r>
    </w:p>
    <w:p w14:paraId="40A4C6B9" w14:textId="1F9781EC" w:rsidR="0041477B" w:rsidRPr="0041477B" w:rsidRDefault="00FC6FDB" w:rsidP="0041477B">
      <w:pPr>
        <w:spacing w:after="0" w:line="480" w:lineRule="auto"/>
        <w:rPr>
          <w:rFonts w:ascii="Arial" w:eastAsia="Times New Roman" w:hAnsi="Arial" w:cs="Arial"/>
          <w:b/>
          <w:color w:val="000000"/>
          <w:sz w:val="24"/>
          <w:szCs w:val="24"/>
          <w:lang w:val="en-US" w:eastAsia="en-US"/>
        </w:rPr>
      </w:pPr>
      <w:bookmarkStart w:id="0" w:name="_GoBack"/>
      <w:bookmarkEnd w:id="0"/>
      <w:r>
        <w:rPr>
          <w:rFonts w:ascii="Arial" w:eastAsia="Times New Roman" w:hAnsi="Arial" w:cs="Arial"/>
          <w:b/>
          <w:color w:val="000000"/>
          <w:sz w:val="24"/>
          <w:szCs w:val="24"/>
          <w:lang w:val="en-US" w:eastAsia="en-US"/>
        </w:rPr>
        <w:t xml:space="preserve">Oethmaan </w:t>
      </w:r>
      <w:r w:rsidR="00911451">
        <w:rPr>
          <w:rFonts w:ascii="Arial" w:eastAsia="Times New Roman" w:hAnsi="Arial" w:cs="Arial"/>
          <w:b/>
          <w:color w:val="000000"/>
          <w:sz w:val="24"/>
          <w:szCs w:val="24"/>
          <w:lang w:val="en-US" w:eastAsia="en-US"/>
        </w:rPr>
        <w:t>Biosims</w:t>
      </w:r>
      <w:r w:rsidR="0041477B" w:rsidRPr="0041477B">
        <w:rPr>
          <w:rFonts w:ascii="Arial" w:eastAsia="Times New Roman" w:hAnsi="Arial" w:cs="Arial"/>
          <w:b/>
          <w:color w:val="000000"/>
          <w:sz w:val="24"/>
          <w:szCs w:val="24"/>
          <w:lang w:val="en-US" w:eastAsia="en-US"/>
        </w:rPr>
        <w:t xml:space="preserve"> (Pty) Ltd.</w:t>
      </w:r>
    </w:p>
    <w:p w14:paraId="0105DF8E" w14:textId="77777777" w:rsidR="00FC6FDB" w:rsidRPr="00FC6FDB" w:rsidRDefault="00FC6FDB" w:rsidP="00FC6FDB">
      <w:pPr>
        <w:spacing w:after="0" w:line="480" w:lineRule="auto"/>
        <w:rPr>
          <w:rFonts w:ascii="Arial" w:eastAsia="Times New Roman" w:hAnsi="Arial" w:cs="Arial"/>
          <w:color w:val="000000"/>
          <w:sz w:val="24"/>
          <w:szCs w:val="24"/>
          <w:lang w:val="en-US" w:eastAsia="en-US"/>
        </w:rPr>
      </w:pPr>
      <w:r w:rsidRPr="00FC6FDB">
        <w:rPr>
          <w:rFonts w:ascii="Arial" w:eastAsia="Times New Roman" w:hAnsi="Arial" w:cs="Arial"/>
          <w:color w:val="000000"/>
          <w:sz w:val="24"/>
          <w:szCs w:val="24"/>
          <w:lang w:val="en-US" w:eastAsia="en-US"/>
        </w:rPr>
        <w:t>Office 207A, 1st floor, Sherwood House</w:t>
      </w:r>
    </w:p>
    <w:p w14:paraId="595DF8F7" w14:textId="77777777" w:rsidR="00FC6FDB" w:rsidRPr="00FC6FDB" w:rsidRDefault="00FC6FDB" w:rsidP="00FC6FDB">
      <w:pPr>
        <w:spacing w:after="0" w:line="480" w:lineRule="auto"/>
        <w:rPr>
          <w:rFonts w:ascii="Arial" w:eastAsia="Times New Roman" w:hAnsi="Arial" w:cs="Arial"/>
          <w:color w:val="000000"/>
          <w:sz w:val="24"/>
          <w:szCs w:val="24"/>
          <w:lang w:val="en-US" w:eastAsia="en-US"/>
        </w:rPr>
      </w:pPr>
      <w:r w:rsidRPr="00FC6FDB">
        <w:rPr>
          <w:rFonts w:ascii="Arial" w:eastAsia="Times New Roman" w:hAnsi="Arial" w:cs="Arial"/>
          <w:color w:val="000000"/>
          <w:sz w:val="24"/>
          <w:szCs w:val="24"/>
          <w:lang w:val="en-US" w:eastAsia="en-US"/>
        </w:rPr>
        <w:t>Greenacres Office Park, Cnr Victory &amp; Rustenburg Roads</w:t>
      </w:r>
    </w:p>
    <w:p w14:paraId="6447136E" w14:textId="5ADDA27E" w:rsidR="001870B2" w:rsidRDefault="00FC6FDB" w:rsidP="00FC6FDB">
      <w:pPr>
        <w:spacing w:after="0" w:line="480" w:lineRule="auto"/>
        <w:rPr>
          <w:rFonts w:ascii="Arial" w:eastAsia="Times New Roman" w:hAnsi="Arial" w:cs="Arial"/>
          <w:color w:val="000000"/>
          <w:sz w:val="24"/>
          <w:szCs w:val="24"/>
          <w:lang w:val="en-US" w:eastAsia="en-US"/>
        </w:rPr>
      </w:pPr>
      <w:r w:rsidRPr="00FC6FDB">
        <w:rPr>
          <w:rFonts w:ascii="Arial" w:eastAsia="Times New Roman" w:hAnsi="Arial" w:cs="Arial"/>
          <w:color w:val="000000"/>
          <w:sz w:val="24"/>
          <w:szCs w:val="24"/>
          <w:lang w:val="en-US" w:eastAsia="en-US"/>
        </w:rPr>
        <w:t>Victory Park, 2195, Johannesburg, RSA</w:t>
      </w:r>
    </w:p>
    <w:p w14:paraId="03AFAEA4" w14:textId="77777777" w:rsidR="00FC6FDB" w:rsidRPr="001870B2" w:rsidRDefault="00FC6FDB" w:rsidP="00FC6FDB">
      <w:pPr>
        <w:spacing w:after="0" w:line="480" w:lineRule="auto"/>
        <w:rPr>
          <w:rFonts w:ascii="Arial" w:eastAsia="Times New Roman" w:hAnsi="Arial" w:cs="Arial"/>
          <w:color w:val="000000"/>
          <w:sz w:val="24"/>
          <w:szCs w:val="24"/>
          <w:lang w:val="en-US" w:eastAsia="en-US"/>
        </w:rPr>
      </w:pPr>
    </w:p>
    <w:p w14:paraId="2B9E21D7" w14:textId="77777777" w:rsidR="001870B2" w:rsidRPr="001870B2" w:rsidRDefault="001870B2" w:rsidP="001870B2">
      <w:pPr>
        <w:spacing w:after="0" w:line="480" w:lineRule="auto"/>
        <w:rPr>
          <w:rFonts w:ascii="Arial" w:eastAsia="Times New Roman" w:hAnsi="Arial" w:cs="Arial"/>
          <w:b/>
          <w:color w:val="000000"/>
          <w:spacing w:val="-2"/>
          <w:sz w:val="24"/>
          <w:szCs w:val="24"/>
          <w:lang w:val="en-US" w:eastAsia="en-US"/>
        </w:rPr>
      </w:pPr>
      <w:r w:rsidRPr="001870B2">
        <w:rPr>
          <w:rFonts w:ascii="Arial" w:eastAsia="Times New Roman" w:hAnsi="Arial" w:cs="Arial"/>
          <w:b/>
          <w:color w:val="000000"/>
          <w:spacing w:val="-2"/>
          <w:sz w:val="24"/>
          <w:szCs w:val="24"/>
          <w:lang w:val="en-US" w:eastAsia="en-US"/>
        </w:rPr>
        <w:t xml:space="preserve">DATE OF PUBLICATION OF THE PACKAGE INSERT </w:t>
      </w:r>
    </w:p>
    <w:p w14:paraId="6C84FFA8" w14:textId="77777777" w:rsidR="001870B2" w:rsidRPr="001870B2" w:rsidRDefault="001870B2" w:rsidP="001870B2">
      <w:pPr>
        <w:spacing w:after="0" w:line="480" w:lineRule="auto"/>
        <w:rPr>
          <w:rFonts w:ascii="Arial" w:eastAsia="Times New Roman" w:hAnsi="Arial" w:cs="Arial"/>
          <w:color w:val="000000"/>
          <w:sz w:val="24"/>
          <w:szCs w:val="24"/>
          <w:lang w:val="en-US" w:eastAsia="en-US"/>
        </w:rPr>
      </w:pPr>
      <w:r w:rsidRPr="001870B2">
        <w:rPr>
          <w:rFonts w:ascii="Arial" w:eastAsia="Times New Roman" w:hAnsi="Arial" w:cs="Arial"/>
          <w:color w:val="000000"/>
          <w:sz w:val="24"/>
          <w:szCs w:val="24"/>
          <w:lang w:val="en-US" w:eastAsia="en-US"/>
        </w:rPr>
        <w:t>July 2005</w:t>
      </w:r>
    </w:p>
    <w:p w14:paraId="25F5669D" w14:textId="77777777" w:rsidR="001870B2" w:rsidRPr="002D66C9" w:rsidRDefault="001870B2" w:rsidP="00717CBF">
      <w:pPr>
        <w:spacing w:after="0" w:line="240" w:lineRule="auto"/>
        <w:ind w:left="851" w:hanging="851"/>
        <w:rPr>
          <w:rFonts w:ascii="Arial" w:hAnsi="Arial" w:cs="Arial"/>
        </w:rPr>
      </w:pPr>
    </w:p>
    <w:sectPr w:rsidR="001870B2" w:rsidRPr="002D66C9" w:rsidSect="00EA0389">
      <w:headerReference w:type="default" r:id="rId8"/>
      <w:footerReference w:type="default" r:id="rId9"/>
      <w:pgSz w:w="11906" w:h="16838" w:code="9"/>
      <w:pgMar w:top="1440" w:right="707" w:bottom="1170" w:left="1440" w:header="426" w:footer="68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C9D8402" w14:textId="77777777" w:rsidR="002D4AD5" w:rsidRDefault="002D4AD5" w:rsidP="00C3357B">
      <w:pPr>
        <w:spacing w:after="0" w:line="240" w:lineRule="auto"/>
      </w:pPr>
      <w:r>
        <w:separator/>
      </w:r>
    </w:p>
  </w:endnote>
  <w:endnote w:type="continuationSeparator" w:id="0">
    <w:p w14:paraId="1DFEFD42" w14:textId="77777777" w:rsidR="002D4AD5" w:rsidRDefault="002D4AD5" w:rsidP="00C335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ourier">
    <w:altName w:val="Courier New"/>
    <w:panose1 w:val="02070409020205020404"/>
    <w:charset w:val="00"/>
    <w:family w:val="modern"/>
    <w:notTrueType/>
    <w:pitch w:val="fixed"/>
    <w:sig w:usb0="00000003" w:usb1="00000000" w:usb2="00000000" w:usb3="00000000" w:csb0="00000001" w:csb1="00000000"/>
  </w:font>
  <w:font w:name="Arial Bold">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E27C45" w14:textId="139B5888" w:rsidR="000A3C52" w:rsidRPr="00BE2D55" w:rsidRDefault="000A3C52">
    <w:pPr>
      <w:pStyle w:val="Footer"/>
      <w:rPr>
        <w:rFonts w:ascii="Arial" w:hAnsi="Arial" w:cs="Arial"/>
        <w:sz w:val="20"/>
        <w:szCs w:val="20"/>
      </w:rPr>
    </w:pPr>
    <w:r>
      <w:rPr>
        <w:rFonts w:ascii="Arial" w:hAnsi="Arial" w:cs="Arial"/>
        <w:i/>
        <w:sz w:val="20"/>
        <w:szCs w:val="20"/>
      </w:rPr>
      <w:tab/>
    </w:r>
    <w:r>
      <w:rPr>
        <w:rFonts w:ascii="Arial" w:hAnsi="Arial" w:cs="Arial"/>
        <w:i/>
        <w:sz w:val="20"/>
        <w:szCs w:val="20"/>
      </w:rPr>
      <w:tab/>
    </w:r>
    <w:r w:rsidRPr="00BE2D55">
      <w:rPr>
        <w:rFonts w:ascii="Arial" w:hAnsi="Arial" w:cs="Arial"/>
        <w:sz w:val="20"/>
        <w:szCs w:val="20"/>
      </w:rPr>
      <w:fldChar w:fldCharType="begin"/>
    </w:r>
    <w:r w:rsidRPr="00BE2D55">
      <w:rPr>
        <w:rFonts w:ascii="Arial" w:hAnsi="Arial" w:cs="Arial"/>
        <w:sz w:val="20"/>
        <w:szCs w:val="20"/>
      </w:rPr>
      <w:instrText xml:space="preserve"> PAGE   \* MERGEFORMAT </w:instrText>
    </w:r>
    <w:r w:rsidRPr="00BE2D55">
      <w:rPr>
        <w:rFonts w:ascii="Arial" w:hAnsi="Arial" w:cs="Arial"/>
        <w:sz w:val="20"/>
        <w:szCs w:val="20"/>
      </w:rPr>
      <w:fldChar w:fldCharType="separate"/>
    </w:r>
    <w:r w:rsidR="00797DFA">
      <w:rPr>
        <w:rFonts w:ascii="Arial" w:hAnsi="Arial" w:cs="Arial"/>
        <w:noProof/>
        <w:sz w:val="20"/>
        <w:szCs w:val="20"/>
      </w:rPr>
      <w:t>9</w:t>
    </w:r>
    <w:r w:rsidRPr="00BE2D55">
      <w:rPr>
        <w:rFonts w:ascii="Arial" w:hAnsi="Arial" w:cs="Arial"/>
        <w:sz w:val="20"/>
        <w:szCs w:val="20"/>
      </w:rPr>
      <w:fldChar w:fldCharType="end"/>
    </w:r>
  </w:p>
  <w:p w14:paraId="42C63902" w14:textId="77777777" w:rsidR="000A3C52" w:rsidRDefault="000A3C5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FB2D98E" w14:textId="77777777" w:rsidR="002D4AD5" w:rsidRDefault="002D4AD5" w:rsidP="00C3357B">
      <w:pPr>
        <w:spacing w:after="0" w:line="240" w:lineRule="auto"/>
      </w:pPr>
      <w:r>
        <w:separator/>
      </w:r>
    </w:p>
  </w:footnote>
  <w:footnote w:type="continuationSeparator" w:id="0">
    <w:p w14:paraId="3F99BC46" w14:textId="77777777" w:rsidR="002D4AD5" w:rsidRDefault="002D4AD5" w:rsidP="00C3357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5"/>
      <w:tblW w:w="10314"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88"/>
      <w:gridCol w:w="1326"/>
    </w:tblGrid>
    <w:tr w:rsidR="00C17192" w14:paraId="342B12FF" w14:textId="77777777" w:rsidTr="00C17192">
      <w:trPr>
        <w:trHeight w:val="1124"/>
      </w:trPr>
      <w:tc>
        <w:tcPr>
          <w:tcW w:w="8988" w:type="dxa"/>
          <w:tcBorders>
            <w:top w:val="nil"/>
            <w:left w:val="nil"/>
            <w:bottom w:val="nil"/>
            <w:right w:val="nil"/>
          </w:tcBorders>
        </w:tcPr>
        <w:p w14:paraId="7B7A2322" w14:textId="61D32157" w:rsidR="00C17192" w:rsidRDefault="00C17192" w:rsidP="00C17192">
          <w:pPr>
            <w:keepNext/>
            <w:outlineLvl w:val="4"/>
            <w:rPr>
              <w:rFonts w:eastAsia="Calibri" w:cs="Arial"/>
              <w:sz w:val="18"/>
              <w:szCs w:val="18"/>
            </w:rPr>
          </w:pPr>
          <w:r>
            <w:rPr>
              <w:rFonts w:eastAsia="Calibri" w:cs="Arial"/>
              <w:b/>
              <w:snapToGrid w:val="0"/>
              <w:sz w:val="18"/>
              <w:szCs w:val="18"/>
            </w:rPr>
            <w:t>Applicant:</w:t>
          </w:r>
          <w:r w:rsidR="00FC6FDB">
            <w:rPr>
              <w:rFonts w:eastAsia="Calibri" w:cs="Arial"/>
              <w:b/>
              <w:snapToGrid w:val="0"/>
              <w:sz w:val="18"/>
              <w:szCs w:val="18"/>
            </w:rPr>
            <w:t xml:space="preserve"> </w:t>
          </w:r>
          <w:r w:rsidR="00FC6FDB" w:rsidRPr="00FC6FDB">
            <w:rPr>
              <w:rFonts w:eastAsia="Calibri" w:cs="Arial"/>
              <w:snapToGrid w:val="0"/>
              <w:sz w:val="18"/>
              <w:szCs w:val="18"/>
            </w:rPr>
            <w:t>Oethmaan</w:t>
          </w:r>
          <w:r>
            <w:rPr>
              <w:rFonts w:eastAsia="Calibri" w:cs="Arial"/>
              <w:snapToGrid w:val="0"/>
              <w:sz w:val="18"/>
              <w:szCs w:val="18"/>
            </w:rPr>
            <w:t xml:space="preserve"> </w:t>
          </w:r>
          <w:r>
            <w:rPr>
              <w:rFonts w:cs="Arial"/>
              <w:snapToGrid w:val="0"/>
              <w:sz w:val="18"/>
              <w:szCs w:val="18"/>
            </w:rPr>
            <w:t>Biosims (Pty) Ltd</w:t>
          </w:r>
        </w:p>
        <w:p w14:paraId="17A2C6DD" w14:textId="6E4B0766" w:rsidR="00C17192" w:rsidRDefault="00C17192" w:rsidP="00C17192">
          <w:pPr>
            <w:ind w:right="-108"/>
            <w:rPr>
              <w:rFonts w:cs="Arial"/>
              <w:sz w:val="18"/>
              <w:szCs w:val="18"/>
              <w:lang w:val="en-GB"/>
            </w:rPr>
          </w:pPr>
          <w:r>
            <w:rPr>
              <w:rFonts w:cs="Arial"/>
              <w:b/>
              <w:sz w:val="18"/>
              <w:szCs w:val="18"/>
            </w:rPr>
            <w:t xml:space="preserve">Product Name: </w:t>
          </w:r>
          <w:r w:rsidR="00FC6FDB">
            <w:rPr>
              <w:rFonts w:cs="Arial"/>
              <w:sz w:val="18"/>
              <w:szCs w:val="18"/>
              <w:lang w:val="en-GB"/>
            </w:rPr>
            <w:t>Lipidex 10</w:t>
          </w:r>
        </w:p>
        <w:p w14:paraId="5AB3DB55" w14:textId="5E7B1E46" w:rsidR="00C17192" w:rsidRDefault="00C17192" w:rsidP="00FC6FDB">
          <w:pPr>
            <w:ind w:right="-108"/>
            <w:rPr>
              <w:rFonts w:cs="Arial"/>
              <w:sz w:val="18"/>
              <w:szCs w:val="18"/>
              <w:lang w:val="en-GB"/>
            </w:rPr>
          </w:pPr>
          <w:r>
            <w:rPr>
              <w:rFonts w:cs="Arial"/>
              <w:sz w:val="18"/>
              <w:szCs w:val="18"/>
              <w:lang w:val="en-GB"/>
            </w:rPr>
            <w:t xml:space="preserve">                           </w:t>
          </w:r>
          <w:r w:rsidR="00FC6FDB">
            <w:rPr>
              <w:rFonts w:cs="Arial"/>
              <w:sz w:val="18"/>
              <w:szCs w:val="18"/>
              <w:lang w:val="en-GB"/>
            </w:rPr>
            <w:t>Lipidex 20</w:t>
          </w:r>
        </w:p>
        <w:p w14:paraId="40F23DEC" w14:textId="038AFA58" w:rsidR="00C17192" w:rsidRDefault="00C17192" w:rsidP="00C17192">
          <w:pPr>
            <w:tabs>
              <w:tab w:val="center" w:pos="4513"/>
              <w:tab w:val="right" w:pos="9026"/>
            </w:tabs>
            <w:spacing w:line="276" w:lineRule="auto"/>
            <w:rPr>
              <w:rFonts w:cs="Arial"/>
              <w:snapToGrid w:val="0"/>
              <w:szCs w:val="24"/>
              <w:lang w:val="en-GB"/>
            </w:rPr>
          </w:pPr>
          <w:r>
            <w:rPr>
              <w:rFonts w:cs="Arial"/>
              <w:b/>
              <w:snapToGrid w:val="0"/>
              <w:sz w:val="18"/>
              <w:szCs w:val="18"/>
            </w:rPr>
            <w:t xml:space="preserve">Dosage form and strength: </w:t>
          </w:r>
          <w:r>
            <w:rPr>
              <w:rFonts w:cs="Arial"/>
              <w:snapToGrid w:val="0"/>
              <w:lang w:val="en-GB"/>
            </w:rPr>
            <w:t xml:space="preserve">10 mg </w:t>
          </w:r>
          <w:r w:rsidR="00FC6FDB">
            <w:rPr>
              <w:rFonts w:cs="Arial"/>
              <w:snapToGrid w:val="0"/>
              <w:lang w:val="en-GB"/>
            </w:rPr>
            <w:t>Simvastatin</w:t>
          </w:r>
          <w:r>
            <w:rPr>
              <w:rFonts w:cs="Arial"/>
              <w:snapToGrid w:val="0"/>
              <w:lang w:val="en-GB"/>
            </w:rPr>
            <w:t xml:space="preserve"> per tablet</w:t>
          </w:r>
        </w:p>
        <w:p w14:paraId="2850E9B0" w14:textId="727012A5" w:rsidR="00C17192" w:rsidRPr="00C17192" w:rsidRDefault="00C17192" w:rsidP="00FC6FDB">
          <w:pPr>
            <w:tabs>
              <w:tab w:val="center" w:pos="4513"/>
              <w:tab w:val="right" w:pos="9026"/>
            </w:tabs>
            <w:spacing w:line="276" w:lineRule="auto"/>
            <w:rPr>
              <w:rFonts w:cs="Arial"/>
              <w:snapToGrid w:val="0"/>
              <w:lang w:val="en-GB"/>
            </w:rPr>
          </w:pPr>
          <w:r>
            <w:rPr>
              <w:rFonts w:cs="Arial"/>
              <w:snapToGrid w:val="0"/>
              <w:lang w:val="en-GB"/>
            </w:rPr>
            <w:t xml:space="preserve">                                           20 mg </w:t>
          </w:r>
          <w:r w:rsidR="00FC6FDB">
            <w:rPr>
              <w:rFonts w:cs="Arial"/>
              <w:snapToGrid w:val="0"/>
              <w:lang w:val="en-GB"/>
            </w:rPr>
            <w:t>Simvastatin</w:t>
          </w:r>
          <w:r>
            <w:rPr>
              <w:rFonts w:cs="Arial"/>
              <w:snapToGrid w:val="0"/>
              <w:lang w:val="en-GB"/>
            </w:rPr>
            <w:t xml:space="preserve"> per tablet</w:t>
          </w:r>
        </w:p>
      </w:tc>
      <w:tc>
        <w:tcPr>
          <w:tcW w:w="1326" w:type="dxa"/>
          <w:tcBorders>
            <w:top w:val="nil"/>
            <w:left w:val="nil"/>
            <w:bottom w:val="nil"/>
            <w:right w:val="nil"/>
          </w:tcBorders>
          <w:hideMark/>
        </w:tcPr>
        <w:p w14:paraId="4321DE2D" w14:textId="77777777" w:rsidR="00C17192" w:rsidRDefault="00C17192" w:rsidP="00C17192">
          <w:pPr>
            <w:keepNext/>
            <w:tabs>
              <w:tab w:val="center" w:pos="4513"/>
              <w:tab w:val="left" w:pos="7938"/>
              <w:tab w:val="right" w:pos="9026"/>
            </w:tabs>
            <w:outlineLvl w:val="4"/>
            <w:rPr>
              <w:rFonts w:eastAsia="Calibri" w:cs="Arial"/>
              <w:snapToGrid w:val="0"/>
              <w:sz w:val="18"/>
              <w:szCs w:val="18"/>
            </w:rPr>
          </w:pPr>
          <w:r>
            <w:rPr>
              <w:rFonts w:eastAsia="Calibri" w:cs="Arial"/>
              <w:snapToGrid w:val="0"/>
              <w:sz w:val="18"/>
              <w:szCs w:val="18"/>
            </w:rPr>
            <w:t xml:space="preserve">  MODULE 1</w:t>
          </w:r>
        </w:p>
        <w:p w14:paraId="05554B01" w14:textId="164D5853" w:rsidR="00C17192" w:rsidRDefault="00F61333" w:rsidP="00C17192">
          <w:pPr>
            <w:keepNext/>
            <w:tabs>
              <w:tab w:val="center" w:pos="4513"/>
              <w:tab w:val="left" w:pos="7938"/>
              <w:tab w:val="right" w:pos="9026"/>
            </w:tabs>
            <w:outlineLvl w:val="4"/>
            <w:rPr>
              <w:rFonts w:eastAsia="Calibri" w:cs="Arial"/>
              <w:snapToGrid w:val="0"/>
              <w:sz w:val="18"/>
              <w:szCs w:val="18"/>
            </w:rPr>
          </w:pPr>
          <w:r>
            <w:rPr>
              <w:rFonts w:eastAsia="Calibri" w:cs="Arial"/>
              <w:snapToGrid w:val="0"/>
              <w:sz w:val="18"/>
              <w:szCs w:val="18"/>
            </w:rPr>
            <w:t xml:space="preserve">  1.3.1.1</w:t>
          </w:r>
        </w:p>
      </w:tc>
    </w:tr>
  </w:tbl>
  <w:p w14:paraId="6A88D658" w14:textId="77777777" w:rsidR="00C17192" w:rsidRDefault="00C17192" w:rsidP="00C17192">
    <w:pPr>
      <w:spacing w:after="0" w:line="240" w:lineRule="auto"/>
      <w:jc w:val="center"/>
      <w:rPr>
        <w:b/>
        <w:sz w:val="18"/>
        <w:szCs w:val="18"/>
      </w:rPr>
    </w:pPr>
    <w:r>
      <w:rPr>
        <w:b/>
        <w:sz w:val="18"/>
        <w:szCs w:val="18"/>
      </w:rPr>
      <w:t xml:space="preserve">                                                                                                               </w:t>
    </w:r>
  </w:p>
  <w:p w14:paraId="73848BDD" w14:textId="1BF7C72A" w:rsidR="00C17192" w:rsidRDefault="00C17192" w:rsidP="00C17192">
    <w:pPr>
      <w:spacing w:after="0" w:line="240" w:lineRule="auto"/>
      <w:jc w:val="center"/>
      <w:rPr>
        <w:rFonts w:ascii="Arial" w:eastAsia="Calibri" w:hAnsi="Arial" w:cs="Arial"/>
        <w:b/>
        <w:sz w:val="18"/>
        <w:szCs w:val="18"/>
        <w:lang w:val="en-US" w:eastAsia="en-US"/>
      </w:rPr>
    </w:pPr>
    <w:r>
      <w:rPr>
        <w:b/>
        <w:sz w:val="18"/>
        <w:szCs w:val="18"/>
      </w:rPr>
      <w:t xml:space="preserve">                                                                                                               Amendment date: </w:t>
    </w:r>
    <w:r w:rsidR="00797DFA">
      <w:rPr>
        <w:b/>
        <w:sz w:val="18"/>
        <w:szCs w:val="18"/>
      </w:rPr>
      <w:t>2 February 2023</w:t>
    </w:r>
  </w:p>
  <w:p w14:paraId="59D8F886" w14:textId="132DF936" w:rsidR="000A3C52" w:rsidRDefault="00C17192" w:rsidP="00C17192">
    <w:pPr>
      <w:spacing w:after="0" w:line="240" w:lineRule="auto"/>
      <w:jc w:val="center"/>
      <w:rPr>
        <w:b/>
        <w:sz w:val="18"/>
        <w:szCs w:val="18"/>
      </w:rPr>
    </w:pPr>
    <w:r>
      <w:rPr>
        <w:b/>
        <w:sz w:val="18"/>
        <w:szCs w:val="18"/>
      </w:rPr>
      <w:t xml:space="preserve">                                                                                      </w:t>
    </w:r>
    <w:r w:rsidR="001137F7">
      <w:rPr>
        <w:b/>
        <w:sz w:val="18"/>
        <w:szCs w:val="18"/>
      </w:rPr>
      <w:t xml:space="preserve">                                         </w:t>
    </w:r>
    <w:r>
      <w:rPr>
        <w:b/>
        <w:sz w:val="18"/>
        <w:szCs w:val="18"/>
      </w:rPr>
      <w:t xml:space="preserve"> (</w:t>
    </w:r>
    <w:r w:rsidR="001137F7" w:rsidRPr="001137F7">
      <w:rPr>
        <w:b/>
        <w:sz w:val="18"/>
        <w:szCs w:val="18"/>
      </w:rPr>
      <w:t>Type II: Post Registration - Naming Update</w:t>
    </w:r>
    <w:r>
      <w:rPr>
        <w:b/>
        <w:sz w:val="18"/>
        <w:szCs w:val="18"/>
      </w:rPr>
      <w:t>)</w:t>
    </w:r>
  </w:p>
  <w:p w14:paraId="557B1B07" w14:textId="77777777" w:rsidR="007D7F55" w:rsidRPr="00C17192" w:rsidRDefault="007D7F55" w:rsidP="00C17192">
    <w:pPr>
      <w:spacing w:after="0" w:line="240" w:lineRule="auto"/>
      <w:jc w:val="center"/>
      <w:rPr>
        <w:b/>
        <w:sz w:val="18"/>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hybridMultilevel"/>
    <w:tmpl w:val="00000001"/>
    <w:lvl w:ilvl="0" w:tplc="0000000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619308EA"/>
    <w:multiLevelType w:val="hybridMultilevel"/>
    <w:tmpl w:val="559474E0"/>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2" w15:restartNumberingAfterBreak="0">
    <w:nsid w:val="796B51A3"/>
    <w:multiLevelType w:val="hybridMultilevel"/>
    <w:tmpl w:val="31562CD8"/>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357B"/>
    <w:rsid w:val="00020D7F"/>
    <w:rsid w:val="00045A59"/>
    <w:rsid w:val="00080ABB"/>
    <w:rsid w:val="000924FB"/>
    <w:rsid w:val="000A3C52"/>
    <w:rsid w:val="000E7A31"/>
    <w:rsid w:val="001042DA"/>
    <w:rsid w:val="0010450C"/>
    <w:rsid w:val="001137F7"/>
    <w:rsid w:val="00116AA9"/>
    <w:rsid w:val="00116B7A"/>
    <w:rsid w:val="001213F1"/>
    <w:rsid w:val="001321B9"/>
    <w:rsid w:val="0017579B"/>
    <w:rsid w:val="001870B2"/>
    <w:rsid w:val="00191A15"/>
    <w:rsid w:val="001F36A5"/>
    <w:rsid w:val="0020120D"/>
    <w:rsid w:val="0024737A"/>
    <w:rsid w:val="00270B88"/>
    <w:rsid w:val="002A01FB"/>
    <w:rsid w:val="002A3701"/>
    <w:rsid w:val="002B37FA"/>
    <w:rsid w:val="002C4233"/>
    <w:rsid w:val="002D3E1A"/>
    <w:rsid w:val="002D4AD5"/>
    <w:rsid w:val="002D66C9"/>
    <w:rsid w:val="002F01CF"/>
    <w:rsid w:val="003064FF"/>
    <w:rsid w:val="00331C3A"/>
    <w:rsid w:val="00332646"/>
    <w:rsid w:val="0034031F"/>
    <w:rsid w:val="003657BB"/>
    <w:rsid w:val="003732AA"/>
    <w:rsid w:val="003A264E"/>
    <w:rsid w:val="003B508A"/>
    <w:rsid w:val="003C7EA2"/>
    <w:rsid w:val="003F66FB"/>
    <w:rsid w:val="00405238"/>
    <w:rsid w:val="0041477B"/>
    <w:rsid w:val="00427D9E"/>
    <w:rsid w:val="00433C56"/>
    <w:rsid w:val="0045685E"/>
    <w:rsid w:val="00461CCF"/>
    <w:rsid w:val="00477CAA"/>
    <w:rsid w:val="00492C0E"/>
    <w:rsid w:val="00495FC6"/>
    <w:rsid w:val="004A02F7"/>
    <w:rsid w:val="004A20CB"/>
    <w:rsid w:val="004B055B"/>
    <w:rsid w:val="004B21BA"/>
    <w:rsid w:val="004C0268"/>
    <w:rsid w:val="004C1CD6"/>
    <w:rsid w:val="004C5ACF"/>
    <w:rsid w:val="004D0409"/>
    <w:rsid w:val="004D6E40"/>
    <w:rsid w:val="004F048C"/>
    <w:rsid w:val="005162D3"/>
    <w:rsid w:val="00540875"/>
    <w:rsid w:val="005718E2"/>
    <w:rsid w:val="005B3B97"/>
    <w:rsid w:val="005B64BA"/>
    <w:rsid w:val="005C59F1"/>
    <w:rsid w:val="005C73CB"/>
    <w:rsid w:val="005D3222"/>
    <w:rsid w:val="005F1518"/>
    <w:rsid w:val="005F5C91"/>
    <w:rsid w:val="005F6130"/>
    <w:rsid w:val="00622354"/>
    <w:rsid w:val="00622799"/>
    <w:rsid w:val="0065185B"/>
    <w:rsid w:val="006856B7"/>
    <w:rsid w:val="006860BD"/>
    <w:rsid w:val="006D2A2C"/>
    <w:rsid w:val="00717CBF"/>
    <w:rsid w:val="00726300"/>
    <w:rsid w:val="00727B91"/>
    <w:rsid w:val="00747F01"/>
    <w:rsid w:val="007660C5"/>
    <w:rsid w:val="00767209"/>
    <w:rsid w:val="00770A7A"/>
    <w:rsid w:val="007931BA"/>
    <w:rsid w:val="00794171"/>
    <w:rsid w:val="00797DFA"/>
    <w:rsid w:val="007B0660"/>
    <w:rsid w:val="007C2A93"/>
    <w:rsid w:val="007D7F55"/>
    <w:rsid w:val="007E1F51"/>
    <w:rsid w:val="007F3101"/>
    <w:rsid w:val="00802FF8"/>
    <w:rsid w:val="008066A7"/>
    <w:rsid w:val="00832050"/>
    <w:rsid w:val="0084013A"/>
    <w:rsid w:val="00852976"/>
    <w:rsid w:val="008832E7"/>
    <w:rsid w:val="008B5612"/>
    <w:rsid w:val="008C72E2"/>
    <w:rsid w:val="008D48A6"/>
    <w:rsid w:val="008E317D"/>
    <w:rsid w:val="00911451"/>
    <w:rsid w:val="00915B1D"/>
    <w:rsid w:val="009222A6"/>
    <w:rsid w:val="009433B0"/>
    <w:rsid w:val="00952B34"/>
    <w:rsid w:val="00967892"/>
    <w:rsid w:val="00971A79"/>
    <w:rsid w:val="009728D7"/>
    <w:rsid w:val="00984A8F"/>
    <w:rsid w:val="009A0679"/>
    <w:rsid w:val="009B4C22"/>
    <w:rsid w:val="009D112B"/>
    <w:rsid w:val="009E624B"/>
    <w:rsid w:val="009F3CDF"/>
    <w:rsid w:val="009F5213"/>
    <w:rsid w:val="00A11CA7"/>
    <w:rsid w:val="00A12C00"/>
    <w:rsid w:val="00A2337D"/>
    <w:rsid w:val="00A4279A"/>
    <w:rsid w:val="00A56E4B"/>
    <w:rsid w:val="00A60976"/>
    <w:rsid w:val="00A66FD7"/>
    <w:rsid w:val="00A87CCA"/>
    <w:rsid w:val="00AB6663"/>
    <w:rsid w:val="00AB7E6B"/>
    <w:rsid w:val="00B04621"/>
    <w:rsid w:val="00B13CD5"/>
    <w:rsid w:val="00B4025B"/>
    <w:rsid w:val="00B55430"/>
    <w:rsid w:val="00B60BC5"/>
    <w:rsid w:val="00B60BE4"/>
    <w:rsid w:val="00B82389"/>
    <w:rsid w:val="00BA7F4A"/>
    <w:rsid w:val="00BB7293"/>
    <w:rsid w:val="00BC10F9"/>
    <w:rsid w:val="00BC29C0"/>
    <w:rsid w:val="00BC7792"/>
    <w:rsid w:val="00BD51E9"/>
    <w:rsid w:val="00BD6685"/>
    <w:rsid w:val="00BE2D55"/>
    <w:rsid w:val="00BF1E54"/>
    <w:rsid w:val="00C13810"/>
    <w:rsid w:val="00C17192"/>
    <w:rsid w:val="00C2011B"/>
    <w:rsid w:val="00C3357B"/>
    <w:rsid w:val="00C85693"/>
    <w:rsid w:val="00CB4403"/>
    <w:rsid w:val="00CD7F38"/>
    <w:rsid w:val="00D227A6"/>
    <w:rsid w:val="00D26665"/>
    <w:rsid w:val="00D270B1"/>
    <w:rsid w:val="00D31F11"/>
    <w:rsid w:val="00D46289"/>
    <w:rsid w:val="00D63125"/>
    <w:rsid w:val="00D83211"/>
    <w:rsid w:val="00D90240"/>
    <w:rsid w:val="00DA67F2"/>
    <w:rsid w:val="00DB544A"/>
    <w:rsid w:val="00DD6956"/>
    <w:rsid w:val="00DE6262"/>
    <w:rsid w:val="00E016D5"/>
    <w:rsid w:val="00E063E7"/>
    <w:rsid w:val="00E0772B"/>
    <w:rsid w:val="00E17F97"/>
    <w:rsid w:val="00E25727"/>
    <w:rsid w:val="00E51E00"/>
    <w:rsid w:val="00E73D79"/>
    <w:rsid w:val="00E84FD7"/>
    <w:rsid w:val="00E92198"/>
    <w:rsid w:val="00EA0389"/>
    <w:rsid w:val="00EB6725"/>
    <w:rsid w:val="00EC1921"/>
    <w:rsid w:val="00EE0DF3"/>
    <w:rsid w:val="00F0440B"/>
    <w:rsid w:val="00F21507"/>
    <w:rsid w:val="00F36214"/>
    <w:rsid w:val="00F40A4C"/>
    <w:rsid w:val="00F526D2"/>
    <w:rsid w:val="00F61333"/>
    <w:rsid w:val="00F75105"/>
    <w:rsid w:val="00F824F4"/>
    <w:rsid w:val="00FC6FDB"/>
    <w:rsid w:val="00FD1F19"/>
    <w:rsid w:val="00FE70E9"/>
    <w:rsid w:val="00FF1BAC"/>
    <w:rsid w:val="00FF7A06"/>
    <w:rsid w:val="00FF7E7F"/>
  </w:rsids>
  <m:mathPr>
    <m:mathFont m:val="Cambria Math"/>
    <m:brkBin m:val="before"/>
    <m:brkBinSub m:val="--"/>
    <m:smallFrac m:val="0"/>
    <m:dispDef/>
    <m:lMargin m:val="0"/>
    <m:rMargin m:val="0"/>
    <m:defJc m:val="centerGroup"/>
    <m:wrapIndent m:val="1440"/>
    <m:intLim m:val="subSup"/>
    <m:naryLim m:val="undOvr"/>
  </m:mathPr>
  <w:themeFontLang w:val="en-ZA"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F07209B"/>
  <w15:docId w15:val="{0D422F2C-74B7-4C54-9B85-44020422DC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ZA" w:eastAsia="en-ZA"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727B91"/>
    <w:pPr>
      <w:keepNext/>
      <w:spacing w:after="0" w:line="240" w:lineRule="auto"/>
      <w:outlineLvl w:val="0"/>
    </w:pPr>
    <w:rPr>
      <w:rFonts w:ascii="Arial" w:eastAsia="Times New Roman" w:hAnsi="Arial" w:cs="Times New Roman"/>
      <w:b/>
      <w:sz w:val="20"/>
      <w:szCs w:val="20"/>
      <w:lang w:val="en-US"/>
    </w:rPr>
  </w:style>
  <w:style w:type="paragraph" w:styleId="Heading3">
    <w:name w:val="heading 3"/>
    <w:basedOn w:val="Normal"/>
    <w:next w:val="Normal"/>
    <w:link w:val="Heading3Char"/>
    <w:uiPriority w:val="9"/>
    <w:semiHidden/>
    <w:unhideWhenUsed/>
    <w:qFormat/>
    <w:rsid w:val="00727B91"/>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wcp_Header,Header_En tete"/>
    <w:basedOn w:val="Normal"/>
    <w:link w:val="HeaderChar"/>
    <w:unhideWhenUsed/>
    <w:rsid w:val="00C3357B"/>
    <w:pPr>
      <w:tabs>
        <w:tab w:val="center" w:pos="4513"/>
        <w:tab w:val="right" w:pos="9026"/>
      </w:tabs>
      <w:spacing w:after="0" w:line="240" w:lineRule="auto"/>
    </w:pPr>
  </w:style>
  <w:style w:type="character" w:customStyle="1" w:styleId="HeaderChar">
    <w:name w:val="Header Char"/>
    <w:aliases w:val="wcp_Header Char,Header_En tete Char"/>
    <w:basedOn w:val="DefaultParagraphFont"/>
    <w:link w:val="Header"/>
    <w:rsid w:val="00C3357B"/>
  </w:style>
  <w:style w:type="paragraph" w:styleId="Footer">
    <w:name w:val="footer"/>
    <w:basedOn w:val="Normal"/>
    <w:link w:val="FooterChar"/>
    <w:uiPriority w:val="99"/>
    <w:unhideWhenUsed/>
    <w:rsid w:val="00C3357B"/>
    <w:pPr>
      <w:tabs>
        <w:tab w:val="center" w:pos="4513"/>
        <w:tab w:val="right" w:pos="9026"/>
      </w:tabs>
      <w:spacing w:after="0" w:line="240" w:lineRule="auto"/>
    </w:pPr>
  </w:style>
  <w:style w:type="character" w:customStyle="1" w:styleId="FooterChar">
    <w:name w:val="Footer Char"/>
    <w:basedOn w:val="DefaultParagraphFont"/>
    <w:link w:val="Footer"/>
    <w:uiPriority w:val="99"/>
    <w:rsid w:val="00C3357B"/>
  </w:style>
  <w:style w:type="paragraph" w:styleId="BalloonText">
    <w:name w:val="Balloon Text"/>
    <w:basedOn w:val="Normal"/>
    <w:link w:val="BalloonTextChar"/>
    <w:uiPriority w:val="99"/>
    <w:semiHidden/>
    <w:unhideWhenUsed/>
    <w:rsid w:val="00C3357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3357B"/>
    <w:rPr>
      <w:rFonts w:ascii="Tahoma" w:hAnsi="Tahoma" w:cs="Tahoma"/>
      <w:sz w:val="16"/>
      <w:szCs w:val="16"/>
    </w:rPr>
  </w:style>
  <w:style w:type="paragraph" w:styleId="BodyTextIndent2">
    <w:name w:val="Body Text Indent 2"/>
    <w:basedOn w:val="Normal"/>
    <w:link w:val="BodyTextIndent2Char"/>
    <w:semiHidden/>
    <w:rsid w:val="00BD51E9"/>
    <w:pPr>
      <w:spacing w:after="0" w:line="360" w:lineRule="auto"/>
      <w:ind w:left="720"/>
    </w:pPr>
    <w:rPr>
      <w:rFonts w:ascii="Arial" w:eastAsia="Times New Roman" w:hAnsi="Arial" w:cs="Times New Roman"/>
      <w:sz w:val="20"/>
      <w:szCs w:val="20"/>
      <w:lang w:val="en-GB"/>
    </w:rPr>
  </w:style>
  <w:style w:type="character" w:customStyle="1" w:styleId="BodyTextIndent2Char">
    <w:name w:val="Body Text Indent 2 Char"/>
    <w:basedOn w:val="DefaultParagraphFont"/>
    <w:link w:val="BodyTextIndent2"/>
    <w:semiHidden/>
    <w:rsid w:val="00BD51E9"/>
    <w:rPr>
      <w:rFonts w:ascii="Arial" w:eastAsia="Times New Roman" w:hAnsi="Arial" w:cs="Times New Roman"/>
      <w:sz w:val="20"/>
      <w:szCs w:val="20"/>
      <w:lang w:val="en-GB"/>
    </w:rPr>
  </w:style>
  <w:style w:type="character" w:styleId="PageNumber">
    <w:name w:val="page number"/>
    <w:basedOn w:val="DefaultParagraphFont"/>
    <w:semiHidden/>
    <w:rsid w:val="00727B91"/>
  </w:style>
  <w:style w:type="paragraph" w:styleId="BodyText">
    <w:name w:val="Body Text"/>
    <w:basedOn w:val="Normal"/>
    <w:link w:val="BodyTextChar"/>
    <w:uiPriority w:val="99"/>
    <w:unhideWhenUsed/>
    <w:rsid w:val="00727B91"/>
    <w:pPr>
      <w:spacing w:after="120"/>
    </w:pPr>
  </w:style>
  <w:style w:type="character" w:customStyle="1" w:styleId="BodyTextChar">
    <w:name w:val="Body Text Char"/>
    <w:basedOn w:val="DefaultParagraphFont"/>
    <w:link w:val="BodyText"/>
    <w:uiPriority w:val="99"/>
    <w:rsid w:val="00727B91"/>
  </w:style>
  <w:style w:type="paragraph" w:styleId="BodyText2">
    <w:name w:val="Body Text 2"/>
    <w:basedOn w:val="Normal"/>
    <w:link w:val="BodyText2Char"/>
    <w:uiPriority w:val="99"/>
    <w:semiHidden/>
    <w:unhideWhenUsed/>
    <w:rsid w:val="00727B91"/>
    <w:pPr>
      <w:spacing w:after="120" w:line="480" w:lineRule="auto"/>
    </w:pPr>
  </w:style>
  <w:style w:type="character" w:customStyle="1" w:styleId="BodyText2Char">
    <w:name w:val="Body Text 2 Char"/>
    <w:basedOn w:val="DefaultParagraphFont"/>
    <w:link w:val="BodyText2"/>
    <w:uiPriority w:val="99"/>
    <w:semiHidden/>
    <w:rsid w:val="00727B91"/>
  </w:style>
  <w:style w:type="character" w:customStyle="1" w:styleId="Heading1Char">
    <w:name w:val="Heading 1 Char"/>
    <w:basedOn w:val="DefaultParagraphFont"/>
    <w:link w:val="Heading1"/>
    <w:rsid w:val="00727B91"/>
    <w:rPr>
      <w:rFonts w:ascii="Arial" w:eastAsia="Times New Roman" w:hAnsi="Arial" w:cs="Times New Roman"/>
      <w:b/>
      <w:sz w:val="20"/>
      <w:szCs w:val="20"/>
      <w:lang w:val="en-US"/>
    </w:rPr>
  </w:style>
  <w:style w:type="paragraph" w:styleId="Title">
    <w:name w:val="Title"/>
    <w:basedOn w:val="Normal"/>
    <w:link w:val="TitleChar"/>
    <w:qFormat/>
    <w:rsid w:val="00727B91"/>
    <w:pPr>
      <w:widowControl w:val="0"/>
      <w:tabs>
        <w:tab w:val="center" w:pos="4513"/>
      </w:tabs>
      <w:spacing w:after="0" w:line="240" w:lineRule="auto"/>
      <w:jc w:val="center"/>
    </w:pPr>
    <w:rPr>
      <w:rFonts w:ascii="Courier" w:eastAsia="Times New Roman" w:hAnsi="Courier" w:cs="Times New Roman"/>
      <w:b/>
      <w:snapToGrid w:val="0"/>
      <w:sz w:val="24"/>
      <w:szCs w:val="20"/>
      <w:lang w:val="en-GB"/>
    </w:rPr>
  </w:style>
  <w:style w:type="character" w:customStyle="1" w:styleId="TitleChar">
    <w:name w:val="Title Char"/>
    <w:basedOn w:val="DefaultParagraphFont"/>
    <w:link w:val="Title"/>
    <w:rsid w:val="00727B91"/>
    <w:rPr>
      <w:rFonts w:ascii="Courier" w:eastAsia="Times New Roman" w:hAnsi="Courier" w:cs="Times New Roman"/>
      <w:b/>
      <w:snapToGrid w:val="0"/>
      <w:sz w:val="24"/>
      <w:szCs w:val="20"/>
      <w:lang w:val="en-GB"/>
    </w:rPr>
  </w:style>
  <w:style w:type="paragraph" w:customStyle="1" w:styleId="DefaultText">
    <w:name w:val="Default Text"/>
    <w:basedOn w:val="Normal"/>
    <w:rsid w:val="00727B91"/>
    <w:pPr>
      <w:spacing w:after="0" w:line="240" w:lineRule="auto"/>
    </w:pPr>
    <w:rPr>
      <w:rFonts w:ascii="Arial" w:eastAsia="Times New Roman" w:hAnsi="Arial" w:cs="Times New Roman"/>
      <w:sz w:val="20"/>
      <w:szCs w:val="20"/>
      <w:lang w:val="en-US"/>
    </w:rPr>
  </w:style>
  <w:style w:type="character" w:customStyle="1" w:styleId="InitialStyle">
    <w:name w:val="InitialStyle"/>
    <w:rsid w:val="00727B91"/>
    <w:rPr>
      <w:rFonts w:ascii="Arial" w:hAnsi="Arial" w:cs="Arial"/>
      <w:sz w:val="22"/>
      <w:szCs w:val="22"/>
    </w:rPr>
  </w:style>
  <w:style w:type="character" w:customStyle="1" w:styleId="Heading3Char">
    <w:name w:val="Heading 3 Char"/>
    <w:basedOn w:val="DefaultParagraphFont"/>
    <w:link w:val="Heading3"/>
    <w:uiPriority w:val="9"/>
    <w:semiHidden/>
    <w:rsid w:val="00727B91"/>
    <w:rPr>
      <w:rFonts w:asciiTheme="majorHAnsi" w:eastAsiaTheme="majorEastAsia" w:hAnsiTheme="majorHAnsi" w:cstheme="majorBidi"/>
      <w:b/>
      <w:bCs/>
      <w:color w:val="4F81BD" w:themeColor="accent1"/>
    </w:rPr>
  </w:style>
  <w:style w:type="table" w:styleId="TableGrid">
    <w:name w:val="Table Grid"/>
    <w:basedOn w:val="TableNormal"/>
    <w:rsid w:val="002A3701"/>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B0660"/>
    <w:pPr>
      <w:ind w:left="720"/>
      <w:contextualSpacing/>
    </w:pPr>
  </w:style>
  <w:style w:type="character" w:styleId="CommentReference">
    <w:name w:val="annotation reference"/>
    <w:basedOn w:val="DefaultParagraphFont"/>
    <w:uiPriority w:val="99"/>
    <w:semiHidden/>
    <w:unhideWhenUsed/>
    <w:rsid w:val="00FF7A06"/>
    <w:rPr>
      <w:sz w:val="18"/>
      <w:szCs w:val="18"/>
    </w:rPr>
  </w:style>
  <w:style w:type="paragraph" w:styleId="CommentText">
    <w:name w:val="annotation text"/>
    <w:basedOn w:val="Normal"/>
    <w:link w:val="CommentTextChar"/>
    <w:uiPriority w:val="99"/>
    <w:semiHidden/>
    <w:unhideWhenUsed/>
    <w:rsid w:val="00FF7A06"/>
    <w:pPr>
      <w:spacing w:line="240" w:lineRule="auto"/>
    </w:pPr>
    <w:rPr>
      <w:sz w:val="24"/>
      <w:szCs w:val="24"/>
    </w:rPr>
  </w:style>
  <w:style w:type="character" w:customStyle="1" w:styleId="CommentTextChar">
    <w:name w:val="Comment Text Char"/>
    <w:basedOn w:val="DefaultParagraphFont"/>
    <w:link w:val="CommentText"/>
    <w:uiPriority w:val="99"/>
    <w:semiHidden/>
    <w:rsid w:val="00FF7A06"/>
    <w:rPr>
      <w:sz w:val="24"/>
      <w:szCs w:val="24"/>
    </w:rPr>
  </w:style>
  <w:style w:type="paragraph" w:styleId="CommentSubject">
    <w:name w:val="annotation subject"/>
    <w:basedOn w:val="CommentText"/>
    <w:next w:val="CommentText"/>
    <w:link w:val="CommentSubjectChar"/>
    <w:uiPriority w:val="99"/>
    <w:semiHidden/>
    <w:unhideWhenUsed/>
    <w:rsid w:val="00FF7A06"/>
    <w:rPr>
      <w:b/>
      <w:bCs/>
      <w:sz w:val="20"/>
      <w:szCs w:val="20"/>
    </w:rPr>
  </w:style>
  <w:style w:type="character" w:customStyle="1" w:styleId="CommentSubjectChar">
    <w:name w:val="Comment Subject Char"/>
    <w:basedOn w:val="CommentTextChar"/>
    <w:link w:val="CommentSubject"/>
    <w:uiPriority w:val="99"/>
    <w:semiHidden/>
    <w:rsid w:val="00FF7A06"/>
    <w:rPr>
      <w:b/>
      <w:bCs/>
      <w:sz w:val="20"/>
      <w:szCs w:val="20"/>
    </w:rPr>
  </w:style>
  <w:style w:type="table" w:customStyle="1" w:styleId="TableGrid5">
    <w:name w:val="Table Grid5"/>
    <w:basedOn w:val="TableNormal"/>
    <w:rsid w:val="00F75105"/>
    <w:pPr>
      <w:spacing w:after="0" w:line="240" w:lineRule="auto"/>
    </w:pPr>
    <w:rPr>
      <w:rFonts w:ascii="Arial" w:eastAsia="Times New Roman" w:hAnsi="Arial" w:cs="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4396053">
      <w:bodyDiv w:val="1"/>
      <w:marLeft w:val="0"/>
      <w:marRight w:val="0"/>
      <w:marTop w:val="0"/>
      <w:marBottom w:val="0"/>
      <w:divBdr>
        <w:top w:val="none" w:sz="0" w:space="0" w:color="auto"/>
        <w:left w:val="none" w:sz="0" w:space="0" w:color="auto"/>
        <w:bottom w:val="none" w:sz="0" w:space="0" w:color="auto"/>
        <w:right w:val="none" w:sz="0" w:space="0" w:color="auto"/>
      </w:divBdr>
    </w:div>
    <w:div w:id="440027843">
      <w:bodyDiv w:val="1"/>
      <w:marLeft w:val="0"/>
      <w:marRight w:val="0"/>
      <w:marTop w:val="0"/>
      <w:marBottom w:val="0"/>
      <w:divBdr>
        <w:top w:val="none" w:sz="0" w:space="0" w:color="auto"/>
        <w:left w:val="none" w:sz="0" w:space="0" w:color="auto"/>
        <w:bottom w:val="none" w:sz="0" w:space="0" w:color="auto"/>
        <w:right w:val="none" w:sz="0" w:space="0" w:color="auto"/>
      </w:divBdr>
    </w:div>
    <w:div w:id="1321347294">
      <w:bodyDiv w:val="1"/>
      <w:marLeft w:val="0"/>
      <w:marRight w:val="0"/>
      <w:marTop w:val="0"/>
      <w:marBottom w:val="0"/>
      <w:divBdr>
        <w:top w:val="none" w:sz="0" w:space="0" w:color="auto"/>
        <w:left w:val="none" w:sz="0" w:space="0" w:color="auto"/>
        <w:bottom w:val="none" w:sz="0" w:space="0" w:color="auto"/>
        <w:right w:val="none" w:sz="0" w:space="0" w:color="auto"/>
      </w:divBdr>
    </w:div>
    <w:div w:id="1341422226">
      <w:bodyDiv w:val="1"/>
      <w:marLeft w:val="0"/>
      <w:marRight w:val="0"/>
      <w:marTop w:val="0"/>
      <w:marBottom w:val="0"/>
      <w:divBdr>
        <w:top w:val="none" w:sz="0" w:space="0" w:color="auto"/>
        <w:left w:val="none" w:sz="0" w:space="0" w:color="auto"/>
        <w:bottom w:val="none" w:sz="0" w:space="0" w:color="auto"/>
        <w:right w:val="none" w:sz="0" w:space="0" w:color="auto"/>
      </w:divBdr>
    </w:div>
    <w:div w:id="1351566867">
      <w:bodyDiv w:val="1"/>
      <w:marLeft w:val="0"/>
      <w:marRight w:val="0"/>
      <w:marTop w:val="0"/>
      <w:marBottom w:val="0"/>
      <w:divBdr>
        <w:top w:val="none" w:sz="0" w:space="0" w:color="auto"/>
        <w:left w:val="none" w:sz="0" w:space="0" w:color="auto"/>
        <w:bottom w:val="none" w:sz="0" w:space="0" w:color="auto"/>
        <w:right w:val="none" w:sz="0" w:space="0" w:color="auto"/>
      </w:divBdr>
    </w:div>
    <w:div w:id="1528443611">
      <w:bodyDiv w:val="1"/>
      <w:marLeft w:val="0"/>
      <w:marRight w:val="0"/>
      <w:marTop w:val="0"/>
      <w:marBottom w:val="0"/>
      <w:divBdr>
        <w:top w:val="none" w:sz="0" w:space="0" w:color="auto"/>
        <w:left w:val="none" w:sz="0" w:space="0" w:color="auto"/>
        <w:bottom w:val="none" w:sz="0" w:space="0" w:color="auto"/>
        <w:right w:val="none" w:sz="0" w:space="0" w:color="auto"/>
      </w:divBdr>
    </w:div>
    <w:div w:id="1743139743">
      <w:bodyDiv w:val="1"/>
      <w:marLeft w:val="0"/>
      <w:marRight w:val="0"/>
      <w:marTop w:val="0"/>
      <w:marBottom w:val="0"/>
      <w:divBdr>
        <w:top w:val="none" w:sz="0" w:space="0" w:color="auto"/>
        <w:left w:val="none" w:sz="0" w:space="0" w:color="auto"/>
        <w:bottom w:val="none" w:sz="0" w:space="0" w:color="auto"/>
        <w:right w:val="none" w:sz="0" w:space="0" w:color="auto"/>
      </w:divBdr>
    </w:div>
    <w:div w:id="1781417448">
      <w:bodyDiv w:val="1"/>
      <w:marLeft w:val="0"/>
      <w:marRight w:val="0"/>
      <w:marTop w:val="0"/>
      <w:marBottom w:val="0"/>
      <w:divBdr>
        <w:top w:val="none" w:sz="0" w:space="0" w:color="auto"/>
        <w:left w:val="none" w:sz="0" w:space="0" w:color="auto"/>
        <w:bottom w:val="none" w:sz="0" w:space="0" w:color="auto"/>
        <w:right w:val="none" w:sz="0" w:space="0" w:color="auto"/>
      </w:divBdr>
    </w:div>
    <w:div w:id="18440543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25F7600-E34D-4A20-98F6-D5EFAAB16A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238</TotalTime>
  <Pages>11</Pages>
  <Words>1615</Words>
  <Characters>10277</Characters>
  <Application>Microsoft Office Word</Application>
  <DocSecurity>0</DocSecurity>
  <Lines>277</Lines>
  <Paragraphs>146</Paragraphs>
  <ScaleCrop>false</ScaleCrop>
  <HeadingPairs>
    <vt:vector size="2" baseType="variant">
      <vt:variant>
        <vt:lpstr>Title</vt:lpstr>
      </vt:variant>
      <vt:variant>
        <vt:i4>1</vt:i4>
      </vt:variant>
    </vt:vector>
  </HeadingPairs>
  <TitlesOfParts>
    <vt:vector size="1" baseType="lpstr">
      <vt:lpstr/>
    </vt:vector>
  </TitlesOfParts>
  <Company>Mawele lENASIA</Company>
  <LinksUpToDate>false</LinksUpToDate>
  <CharactersWithSpaces>11746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TWINZ</dc:creator>
  <cp:lastModifiedBy>Microsoft account</cp:lastModifiedBy>
  <cp:revision>89</cp:revision>
  <cp:lastPrinted>2015-02-18T07:28:00Z</cp:lastPrinted>
  <dcterms:created xsi:type="dcterms:W3CDTF">2015-01-15T13:27:00Z</dcterms:created>
  <dcterms:modified xsi:type="dcterms:W3CDTF">2023-02-03T07:21:00Z</dcterms:modified>
</cp:coreProperties>
</file>