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CDB81" w14:textId="5E4F3916" w:rsidR="00071FD1" w:rsidRPr="00071FD1" w:rsidRDefault="00071FD1" w:rsidP="00071FD1">
      <w:pPr>
        <w:widowControl w:val="0"/>
        <w:suppressAutoHyphens/>
        <w:spacing w:after="0" w:line="480" w:lineRule="auto"/>
        <w:jc w:val="center"/>
        <w:rPr>
          <w:rFonts w:ascii="Arial" w:hAnsi="Arial" w:cs="Arial"/>
          <w:b/>
          <w:lang w:val="en-GB"/>
        </w:rPr>
      </w:pPr>
      <w:r w:rsidRPr="00071FD1">
        <w:rPr>
          <w:rFonts w:ascii="Arial" w:hAnsi="Arial" w:cs="Arial"/>
          <w:b/>
          <w:lang w:val="en-GB"/>
        </w:rPr>
        <w:t>Professional Information for CELECOXIB BIOTECH</w:t>
      </w:r>
    </w:p>
    <w:p w14:paraId="586DCFFC" w14:textId="77777777" w:rsidR="00071FD1" w:rsidRPr="00071FD1" w:rsidRDefault="00071FD1" w:rsidP="00071FD1">
      <w:pPr>
        <w:widowControl w:val="0"/>
        <w:suppressAutoHyphens/>
        <w:spacing w:after="0" w:line="480" w:lineRule="auto"/>
        <w:rPr>
          <w:rFonts w:ascii="Arial" w:hAnsi="Arial" w:cs="Arial"/>
          <w:b/>
          <w:lang w:val="en-GB"/>
        </w:rPr>
      </w:pPr>
      <w:r w:rsidRPr="00071FD1">
        <w:rPr>
          <w:rFonts w:ascii="Arial" w:hAnsi="Arial" w:cs="Arial"/>
          <w:b/>
          <w:lang w:val="en-GB"/>
        </w:rPr>
        <w:t>SCHEDULING STATUS</w:t>
      </w:r>
    </w:p>
    <w:p w14:paraId="07D0D483" w14:textId="77777777" w:rsidR="00071FD1" w:rsidRPr="00071FD1" w:rsidRDefault="00071FD1" w:rsidP="00071FD1">
      <w:pPr>
        <w:widowControl w:val="0"/>
        <w:suppressAutoHyphens/>
        <w:spacing w:after="0" w:line="480" w:lineRule="auto"/>
        <w:rPr>
          <w:rFonts w:ascii="Arial" w:hAnsi="Arial" w:cs="Arial"/>
          <w:b/>
          <w:noProof/>
        </w:rPr>
      </w:pPr>
      <w:r w:rsidRPr="00071FD1">
        <w:rPr>
          <w:rFonts w:ascii="Arial" w:hAnsi="Arial" w:cs="Arial"/>
          <w:bdr w:val="single" w:sz="4" w:space="0" w:color="auto"/>
          <w:lang w:val="en-GB"/>
        </w:rPr>
        <w:t>S3</w:t>
      </w:r>
    </w:p>
    <w:p w14:paraId="71755085" w14:textId="77777777" w:rsidR="00071FD1" w:rsidRPr="00071FD1" w:rsidRDefault="00071FD1" w:rsidP="00071FD1">
      <w:pPr>
        <w:widowControl w:val="0"/>
        <w:suppressAutoHyphens/>
        <w:spacing w:after="0" w:line="480" w:lineRule="auto"/>
        <w:rPr>
          <w:rFonts w:ascii="Arial" w:hAnsi="Arial" w:cs="Arial"/>
          <w:b/>
          <w:noProof/>
        </w:rPr>
      </w:pPr>
    </w:p>
    <w:p w14:paraId="3C9F0197" w14:textId="77777777" w:rsidR="00071FD1" w:rsidRPr="00071FD1" w:rsidRDefault="00071FD1" w:rsidP="00071FD1">
      <w:pPr>
        <w:widowControl w:val="0"/>
        <w:suppressAutoHyphens/>
        <w:spacing w:after="0" w:line="480" w:lineRule="auto"/>
        <w:rPr>
          <w:rFonts w:ascii="Arial" w:hAnsi="Arial" w:cs="Arial"/>
          <w:noProof/>
        </w:rPr>
      </w:pPr>
      <w:r w:rsidRPr="00071FD1">
        <w:rPr>
          <w:rFonts w:ascii="Arial" w:hAnsi="Arial" w:cs="Arial"/>
          <w:b/>
          <w:noProof/>
        </w:rPr>
        <w:t>1.</w:t>
      </w:r>
      <w:r w:rsidRPr="00071FD1">
        <w:rPr>
          <w:rFonts w:ascii="Arial" w:hAnsi="Arial" w:cs="Arial"/>
          <w:b/>
          <w:noProof/>
        </w:rPr>
        <w:tab/>
        <w:t>NAME OF THE MEDICINE</w:t>
      </w:r>
    </w:p>
    <w:p w14:paraId="3B0CE0B0" w14:textId="77777777" w:rsidR="00071FD1" w:rsidRPr="00071FD1" w:rsidRDefault="00071FD1" w:rsidP="00071FD1">
      <w:pPr>
        <w:widowControl w:val="0"/>
        <w:suppressAutoHyphens/>
        <w:spacing w:after="0" w:line="480" w:lineRule="auto"/>
        <w:rPr>
          <w:rFonts w:ascii="Arial" w:hAnsi="Arial" w:cs="Arial"/>
          <w:bCs/>
        </w:rPr>
      </w:pPr>
      <w:r w:rsidRPr="00071FD1">
        <w:rPr>
          <w:rFonts w:ascii="Arial" w:hAnsi="Arial" w:cs="Arial"/>
          <w:b/>
        </w:rPr>
        <w:t>CELECOXIB 100 mg BIOTECH</w:t>
      </w:r>
      <w:r w:rsidRPr="00071FD1">
        <w:rPr>
          <w:rFonts w:ascii="Arial" w:hAnsi="Arial" w:cs="Arial"/>
          <w:bCs/>
        </w:rPr>
        <w:t>, hard capsules</w:t>
      </w:r>
    </w:p>
    <w:p w14:paraId="781489D0" w14:textId="77777777" w:rsidR="00071FD1" w:rsidRPr="00071FD1" w:rsidRDefault="00071FD1" w:rsidP="00071FD1">
      <w:pPr>
        <w:widowControl w:val="0"/>
        <w:suppressAutoHyphens/>
        <w:spacing w:after="0" w:line="480" w:lineRule="auto"/>
        <w:rPr>
          <w:rFonts w:ascii="Arial" w:hAnsi="Arial" w:cs="Arial"/>
        </w:rPr>
      </w:pPr>
      <w:r w:rsidRPr="00071FD1">
        <w:rPr>
          <w:rFonts w:ascii="Arial" w:hAnsi="Arial" w:cs="Arial"/>
          <w:b/>
        </w:rPr>
        <w:t>CELECOXIB 200 mg BIOTECH</w:t>
      </w:r>
      <w:r w:rsidRPr="00071FD1">
        <w:rPr>
          <w:rFonts w:ascii="Arial" w:hAnsi="Arial" w:cs="Arial"/>
          <w:bCs/>
        </w:rPr>
        <w:t>, hard capsules</w:t>
      </w:r>
      <w:r w:rsidRPr="00071FD1">
        <w:rPr>
          <w:rFonts w:ascii="Arial" w:hAnsi="Arial" w:cs="Arial"/>
          <w:b/>
        </w:rPr>
        <w:t xml:space="preserve"> </w:t>
      </w:r>
    </w:p>
    <w:p w14:paraId="46F7F483" w14:textId="77777777" w:rsidR="00071FD1" w:rsidRPr="00071FD1" w:rsidRDefault="00071FD1" w:rsidP="00071FD1">
      <w:pPr>
        <w:widowControl w:val="0"/>
        <w:suppressAutoHyphens/>
        <w:spacing w:after="0" w:line="480" w:lineRule="auto"/>
        <w:rPr>
          <w:rFonts w:ascii="Arial" w:hAnsi="Arial" w:cs="Arial"/>
          <w:lang w:val="en-GB"/>
        </w:rPr>
      </w:pPr>
    </w:p>
    <w:p w14:paraId="316C1A7C" w14:textId="77777777" w:rsidR="00071FD1" w:rsidRPr="00071FD1" w:rsidRDefault="00071FD1" w:rsidP="00071FD1">
      <w:pPr>
        <w:widowControl w:val="0"/>
        <w:suppressAutoHyphens/>
        <w:spacing w:after="0" w:line="480" w:lineRule="auto"/>
        <w:rPr>
          <w:rFonts w:ascii="Arial" w:hAnsi="Arial" w:cs="Arial"/>
          <w:noProof/>
        </w:rPr>
      </w:pPr>
      <w:r w:rsidRPr="00071FD1">
        <w:rPr>
          <w:rFonts w:ascii="Arial" w:hAnsi="Arial" w:cs="Arial"/>
          <w:b/>
          <w:noProof/>
        </w:rPr>
        <w:t>2.</w:t>
      </w:r>
      <w:r w:rsidRPr="00071FD1">
        <w:rPr>
          <w:rFonts w:ascii="Arial" w:hAnsi="Arial" w:cs="Arial"/>
          <w:b/>
          <w:noProof/>
        </w:rPr>
        <w:tab/>
        <w:t>QUALITATIVE AND QUANTITATIVE COMPOSITION</w:t>
      </w:r>
    </w:p>
    <w:p w14:paraId="1B40D92C" w14:textId="77777777" w:rsidR="00071FD1" w:rsidRPr="00071FD1" w:rsidRDefault="00071FD1" w:rsidP="00071FD1">
      <w:pPr>
        <w:widowControl w:val="0"/>
        <w:suppressAutoHyphens/>
        <w:spacing w:after="0" w:line="480" w:lineRule="auto"/>
        <w:rPr>
          <w:rFonts w:ascii="Arial" w:hAnsi="Arial" w:cs="Arial"/>
          <w:bCs/>
        </w:rPr>
      </w:pPr>
      <w:r w:rsidRPr="00071FD1">
        <w:rPr>
          <w:rFonts w:ascii="Arial" w:hAnsi="Arial" w:cs="Arial"/>
          <w:bCs/>
        </w:rPr>
        <w:t>Each CELECOXIB 100 BIOTECH capsule contains 100 mg celecoxib.</w:t>
      </w:r>
    </w:p>
    <w:p w14:paraId="21D82376" w14:textId="77777777" w:rsidR="00071FD1" w:rsidRPr="00071FD1" w:rsidRDefault="00071FD1" w:rsidP="00071FD1">
      <w:pPr>
        <w:widowControl w:val="0"/>
        <w:suppressAutoHyphens/>
        <w:spacing w:after="0" w:line="480" w:lineRule="auto"/>
        <w:rPr>
          <w:rFonts w:ascii="Arial" w:hAnsi="Arial" w:cs="Arial"/>
          <w:highlight w:val="cyan"/>
        </w:rPr>
      </w:pPr>
      <w:r w:rsidRPr="00071FD1">
        <w:rPr>
          <w:rFonts w:ascii="Arial" w:hAnsi="Arial" w:cs="Arial"/>
          <w:bCs/>
        </w:rPr>
        <w:t xml:space="preserve">Each CELECOXIB 200 BIOTECH </w:t>
      </w:r>
      <w:r w:rsidRPr="00071FD1">
        <w:rPr>
          <w:rFonts w:ascii="Arial" w:hAnsi="Arial" w:cs="Arial"/>
        </w:rPr>
        <w:t>capsule contains 200 mg celecoxib.</w:t>
      </w:r>
    </w:p>
    <w:p w14:paraId="7BD51B5D" w14:textId="77777777" w:rsidR="00071FD1" w:rsidRPr="00071FD1" w:rsidRDefault="00071FD1" w:rsidP="00071FD1">
      <w:pPr>
        <w:widowControl w:val="0"/>
        <w:suppressAutoHyphens/>
        <w:spacing w:after="0" w:line="480" w:lineRule="auto"/>
        <w:rPr>
          <w:rFonts w:ascii="Arial" w:hAnsi="Arial" w:cs="Arial"/>
          <w:b/>
          <w:noProof/>
        </w:rPr>
      </w:pPr>
    </w:p>
    <w:p w14:paraId="3987B326" w14:textId="77777777" w:rsidR="00071FD1" w:rsidRPr="00071FD1" w:rsidRDefault="00071FD1" w:rsidP="00624057">
      <w:pPr>
        <w:widowControl w:val="0"/>
        <w:suppressAutoHyphens/>
        <w:spacing w:after="0" w:line="480" w:lineRule="auto"/>
        <w:jc w:val="both"/>
        <w:rPr>
          <w:rFonts w:ascii="Arial" w:hAnsi="Arial" w:cs="Arial"/>
          <w:i/>
          <w:iCs/>
          <w:noProof/>
        </w:rPr>
      </w:pPr>
      <w:r w:rsidRPr="00071FD1">
        <w:rPr>
          <w:rFonts w:ascii="Arial" w:hAnsi="Arial" w:cs="Arial"/>
          <w:i/>
          <w:iCs/>
          <w:noProof/>
        </w:rPr>
        <w:t>Excipients with known effect:</w:t>
      </w:r>
    </w:p>
    <w:p w14:paraId="25F09618" w14:textId="77777777" w:rsidR="00071FD1" w:rsidRPr="00071FD1" w:rsidRDefault="00071FD1" w:rsidP="00624057">
      <w:pPr>
        <w:widowControl w:val="0"/>
        <w:suppressAutoHyphens/>
        <w:spacing w:after="0" w:line="480" w:lineRule="auto"/>
        <w:jc w:val="both"/>
        <w:rPr>
          <w:rFonts w:ascii="Arial" w:hAnsi="Arial" w:cs="Arial"/>
          <w:noProof/>
        </w:rPr>
      </w:pPr>
      <w:r w:rsidRPr="00071FD1">
        <w:rPr>
          <w:rFonts w:ascii="Arial" w:hAnsi="Arial" w:cs="Arial"/>
          <w:noProof/>
        </w:rPr>
        <w:t xml:space="preserve">Contains sugar. </w:t>
      </w:r>
    </w:p>
    <w:p w14:paraId="19BACFAB" w14:textId="77777777" w:rsidR="00071FD1" w:rsidRPr="00071FD1" w:rsidRDefault="00071FD1" w:rsidP="00624057">
      <w:pPr>
        <w:widowControl w:val="0"/>
        <w:suppressAutoHyphens/>
        <w:spacing w:after="0" w:line="480" w:lineRule="auto"/>
        <w:jc w:val="both"/>
        <w:rPr>
          <w:rFonts w:ascii="Arial" w:hAnsi="Arial" w:cs="Arial"/>
          <w:highlight w:val="cyan"/>
        </w:rPr>
      </w:pPr>
      <w:r w:rsidRPr="00071FD1">
        <w:rPr>
          <w:rFonts w:ascii="Arial" w:hAnsi="Arial" w:cs="Arial"/>
          <w:bCs/>
        </w:rPr>
        <w:t>CELECOXIB 100 BIOTECH</w:t>
      </w:r>
      <w:r w:rsidRPr="00071FD1">
        <w:rPr>
          <w:rFonts w:ascii="Arial" w:hAnsi="Arial" w:cs="Arial"/>
        </w:rPr>
        <w:t>: Each capsule contains 25 mg lactose monohydrate.</w:t>
      </w:r>
    </w:p>
    <w:p w14:paraId="2EBD8866" w14:textId="77777777" w:rsidR="00071FD1" w:rsidRPr="00071FD1" w:rsidRDefault="00071FD1" w:rsidP="00624057">
      <w:pPr>
        <w:widowControl w:val="0"/>
        <w:suppressAutoHyphens/>
        <w:spacing w:after="0" w:line="480" w:lineRule="auto"/>
        <w:jc w:val="both"/>
        <w:rPr>
          <w:rFonts w:ascii="Arial" w:hAnsi="Arial" w:cs="Arial"/>
          <w:noProof/>
        </w:rPr>
      </w:pPr>
      <w:r w:rsidRPr="00071FD1">
        <w:rPr>
          <w:rFonts w:ascii="Arial" w:hAnsi="Arial" w:cs="Arial"/>
          <w:bCs/>
        </w:rPr>
        <w:t>CELECOXIB 200 BIOTECH</w:t>
      </w:r>
      <w:r w:rsidRPr="00071FD1">
        <w:rPr>
          <w:rFonts w:ascii="Arial" w:hAnsi="Arial" w:cs="Arial"/>
        </w:rPr>
        <w:t>: Each capsule contains 50 mg lactose monohydrate.</w:t>
      </w:r>
    </w:p>
    <w:p w14:paraId="38266A27" w14:textId="77777777" w:rsidR="00071FD1" w:rsidRPr="00071FD1" w:rsidRDefault="00071FD1" w:rsidP="00624057">
      <w:pPr>
        <w:widowControl w:val="0"/>
        <w:suppressAutoHyphens/>
        <w:spacing w:after="0" w:line="480" w:lineRule="auto"/>
        <w:jc w:val="both"/>
        <w:rPr>
          <w:rFonts w:ascii="Arial" w:hAnsi="Arial" w:cs="Arial"/>
          <w:lang w:val="en-GB"/>
        </w:rPr>
      </w:pPr>
      <w:r w:rsidRPr="00071FD1">
        <w:rPr>
          <w:rFonts w:ascii="Arial" w:hAnsi="Arial" w:cs="Arial"/>
          <w:noProof/>
        </w:rPr>
        <w:t>For the full list of excipients, see section 6.1.</w:t>
      </w:r>
    </w:p>
    <w:p w14:paraId="34C31D61" w14:textId="77777777" w:rsidR="00071FD1" w:rsidRPr="00071FD1" w:rsidRDefault="00071FD1" w:rsidP="00624057">
      <w:pPr>
        <w:widowControl w:val="0"/>
        <w:suppressAutoHyphens/>
        <w:spacing w:after="0" w:line="480" w:lineRule="auto"/>
        <w:jc w:val="both"/>
        <w:rPr>
          <w:rFonts w:ascii="Arial" w:hAnsi="Arial" w:cs="Arial"/>
          <w:lang w:val="en-GB"/>
        </w:rPr>
      </w:pPr>
    </w:p>
    <w:p w14:paraId="3C4AE975" w14:textId="77777777" w:rsidR="00071FD1" w:rsidRPr="00071FD1" w:rsidRDefault="00071FD1" w:rsidP="00624057">
      <w:pPr>
        <w:widowControl w:val="0"/>
        <w:suppressAutoHyphens/>
        <w:spacing w:after="0" w:line="480" w:lineRule="auto"/>
        <w:ind w:left="567" w:hanging="567"/>
        <w:jc w:val="both"/>
        <w:rPr>
          <w:rFonts w:ascii="Arial" w:hAnsi="Arial" w:cs="Arial"/>
          <w:caps/>
          <w:noProof/>
        </w:rPr>
      </w:pPr>
      <w:r w:rsidRPr="00071FD1">
        <w:rPr>
          <w:rFonts w:ascii="Arial" w:hAnsi="Arial" w:cs="Arial"/>
          <w:b/>
          <w:noProof/>
        </w:rPr>
        <w:t>3.</w:t>
      </w:r>
      <w:r w:rsidRPr="00071FD1">
        <w:rPr>
          <w:rFonts w:ascii="Arial" w:hAnsi="Arial" w:cs="Arial"/>
          <w:b/>
          <w:noProof/>
        </w:rPr>
        <w:tab/>
        <w:t xml:space="preserve">PHARMACEUTICAL </w:t>
      </w:r>
      <w:r w:rsidRPr="00071FD1">
        <w:rPr>
          <w:rFonts w:ascii="Arial" w:hAnsi="Arial" w:cs="Arial"/>
          <w:b/>
          <w:caps/>
          <w:noProof/>
        </w:rPr>
        <w:t>form</w:t>
      </w:r>
    </w:p>
    <w:p w14:paraId="20EAF177" w14:textId="77777777" w:rsidR="00071FD1" w:rsidRPr="00071FD1" w:rsidRDefault="00071FD1" w:rsidP="00624057">
      <w:pPr>
        <w:widowControl w:val="0"/>
        <w:tabs>
          <w:tab w:val="left" w:pos="4500"/>
        </w:tabs>
        <w:suppressAutoHyphens/>
        <w:spacing w:after="0" w:line="480" w:lineRule="auto"/>
        <w:jc w:val="both"/>
        <w:rPr>
          <w:rFonts w:ascii="Arial" w:hAnsi="Arial" w:cs="Arial"/>
          <w:b/>
        </w:rPr>
      </w:pPr>
      <w:r w:rsidRPr="00071FD1">
        <w:rPr>
          <w:rFonts w:ascii="Arial" w:hAnsi="Arial" w:cs="Arial"/>
        </w:rPr>
        <w:t>Hard capsules.</w:t>
      </w:r>
      <w:r w:rsidRPr="00071FD1">
        <w:rPr>
          <w:rFonts w:ascii="Arial" w:hAnsi="Arial" w:cs="Arial"/>
        </w:rPr>
        <w:tab/>
      </w:r>
    </w:p>
    <w:p w14:paraId="703E3267" w14:textId="22D6A48D" w:rsidR="00071FD1" w:rsidRPr="00071FD1" w:rsidRDefault="00071FD1" w:rsidP="00624057">
      <w:pPr>
        <w:widowControl w:val="0"/>
        <w:suppressAutoHyphens/>
        <w:autoSpaceDE w:val="0"/>
        <w:autoSpaceDN w:val="0"/>
        <w:adjustRightInd w:val="0"/>
        <w:spacing w:after="0" w:line="480" w:lineRule="auto"/>
        <w:jc w:val="both"/>
        <w:rPr>
          <w:rFonts w:ascii="Arial" w:hAnsi="Arial" w:cs="Arial"/>
        </w:rPr>
      </w:pPr>
      <w:r w:rsidRPr="00071FD1">
        <w:rPr>
          <w:rFonts w:ascii="Arial" w:hAnsi="Arial" w:cs="Arial"/>
          <w:bCs/>
        </w:rPr>
        <w:t>CELECOXIB 100 BIOTECH</w:t>
      </w:r>
      <w:r w:rsidRPr="00071FD1">
        <w:rPr>
          <w:rFonts w:ascii="Arial" w:hAnsi="Arial" w:cs="Arial"/>
        </w:rPr>
        <w:t xml:space="preserve">: Hard </w:t>
      </w:r>
      <w:r w:rsidR="003D1D78" w:rsidRPr="00071FD1">
        <w:rPr>
          <w:rFonts w:ascii="Arial" w:hAnsi="Arial" w:cs="Arial"/>
        </w:rPr>
        <w:t>gelatine</w:t>
      </w:r>
      <w:r w:rsidRPr="00071FD1">
        <w:rPr>
          <w:rFonts w:ascii="Arial" w:hAnsi="Arial" w:cs="Arial"/>
        </w:rPr>
        <w:t xml:space="preserve"> capsules, size “3”, imprinted with “135” on the opaque white body in blue ink and “A” on the opaque white cap in blue ink, filled with white to off-white coloured granular powder.</w:t>
      </w:r>
    </w:p>
    <w:p w14:paraId="1D2080E5" w14:textId="130D39D5" w:rsidR="00071FD1" w:rsidRPr="00071FD1" w:rsidRDefault="00071FD1" w:rsidP="00624057">
      <w:pPr>
        <w:widowControl w:val="0"/>
        <w:suppressAutoHyphens/>
        <w:autoSpaceDE w:val="0"/>
        <w:autoSpaceDN w:val="0"/>
        <w:adjustRightInd w:val="0"/>
        <w:spacing w:after="0" w:line="480" w:lineRule="auto"/>
        <w:jc w:val="both"/>
        <w:rPr>
          <w:rFonts w:ascii="Arial" w:hAnsi="Arial" w:cs="Arial"/>
        </w:rPr>
      </w:pPr>
      <w:r w:rsidRPr="00071FD1">
        <w:rPr>
          <w:rFonts w:ascii="Arial" w:hAnsi="Arial" w:cs="Arial"/>
          <w:bCs/>
        </w:rPr>
        <w:t>CELECOXIB 200 BIOTECH</w:t>
      </w:r>
      <w:r w:rsidRPr="00071FD1">
        <w:rPr>
          <w:rFonts w:ascii="Arial" w:hAnsi="Arial" w:cs="Arial"/>
        </w:rPr>
        <w:t xml:space="preserve">: Hard </w:t>
      </w:r>
      <w:r w:rsidR="003D1D78" w:rsidRPr="00071FD1">
        <w:rPr>
          <w:rFonts w:ascii="Arial" w:hAnsi="Arial" w:cs="Arial"/>
        </w:rPr>
        <w:t>gelatine</w:t>
      </w:r>
      <w:r w:rsidRPr="00071FD1">
        <w:rPr>
          <w:rFonts w:ascii="Arial" w:hAnsi="Arial" w:cs="Arial"/>
        </w:rPr>
        <w:t xml:space="preserve"> capsules, size “1”, imprinted with “136” on the opaque white body in golden yellow ink and “A” on the opaque white cap in golden yellow ink, filled with white to off-white coloured granular powder.</w:t>
      </w:r>
    </w:p>
    <w:p w14:paraId="02FDA531" w14:textId="77777777" w:rsidR="00071FD1" w:rsidRPr="00071FD1" w:rsidRDefault="00071FD1" w:rsidP="00624057">
      <w:pPr>
        <w:widowControl w:val="0"/>
        <w:suppressAutoHyphens/>
        <w:spacing w:after="0" w:line="480" w:lineRule="auto"/>
        <w:ind w:left="567" w:hanging="567"/>
        <w:jc w:val="both"/>
        <w:rPr>
          <w:rFonts w:ascii="Arial" w:hAnsi="Arial" w:cs="Arial"/>
          <w:b/>
          <w:noProof/>
        </w:rPr>
      </w:pPr>
    </w:p>
    <w:p w14:paraId="57B6EDAA" w14:textId="77777777" w:rsidR="00071FD1" w:rsidRPr="00071FD1" w:rsidRDefault="00071FD1" w:rsidP="00624057">
      <w:pPr>
        <w:widowControl w:val="0"/>
        <w:suppressAutoHyphens/>
        <w:spacing w:after="0" w:line="480" w:lineRule="auto"/>
        <w:ind w:left="567" w:hanging="567"/>
        <w:jc w:val="both"/>
        <w:rPr>
          <w:rFonts w:ascii="Arial" w:hAnsi="Arial" w:cs="Arial"/>
          <w:caps/>
          <w:noProof/>
        </w:rPr>
      </w:pPr>
      <w:r w:rsidRPr="00071FD1">
        <w:rPr>
          <w:rFonts w:ascii="Arial" w:hAnsi="Arial" w:cs="Arial"/>
          <w:b/>
          <w:caps/>
          <w:noProof/>
        </w:rPr>
        <w:lastRenderedPageBreak/>
        <w:t>4.</w:t>
      </w:r>
      <w:r w:rsidRPr="00071FD1">
        <w:rPr>
          <w:rFonts w:ascii="Arial" w:hAnsi="Arial" w:cs="Arial"/>
          <w:b/>
          <w:caps/>
          <w:noProof/>
        </w:rPr>
        <w:tab/>
        <w:t>Clinical particulars</w:t>
      </w:r>
    </w:p>
    <w:p w14:paraId="1FC87AB0" w14:textId="77777777" w:rsidR="00071FD1" w:rsidRPr="00071FD1" w:rsidRDefault="00071FD1" w:rsidP="00624057">
      <w:pPr>
        <w:widowControl w:val="0"/>
        <w:suppressAutoHyphens/>
        <w:spacing w:after="0" w:line="480" w:lineRule="auto"/>
        <w:ind w:left="567" w:hanging="567"/>
        <w:jc w:val="both"/>
        <w:outlineLvl w:val="0"/>
        <w:rPr>
          <w:rFonts w:ascii="Arial" w:hAnsi="Arial" w:cs="Arial"/>
          <w:b/>
          <w:noProof/>
        </w:rPr>
      </w:pPr>
      <w:r w:rsidRPr="00071FD1">
        <w:rPr>
          <w:rFonts w:ascii="Arial" w:hAnsi="Arial" w:cs="Arial"/>
          <w:b/>
          <w:noProof/>
        </w:rPr>
        <w:t>4.1</w:t>
      </w:r>
      <w:r w:rsidRPr="00071FD1">
        <w:rPr>
          <w:rFonts w:ascii="Arial" w:hAnsi="Arial" w:cs="Arial"/>
          <w:b/>
          <w:noProof/>
        </w:rPr>
        <w:tab/>
        <w:t>Therapeutic indications</w:t>
      </w:r>
    </w:p>
    <w:p w14:paraId="691779F1" w14:textId="77777777" w:rsidR="00071FD1" w:rsidRPr="00071FD1" w:rsidRDefault="00071FD1" w:rsidP="00624057">
      <w:pPr>
        <w:pStyle w:val="ListParagraph"/>
        <w:widowControl w:val="0"/>
        <w:numPr>
          <w:ilvl w:val="0"/>
          <w:numId w:val="19"/>
        </w:numPr>
        <w:suppressAutoHyphens/>
        <w:spacing w:after="0" w:line="480" w:lineRule="auto"/>
        <w:ind w:left="596" w:hanging="425"/>
        <w:jc w:val="both"/>
        <w:outlineLvl w:val="0"/>
        <w:rPr>
          <w:rFonts w:ascii="Arial" w:hAnsi="Arial" w:cs="Arial"/>
          <w:bCs/>
          <w:noProof/>
        </w:rPr>
      </w:pPr>
      <w:r w:rsidRPr="00071FD1">
        <w:rPr>
          <w:rFonts w:ascii="Arial" w:hAnsi="Arial" w:cs="Arial"/>
          <w:bCs/>
          <w:noProof/>
        </w:rPr>
        <w:t>Symptomatic treatment of inflammation and pain in osteoarthritis and rheumatoid arthritis.</w:t>
      </w:r>
    </w:p>
    <w:p w14:paraId="44AE01BF" w14:textId="77777777" w:rsidR="00071FD1" w:rsidRPr="00071FD1" w:rsidRDefault="00071FD1" w:rsidP="00624057">
      <w:pPr>
        <w:pStyle w:val="ListParagraph"/>
        <w:widowControl w:val="0"/>
        <w:numPr>
          <w:ilvl w:val="0"/>
          <w:numId w:val="19"/>
        </w:numPr>
        <w:suppressAutoHyphens/>
        <w:spacing w:after="0" w:line="480" w:lineRule="auto"/>
        <w:ind w:left="596" w:hanging="425"/>
        <w:jc w:val="both"/>
        <w:outlineLvl w:val="0"/>
        <w:rPr>
          <w:rFonts w:ascii="Arial" w:hAnsi="Arial" w:cs="Arial"/>
          <w:bCs/>
          <w:noProof/>
        </w:rPr>
      </w:pPr>
      <w:r w:rsidRPr="00071FD1">
        <w:rPr>
          <w:rFonts w:ascii="Arial" w:hAnsi="Arial" w:cs="Arial"/>
          <w:bCs/>
          <w:noProof/>
        </w:rPr>
        <w:t>Treatment of pain after dental surgery.</w:t>
      </w:r>
    </w:p>
    <w:p w14:paraId="6285C524" w14:textId="77777777" w:rsidR="00071FD1" w:rsidRPr="00071FD1" w:rsidRDefault="00071FD1" w:rsidP="00624057">
      <w:pPr>
        <w:pStyle w:val="ListParagraph"/>
        <w:widowControl w:val="0"/>
        <w:numPr>
          <w:ilvl w:val="0"/>
          <w:numId w:val="19"/>
        </w:numPr>
        <w:suppressAutoHyphens/>
        <w:spacing w:after="0" w:line="480" w:lineRule="auto"/>
        <w:ind w:left="596" w:hanging="425"/>
        <w:jc w:val="both"/>
        <w:outlineLvl w:val="0"/>
        <w:rPr>
          <w:rFonts w:ascii="Arial" w:hAnsi="Arial" w:cs="Arial"/>
          <w:bCs/>
          <w:noProof/>
        </w:rPr>
      </w:pPr>
      <w:r w:rsidRPr="00071FD1">
        <w:rPr>
          <w:rFonts w:ascii="Arial" w:hAnsi="Arial" w:cs="Arial"/>
          <w:bCs/>
          <w:noProof/>
        </w:rPr>
        <w:t>Treatment of mild to moderate post-operative pain.</w:t>
      </w:r>
    </w:p>
    <w:p w14:paraId="40E8DE3B" w14:textId="77777777" w:rsidR="00071FD1" w:rsidRPr="00071FD1" w:rsidRDefault="00071FD1" w:rsidP="00624057">
      <w:pPr>
        <w:pStyle w:val="ListParagraph"/>
        <w:widowControl w:val="0"/>
        <w:numPr>
          <w:ilvl w:val="0"/>
          <w:numId w:val="19"/>
        </w:numPr>
        <w:suppressAutoHyphens/>
        <w:spacing w:after="0" w:line="480" w:lineRule="auto"/>
        <w:ind w:left="596" w:hanging="425"/>
        <w:jc w:val="both"/>
        <w:outlineLvl w:val="0"/>
        <w:rPr>
          <w:rFonts w:ascii="Arial" w:hAnsi="Arial" w:cs="Arial"/>
          <w:bCs/>
          <w:noProof/>
        </w:rPr>
      </w:pPr>
      <w:r w:rsidRPr="00071FD1">
        <w:rPr>
          <w:rFonts w:ascii="Arial" w:hAnsi="Arial" w:cs="Arial"/>
          <w:bCs/>
          <w:noProof/>
        </w:rPr>
        <w:t>Treatment of mild to moderate musculoskeletal pain.</w:t>
      </w:r>
    </w:p>
    <w:p w14:paraId="40A24358" w14:textId="77777777" w:rsidR="00071FD1" w:rsidRPr="00071FD1" w:rsidRDefault="00071FD1" w:rsidP="00624057">
      <w:pPr>
        <w:pStyle w:val="ListParagraph"/>
        <w:widowControl w:val="0"/>
        <w:numPr>
          <w:ilvl w:val="0"/>
          <w:numId w:val="19"/>
        </w:numPr>
        <w:suppressAutoHyphens/>
        <w:spacing w:after="0" w:line="480" w:lineRule="auto"/>
        <w:ind w:left="596" w:hanging="425"/>
        <w:jc w:val="both"/>
        <w:outlineLvl w:val="0"/>
        <w:rPr>
          <w:rFonts w:ascii="Arial" w:hAnsi="Arial" w:cs="Arial"/>
          <w:bCs/>
          <w:noProof/>
        </w:rPr>
      </w:pPr>
      <w:r w:rsidRPr="00071FD1">
        <w:rPr>
          <w:rFonts w:ascii="Arial" w:hAnsi="Arial" w:cs="Arial"/>
          <w:bCs/>
          <w:noProof/>
        </w:rPr>
        <w:t>Treatment of mild to moderate primary dysmenorrhoea.</w:t>
      </w:r>
    </w:p>
    <w:p w14:paraId="2BFE4C81" w14:textId="77777777" w:rsidR="00071FD1" w:rsidRPr="00071FD1" w:rsidRDefault="00071FD1" w:rsidP="00624057">
      <w:pPr>
        <w:pStyle w:val="ListParagraph"/>
        <w:widowControl w:val="0"/>
        <w:numPr>
          <w:ilvl w:val="0"/>
          <w:numId w:val="19"/>
        </w:numPr>
        <w:suppressAutoHyphens/>
        <w:spacing w:after="0" w:line="480" w:lineRule="auto"/>
        <w:ind w:left="596" w:hanging="425"/>
        <w:jc w:val="both"/>
        <w:outlineLvl w:val="0"/>
        <w:rPr>
          <w:rFonts w:ascii="Arial" w:hAnsi="Arial" w:cs="Arial"/>
          <w:bCs/>
          <w:noProof/>
        </w:rPr>
      </w:pPr>
      <w:r w:rsidRPr="00071FD1">
        <w:rPr>
          <w:rFonts w:ascii="Arial" w:hAnsi="Arial" w:cs="Arial"/>
          <w:bCs/>
          <w:noProof/>
        </w:rPr>
        <w:t>Relief of symptoms of ankylosing spondylitis.</w:t>
      </w:r>
    </w:p>
    <w:p w14:paraId="55C9B9EB" w14:textId="77777777" w:rsidR="00071FD1" w:rsidRPr="00071FD1" w:rsidRDefault="00071FD1" w:rsidP="00624057">
      <w:pPr>
        <w:widowControl w:val="0"/>
        <w:suppressAutoHyphens/>
        <w:spacing w:after="0" w:line="480" w:lineRule="auto"/>
        <w:ind w:left="567" w:hanging="567"/>
        <w:jc w:val="both"/>
        <w:rPr>
          <w:rFonts w:ascii="Arial" w:hAnsi="Arial" w:cs="Arial"/>
          <w:b/>
          <w:caps/>
          <w:noProof/>
        </w:rPr>
      </w:pPr>
    </w:p>
    <w:p w14:paraId="36EE4A08" w14:textId="77777777" w:rsidR="00071FD1" w:rsidRPr="00071FD1" w:rsidRDefault="00071FD1" w:rsidP="00624057">
      <w:pPr>
        <w:widowControl w:val="0"/>
        <w:suppressAutoHyphens/>
        <w:spacing w:after="0" w:line="480" w:lineRule="auto"/>
        <w:jc w:val="both"/>
        <w:outlineLvl w:val="0"/>
        <w:rPr>
          <w:rFonts w:ascii="Arial" w:hAnsi="Arial" w:cs="Arial"/>
          <w:b/>
          <w:noProof/>
        </w:rPr>
      </w:pPr>
      <w:r w:rsidRPr="00071FD1">
        <w:rPr>
          <w:rFonts w:ascii="Arial" w:hAnsi="Arial" w:cs="Arial"/>
          <w:b/>
          <w:noProof/>
        </w:rPr>
        <w:t>4.2</w:t>
      </w:r>
      <w:r w:rsidRPr="00071FD1">
        <w:rPr>
          <w:rFonts w:ascii="Arial" w:hAnsi="Arial" w:cs="Arial"/>
          <w:b/>
          <w:noProof/>
        </w:rPr>
        <w:tab/>
        <w:t>Posology and method of administration</w:t>
      </w:r>
      <w:r w:rsidRPr="00071FD1">
        <w:rPr>
          <w:rFonts w:ascii="Arial" w:hAnsi="Arial" w:cs="Arial"/>
          <w:b/>
        </w:rPr>
        <w:t xml:space="preserve"> </w:t>
      </w:r>
    </w:p>
    <w:p w14:paraId="6E9AF0B1" w14:textId="77777777" w:rsidR="00071FD1" w:rsidRPr="00071FD1" w:rsidRDefault="00071FD1" w:rsidP="00624057">
      <w:pPr>
        <w:widowControl w:val="0"/>
        <w:suppressAutoHyphens/>
        <w:spacing w:after="0" w:line="480" w:lineRule="auto"/>
        <w:jc w:val="both"/>
        <w:outlineLvl w:val="0"/>
        <w:rPr>
          <w:rFonts w:ascii="Arial" w:hAnsi="Arial" w:cs="Arial"/>
          <w:b/>
          <w:noProof/>
        </w:rPr>
      </w:pPr>
      <w:r w:rsidRPr="00071FD1">
        <w:rPr>
          <w:rFonts w:ascii="Arial" w:hAnsi="Arial" w:cs="Arial"/>
          <w:b/>
          <w:noProof/>
        </w:rPr>
        <w:t>Posology</w:t>
      </w:r>
    </w:p>
    <w:p w14:paraId="4910A3B2" w14:textId="77777777" w:rsidR="00071FD1" w:rsidRPr="00071FD1" w:rsidRDefault="00071FD1" w:rsidP="00624057">
      <w:pPr>
        <w:widowControl w:val="0"/>
        <w:suppressAutoHyphens/>
        <w:spacing w:after="0" w:line="480" w:lineRule="auto"/>
        <w:jc w:val="both"/>
        <w:rPr>
          <w:rFonts w:ascii="Arial" w:hAnsi="Arial" w:cs="Arial"/>
          <w:b/>
          <w:noProof/>
        </w:rPr>
      </w:pPr>
      <w:r w:rsidRPr="00071FD1">
        <w:rPr>
          <w:rFonts w:ascii="Arial" w:hAnsi="Arial" w:cs="Arial"/>
          <w:b/>
          <w:noProof/>
        </w:rPr>
        <w:t>As the cardiovascular risks of CELECOXIB BIOTECH may increase with dose and duration of exposure, the lowest effective daily dose should be used, for the shortest possible duration of treatment.</w:t>
      </w:r>
    </w:p>
    <w:p w14:paraId="1E64C500" w14:textId="77777777" w:rsidR="00071FD1" w:rsidRPr="00071FD1" w:rsidRDefault="00071FD1" w:rsidP="00624057">
      <w:pPr>
        <w:widowControl w:val="0"/>
        <w:suppressAutoHyphens/>
        <w:spacing w:after="0" w:line="480" w:lineRule="auto"/>
        <w:jc w:val="both"/>
        <w:rPr>
          <w:rFonts w:ascii="Arial" w:hAnsi="Arial" w:cs="Arial"/>
          <w:bCs/>
          <w:noProof/>
        </w:rPr>
      </w:pPr>
    </w:p>
    <w:p w14:paraId="1AE6429B" w14:textId="77777777" w:rsidR="00071FD1" w:rsidRPr="00071FD1" w:rsidRDefault="00071FD1" w:rsidP="00624057">
      <w:pPr>
        <w:widowControl w:val="0"/>
        <w:suppressAutoHyphens/>
        <w:spacing w:after="0" w:line="480" w:lineRule="auto"/>
        <w:jc w:val="both"/>
        <w:rPr>
          <w:rFonts w:ascii="Arial" w:hAnsi="Arial" w:cs="Arial"/>
          <w:b/>
          <w:bCs/>
          <w:i/>
          <w:noProof/>
        </w:rPr>
      </w:pPr>
      <w:r w:rsidRPr="00071FD1">
        <w:rPr>
          <w:rFonts w:ascii="Arial" w:hAnsi="Arial" w:cs="Arial"/>
          <w:b/>
          <w:bCs/>
          <w:i/>
          <w:noProof/>
        </w:rPr>
        <w:t>Osteoarthritis</w:t>
      </w:r>
    </w:p>
    <w:p w14:paraId="0E95F13B" w14:textId="77777777" w:rsidR="00071FD1" w:rsidRPr="00071FD1" w:rsidRDefault="00071FD1" w:rsidP="00624057">
      <w:pPr>
        <w:widowControl w:val="0"/>
        <w:suppressAutoHyphens/>
        <w:spacing w:after="0" w:line="480" w:lineRule="auto"/>
        <w:jc w:val="both"/>
        <w:rPr>
          <w:rFonts w:ascii="Arial" w:hAnsi="Arial" w:cs="Arial"/>
          <w:bCs/>
          <w:noProof/>
        </w:rPr>
      </w:pPr>
      <w:r w:rsidRPr="00071FD1">
        <w:rPr>
          <w:rFonts w:ascii="Arial" w:hAnsi="Arial" w:cs="Arial"/>
          <w:bCs/>
          <w:noProof/>
        </w:rPr>
        <w:t>The recommended daily dose is 200 mg, taken as a single dose or as two divided doses. Doses up to 400 mg per day have been studied.</w:t>
      </w:r>
    </w:p>
    <w:p w14:paraId="29540B66" w14:textId="77777777" w:rsidR="00071FD1" w:rsidRPr="00071FD1" w:rsidRDefault="00071FD1" w:rsidP="00624057">
      <w:pPr>
        <w:widowControl w:val="0"/>
        <w:suppressAutoHyphens/>
        <w:spacing w:after="0" w:line="480" w:lineRule="auto"/>
        <w:rPr>
          <w:rFonts w:ascii="Arial" w:hAnsi="Arial" w:cs="Arial"/>
          <w:b/>
          <w:bCs/>
          <w:i/>
          <w:noProof/>
        </w:rPr>
      </w:pPr>
      <w:r w:rsidRPr="00071FD1">
        <w:rPr>
          <w:rFonts w:ascii="Arial" w:hAnsi="Arial" w:cs="Arial"/>
          <w:b/>
          <w:i/>
          <w:iCs/>
          <w:noProof/>
        </w:rPr>
        <w:t>Rheumatoid arthritis</w:t>
      </w:r>
      <w:r w:rsidRPr="00071FD1">
        <w:rPr>
          <w:rFonts w:ascii="Arial" w:hAnsi="Arial" w:cs="Arial"/>
          <w:bCs/>
          <w:noProof/>
        </w:rPr>
        <w:br/>
        <w:t>The recommended daily dose is 100 mg or 200 mg twice per day.</w:t>
      </w:r>
    </w:p>
    <w:p w14:paraId="18460CEB" w14:textId="77777777" w:rsidR="00071FD1" w:rsidRPr="00071FD1" w:rsidRDefault="00071FD1" w:rsidP="00624057">
      <w:pPr>
        <w:widowControl w:val="0"/>
        <w:suppressAutoHyphens/>
        <w:spacing w:after="0" w:line="480" w:lineRule="auto"/>
        <w:rPr>
          <w:rFonts w:ascii="Arial" w:hAnsi="Arial" w:cs="Arial"/>
          <w:b/>
          <w:i/>
          <w:iCs/>
          <w:noProof/>
        </w:rPr>
      </w:pPr>
      <w:r w:rsidRPr="00071FD1">
        <w:rPr>
          <w:rFonts w:ascii="Arial" w:hAnsi="Arial" w:cs="Arial"/>
          <w:b/>
          <w:i/>
          <w:iCs/>
          <w:noProof/>
        </w:rPr>
        <w:t>Pain post-dental surgery</w:t>
      </w:r>
      <w:r w:rsidRPr="00071FD1">
        <w:rPr>
          <w:rFonts w:ascii="Arial" w:hAnsi="Arial" w:cs="Arial"/>
          <w:bCs/>
          <w:noProof/>
        </w:rPr>
        <w:br/>
        <w:t>The recommended dose is 100 mg to 200 mg, up to a maximum daily dose of 400 mg. Dosing intervals should not be less than 4 hours.</w:t>
      </w:r>
    </w:p>
    <w:p w14:paraId="526A4413" w14:textId="77777777" w:rsidR="00071FD1" w:rsidRPr="00071FD1" w:rsidRDefault="00071FD1" w:rsidP="00624057">
      <w:pPr>
        <w:widowControl w:val="0"/>
        <w:suppressAutoHyphens/>
        <w:spacing w:after="0" w:line="480" w:lineRule="auto"/>
        <w:rPr>
          <w:rFonts w:ascii="Arial" w:hAnsi="Arial" w:cs="Arial"/>
          <w:b/>
          <w:bCs/>
          <w:i/>
          <w:noProof/>
        </w:rPr>
      </w:pPr>
      <w:r w:rsidRPr="00071FD1">
        <w:rPr>
          <w:rFonts w:ascii="Arial" w:hAnsi="Arial" w:cs="Arial"/>
          <w:b/>
          <w:i/>
          <w:iCs/>
          <w:noProof/>
        </w:rPr>
        <w:t>Mild to moderate post-operative pain</w:t>
      </w:r>
      <w:r w:rsidRPr="00071FD1">
        <w:rPr>
          <w:rFonts w:ascii="Arial" w:hAnsi="Arial" w:cs="Arial"/>
          <w:bCs/>
          <w:noProof/>
        </w:rPr>
        <w:br/>
        <w:t>The recommended dose is 200 mg once daily. Some patients may benefit from an additional 200 mg dose.</w:t>
      </w:r>
    </w:p>
    <w:p w14:paraId="51C2694A" w14:textId="77777777" w:rsidR="00071FD1" w:rsidRPr="00071FD1" w:rsidRDefault="00071FD1" w:rsidP="00624057">
      <w:pPr>
        <w:widowControl w:val="0"/>
        <w:suppressAutoHyphens/>
        <w:spacing w:after="0" w:line="480" w:lineRule="auto"/>
        <w:rPr>
          <w:rFonts w:ascii="Arial" w:hAnsi="Arial" w:cs="Arial"/>
          <w:b/>
          <w:bCs/>
          <w:noProof/>
        </w:rPr>
      </w:pPr>
      <w:r w:rsidRPr="00071FD1">
        <w:rPr>
          <w:rFonts w:ascii="Arial" w:hAnsi="Arial" w:cs="Arial"/>
          <w:b/>
          <w:i/>
          <w:iCs/>
          <w:noProof/>
        </w:rPr>
        <w:t>Mild to moderate musculoskeletal pain</w:t>
      </w:r>
      <w:r w:rsidRPr="00071FD1">
        <w:rPr>
          <w:rFonts w:ascii="Arial" w:hAnsi="Arial" w:cs="Arial"/>
          <w:bCs/>
          <w:noProof/>
        </w:rPr>
        <w:br/>
      </w:r>
      <w:r w:rsidRPr="00071FD1">
        <w:rPr>
          <w:rFonts w:ascii="Arial" w:hAnsi="Arial" w:cs="Arial"/>
          <w:bCs/>
          <w:noProof/>
        </w:rPr>
        <w:lastRenderedPageBreak/>
        <w:t>The recommended dose is 200 mg twice daily.</w:t>
      </w:r>
    </w:p>
    <w:p w14:paraId="2A4E144D" w14:textId="77777777" w:rsidR="00071FD1" w:rsidRPr="00071FD1" w:rsidRDefault="00071FD1" w:rsidP="00624057">
      <w:pPr>
        <w:widowControl w:val="0"/>
        <w:suppressAutoHyphens/>
        <w:spacing w:after="0" w:line="480" w:lineRule="auto"/>
        <w:rPr>
          <w:rFonts w:ascii="Arial" w:hAnsi="Arial" w:cs="Arial"/>
          <w:b/>
          <w:bCs/>
          <w:i/>
          <w:noProof/>
        </w:rPr>
      </w:pPr>
      <w:r w:rsidRPr="00071FD1">
        <w:rPr>
          <w:rFonts w:ascii="Arial" w:hAnsi="Arial" w:cs="Arial"/>
          <w:b/>
          <w:i/>
          <w:iCs/>
          <w:noProof/>
        </w:rPr>
        <w:t>Mild to moderate primary dysmenorrhoea</w:t>
      </w:r>
      <w:r w:rsidRPr="00071FD1">
        <w:rPr>
          <w:rFonts w:ascii="Arial" w:hAnsi="Arial" w:cs="Arial"/>
          <w:bCs/>
          <w:noProof/>
        </w:rPr>
        <w:br/>
        <w:t>The recommended dose is 400 mg initially, followed by an additional 200 mg dose if needed on the first day. On subsequent days, the recommended dose is 200 mg twice daily.</w:t>
      </w:r>
    </w:p>
    <w:p w14:paraId="106D8E57" w14:textId="77777777" w:rsidR="00071FD1" w:rsidRPr="00071FD1" w:rsidRDefault="00071FD1" w:rsidP="00624057">
      <w:pPr>
        <w:widowControl w:val="0"/>
        <w:suppressAutoHyphens/>
        <w:spacing w:after="0" w:line="480" w:lineRule="auto"/>
        <w:rPr>
          <w:rFonts w:ascii="Arial" w:hAnsi="Arial" w:cs="Arial"/>
          <w:bCs/>
          <w:noProof/>
        </w:rPr>
      </w:pPr>
      <w:r w:rsidRPr="00071FD1">
        <w:rPr>
          <w:rFonts w:ascii="Arial" w:hAnsi="Arial" w:cs="Arial"/>
          <w:b/>
          <w:i/>
          <w:iCs/>
          <w:noProof/>
        </w:rPr>
        <w:t>Ankylosing spondylitis</w:t>
      </w:r>
      <w:r w:rsidRPr="00071FD1">
        <w:rPr>
          <w:rFonts w:ascii="Arial" w:hAnsi="Arial" w:cs="Arial"/>
          <w:bCs/>
          <w:noProof/>
        </w:rPr>
        <w:br/>
        <w:t>The recommended daily dose is 200 mg, taken as a single dose or as 100 mg twice per day. Some patients may benefit from a total daily dose of 400 mg.</w:t>
      </w:r>
    </w:p>
    <w:p w14:paraId="55FA5434" w14:textId="77777777" w:rsidR="00071FD1" w:rsidRPr="00071FD1" w:rsidRDefault="00071FD1" w:rsidP="00624057">
      <w:pPr>
        <w:widowControl w:val="0"/>
        <w:suppressAutoHyphens/>
        <w:spacing w:after="0" w:line="480" w:lineRule="auto"/>
        <w:jc w:val="both"/>
        <w:rPr>
          <w:rFonts w:ascii="Arial" w:hAnsi="Arial" w:cs="Arial"/>
          <w:bCs/>
          <w:noProof/>
        </w:rPr>
      </w:pPr>
    </w:p>
    <w:p w14:paraId="7F7D3C5B" w14:textId="77777777" w:rsidR="00071FD1" w:rsidRPr="00071FD1" w:rsidRDefault="00071FD1" w:rsidP="00624057">
      <w:pPr>
        <w:widowControl w:val="0"/>
        <w:suppressAutoHyphens/>
        <w:spacing w:after="0" w:line="480" w:lineRule="auto"/>
        <w:jc w:val="both"/>
        <w:rPr>
          <w:rFonts w:ascii="Arial" w:hAnsi="Arial" w:cs="Arial"/>
          <w:b/>
          <w:i/>
          <w:iCs/>
          <w:noProof/>
        </w:rPr>
      </w:pPr>
      <w:r w:rsidRPr="00071FD1">
        <w:rPr>
          <w:rFonts w:ascii="Arial" w:hAnsi="Arial" w:cs="Arial"/>
          <w:b/>
          <w:i/>
          <w:iCs/>
          <w:noProof/>
        </w:rPr>
        <w:t>Special populations</w:t>
      </w:r>
    </w:p>
    <w:p w14:paraId="02817DBA" w14:textId="77777777" w:rsidR="00071FD1" w:rsidRPr="00071FD1" w:rsidRDefault="00071FD1" w:rsidP="00624057">
      <w:pPr>
        <w:widowControl w:val="0"/>
        <w:suppressAutoHyphens/>
        <w:spacing w:after="0" w:line="480" w:lineRule="auto"/>
        <w:rPr>
          <w:rFonts w:ascii="Arial" w:hAnsi="Arial" w:cs="Arial"/>
          <w:bCs/>
          <w:noProof/>
        </w:rPr>
      </w:pPr>
      <w:r w:rsidRPr="00071FD1">
        <w:rPr>
          <w:rFonts w:ascii="Arial" w:hAnsi="Arial" w:cs="Arial"/>
          <w:bCs/>
          <w:i/>
          <w:iCs/>
          <w:noProof/>
        </w:rPr>
        <w:t>Hepatic impairment</w:t>
      </w:r>
      <w:r w:rsidRPr="00071FD1">
        <w:rPr>
          <w:rFonts w:ascii="Arial" w:hAnsi="Arial" w:cs="Arial"/>
          <w:bCs/>
          <w:noProof/>
        </w:rPr>
        <w:br/>
        <w:t>No dosage adjustment is necessary in patients with mild hepatic impairment. Introduce CELECOXIB BIOTECH at the lowest recommended dose in patients with moderate hepatic impairment. There is no clinical experience in patients with severe hepatic impairment (see sections 4.3 and 5.2).</w:t>
      </w:r>
    </w:p>
    <w:p w14:paraId="3CC0F60D" w14:textId="77777777" w:rsidR="00071FD1" w:rsidRPr="00071FD1" w:rsidRDefault="00071FD1" w:rsidP="00624057">
      <w:pPr>
        <w:widowControl w:val="0"/>
        <w:suppressAutoHyphens/>
        <w:spacing w:after="0" w:line="480" w:lineRule="auto"/>
        <w:jc w:val="both"/>
        <w:rPr>
          <w:rFonts w:ascii="Arial" w:hAnsi="Arial" w:cs="Arial"/>
          <w:bCs/>
          <w:i/>
          <w:iCs/>
          <w:noProof/>
        </w:rPr>
      </w:pPr>
    </w:p>
    <w:p w14:paraId="51AC3461" w14:textId="77777777" w:rsidR="00071FD1" w:rsidRPr="00071FD1" w:rsidRDefault="00071FD1" w:rsidP="00624057">
      <w:pPr>
        <w:widowControl w:val="0"/>
        <w:suppressAutoHyphens/>
        <w:spacing w:after="0" w:line="480" w:lineRule="auto"/>
        <w:rPr>
          <w:rFonts w:ascii="Arial" w:hAnsi="Arial" w:cs="Arial"/>
          <w:bCs/>
          <w:noProof/>
        </w:rPr>
      </w:pPr>
      <w:r w:rsidRPr="00071FD1">
        <w:rPr>
          <w:rFonts w:ascii="Arial" w:hAnsi="Arial" w:cs="Arial"/>
          <w:bCs/>
          <w:i/>
          <w:iCs/>
          <w:noProof/>
        </w:rPr>
        <w:t>Renal impairment</w:t>
      </w:r>
      <w:r w:rsidRPr="00071FD1">
        <w:rPr>
          <w:rFonts w:ascii="Arial" w:hAnsi="Arial" w:cs="Arial"/>
          <w:bCs/>
          <w:noProof/>
        </w:rPr>
        <w:br/>
        <w:t>No dosage adjustment is necessary in patients with mild or moderate renal impairment. There is no clinical experience in patients with severe renal impairment (see sections 4.3 and 5.2).</w:t>
      </w:r>
    </w:p>
    <w:p w14:paraId="56624E0B" w14:textId="77777777" w:rsidR="00071FD1" w:rsidRPr="00071FD1" w:rsidRDefault="00071FD1" w:rsidP="00624057">
      <w:pPr>
        <w:widowControl w:val="0"/>
        <w:suppressAutoHyphens/>
        <w:spacing w:after="0" w:line="480" w:lineRule="auto"/>
        <w:jc w:val="both"/>
        <w:rPr>
          <w:rFonts w:ascii="Arial" w:hAnsi="Arial" w:cs="Arial"/>
          <w:b/>
          <w:bCs/>
          <w:i/>
          <w:noProof/>
        </w:rPr>
      </w:pPr>
    </w:p>
    <w:p w14:paraId="1458EFEA" w14:textId="77777777" w:rsidR="00071FD1" w:rsidRPr="00071FD1" w:rsidRDefault="00071FD1" w:rsidP="00624057">
      <w:pPr>
        <w:widowControl w:val="0"/>
        <w:suppressAutoHyphens/>
        <w:spacing w:after="0" w:line="480" w:lineRule="auto"/>
        <w:jc w:val="both"/>
        <w:rPr>
          <w:rFonts w:ascii="Arial" w:hAnsi="Arial" w:cs="Arial"/>
          <w:b/>
          <w:bCs/>
          <w:i/>
          <w:noProof/>
        </w:rPr>
      </w:pPr>
      <w:r w:rsidRPr="00071FD1">
        <w:rPr>
          <w:rFonts w:ascii="Arial" w:hAnsi="Arial" w:cs="Arial"/>
          <w:bCs/>
          <w:i/>
          <w:iCs/>
          <w:noProof/>
        </w:rPr>
        <w:t>Elderly</w:t>
      </w:r>
      <w:r w:rsidRPr="00071FD1">
        <w:rPr>
          <w:rFonts w:ascii="Arial" w:hAnsi="Arial" w:cs="Arial"/>
          <w:bCs/>
          <w:noProof/>
        </w:rPr>
        <w:br/>
        <w:t>No dosage adjustment is necessary. However for elderly patients with a body mass of 50 kg or less it is advisable to initiate therapy at the lowest recommended dose.</w:t>
      </w:r>
    </w:p>
    <w:p w14:paraId="32F89769" w14:textId="77777777" w:rsidR="00071FD1" w:rsidRPr="00071FD1" w:rsidRDefault="00071FD1" w:rsidP="00624057">
      <w:pPr>
        <w:widowControl w:val="0"/>
        <w:suppressAutoHyphens/>
        <w:spacing w:after="0" w:line="480" w:lineRule="auto"/>
        <w:jc w:val="both"/>
        <w:rPr>
          <w:rFonts w:ascii="Arial" w:hAnsi="Arial" w:cs="Arial"/>
          <w:b/>
          <w:bCs/>
          <w:i/>
          <w:noProof/>
        </w:rPr>
      </w:pPr>
    </w:p>
    <w:p w14:paraId="05D561DA" w14:textId="77777777" w:rsidR="00071FD1" w:rsidRPr="00071FD1" w:rsidRDefault="00071FD1" w:rsidP="00624057">
      <w:pPr>
        <w:widowControl w:val="0"/>
        <w:suppressAutoHyphens/>
        <w:spacing w:after="0" w:line="480" w:lineRule="auto"/>
        <w:jc w:val="both"/>
        <w:rPr>
          <w:rFonts w:ascii="Arial" w:hAnsi="Arial" w:cs="Arial"/>
          <w:b/>
          <w:bCs/>
          <w:i/>
          <w:noProof/>
        </w:rPr>
      </w:pPr>
      <w:r w:rsidRPr="00071FD1">
        <w:rPr>
          <w:rFonts w:ascii="Arial" w:hAnsi="Arial" w:cs="Arial"/>
          <w:b/>
          <w:bCs/>
          <w:i/>
          <w:noProof/>
        </w:rPr>
        <w:t>Children</w:t>
      </w:r>
    </w:p>
    <w:p w14:paraId="66179F57" w14:textId="77777777" w:rsidR="00071FD1" w:rsidRPr="00071FD1" w:rsidRDefault="00071FD1" w:rsidP="00624057">
      <w:pPr>
        <w:widowControl w:val="0"/>
        <w:suppressAutoHyphens/>
        <w:spacing w:after="0" w:line="480" w:lineRule="auto"/>
        <w:jc w:val="both"/>
        <w:rPr>
          <w:rFonts w:ascii="Arial" w:hAnsi="Arial" w:cs="Arial"/>
          <w:b/>
          <w:bCs/>
          <w:noProof/>
        </w:rPr>
      </w:pPr>
      <w:r w:rsidRPr="00071FD1">
        <w:rPr>
          <w:rFonts w:ascii="Arial" w:hAnsi="Arial" w:cs="Arial"/>
          <w:bCs/>
          <w:noProof/>
        </w:rPr>
        <w:t>As no data are available, CELECOXIB BIOTECH is not recommended in persons under 18 years old.</w:t>
      </w:r>
    </w:p>
    <w:p w14:paraId="3348C0D2" w14:textId="77777777" w:rsidR="00071FD1" w:rsidRPr="00071FD1" w:rsidRDefault="00071FD1" w:rsidP="00624057">
      <w:pPr>
        <w:widowControl w:val="0"/>
        <w:suppressAutoHyphens/>
        <w:spacing w:after="0" w:line="480" w:lineRule="auto"/>
        <w:jc w:val="both"/>
        <w:rPr>
          <w:rFonts w:ascii="Arial" w:hAnsi="Arial" w:cs="Arial"/>
          <w:b/>
          <w:bCs/>
          <w:i/>
          <w:noProof/>
        </w:rPr>
      </w:pPr>
    </w:p>
    <w:p w14:paraId="091A0791" w14:textId="77777777" w:rsidR="00071FD1" w:rsidRPr="00071FD1" w:rsidRDefault="00071FD1" w:rsidP="00624057">
      <w:pPr>
        <w:widowControl w:val="0"/>
        <w:suppressAutoHyphens/>
        <w:spacing w:after="0" w:line="480" w:lineRule="auto"/>
        <w:jc w:val="both"/>
        <w:rPr>
          <w:rFonts w:ascii="Arial" w:hAnsi="Arial" w:cs="Arial"/>
          <w:b/>
          <w:bCs/>
          <w:iCs/>
          <w:noProof/>
        </w:rPr>
      </w:pPr>
      <w:r w:rsidRPr="00071FD1">
        <w:rPr>
          <w:rFonts w:ascii="Arial" w:hAnsi="Arial" w:cs="Arial"/>
          <w:b/>
          <w:bCs/>
          <w:iCs/>
          <w:noProof/>
        </w:rPr>
        <w:t>Method of administration</w:t>
      </w:r>
    </w:p>
    <w:p w14:paraId="46A0FFE5" w14:textId="77777777" w:rsidR="00071FD1" w:rsidRPr="00071FD1" w:rsidRDefault="00071FD1" w:rsidP="00624057">
      <w:pPr>
        <w:widowControl w:val="0"/>
        <w:suppressAutoHyphens/>
        <w:spacing w:after="0" w:line="480" w:lineRule="auto"/>
        <w:jc w:val="both"/>
        <w:rPr>
          <w:rFonts w:ascii="Arial" w:hAnsi="Arial" w:cs="Arial"/>
          <w:b/>
          <w:bCs/>
          <w:iCs/>
          <w:noProof/>
        </w:rPr>
      </w:pPr>
      <w:r w:rsidRPr="00071FD1">
        <w:rPr>
          <w:rFonts w:ascii="Arial" w:hAnsi="Arial" w:cs="Arial"/>
          <w:bCs/>
          <w:noProof/>
        </w:rPr>
        <w:t>Oral use. CELECOXIB BIOTECH should be taken whole with a glass of water, with or without food.</w:t>
      </w:r>
    </w:p>
    <w:p w14:paraId="2985D334" w14:textId="77777777" w:rsidR="00071FD1" w:rsidRPr="00071FD1" w:rsidRDefault="00071FD1" w:rsidP="00624057">
      <w:pPr>
        <w:widowControl w:val="0"/>
        <w:suppressAutoHyphens/>
        <w:spacing w:after="0" w:line="480" w:lineRule="auto"/>
        <w:jc w:val="both"/>
        <w:rPr>
          <w:rFonts w:ascii="Arial" w:hAnsi="Arial" w:cs="Arial"/>
          <w:b/>
          <w:bCs/>
          <w:i/>
          <w:noProof/>
        </w:rPr>
      </w:pPr>
    </w:p>
    <w:p w14:paraId="0E0431A8" w14:textId="77777777" w:rsidR="00071FD1" w:rsidRPr="00071FD1" w:rsidRDefault="00071FD1" w:rsidP="00624057">
      <w:pPr>
        <w:widowControl w:val="0"/>
        <w:suppressAutoHyphens/>
        <w:spacing w:after="0" w:line="480" w:lineRule="auto"/>
        <w:ind w:left="567" w:hanging="567"/>
        <w:jc w:val="both"/>
        <w:rPr>
          <w:rFonts w:ascii="Arial" w:hAnsi="Arial" w:cs="Arial"/>
          <w:b/>
          <w:noProof/>
        </w:rPr>
      </w:pPr>
      <w:r w:rsidRPr="00071FD1">
        <w:rPr>
          <w:rFonts w:ascii="Arial" w:hAnsi="Arial" w:cs="Arial"/>
          <w:b/>
          <w:noProof/>
        </w:rPr>
        <w:t>4.3</w:t>
      </w:r>
      <w:r w:rsidRPr="00071FD1">
        <w:rPr>
          <w:rFonts w:ascii="Arial" w:hAnsi="Arial" w:cs="Arial"/>
          <w:b/>
          <w:noProof/>
        </w:rPr>
        <w:tab/>
        <w:t>Contraindications</w:t>
      </w:r>
    </w:p>
    <w:p w14:paraId="51F1C39C" w14:textId="77777777" w:rsidR="00071FD1" w:rsidRPr="00071FD1" w:rsidRDefault="00071FD1" w:rsidP="00624057">
      <w:pPr>
        <w:pStyle w:val="ListParagraph"/>
        <w:widowControl w:val="0"/>
        <w:numPr>
          <w:ilvl w:val="0"/>
          <w:numId w:val="17"/>
        </w:numPr>
        <w:suppressAutoHyphens/>
        <w:spacing w:after="0" w:line="480" w:lineRule="auto"/>
        <w:ind w:left="289" w:hanging="284"/>
        <w:jc w:val="both"/>
        <w:rPr>
          <w:rFonts w:ascii="Arial" w:hAnsi="Arial" w:cs="Arial"/>
          <w:bCs/>
          <w:noProof/>
        </w:rPr>
      </w:pPr>
      <w:r w:rsidRPr="00071FD1">
        <w:rPr>
          <w:rFonts w:ascii="Arial" w:hAnsi="Arial" w:cs="Arial"/>
          <w:bCs/>
          <w:noProof/>
        </w:rPr>
        <w:t>Hypersensitivity to celecoxib, or any other excipient of CELECOXIB BIOTECH (see section 6.1).</w:t>
      </w:r>
    </w:p>
    <w:p w14:paraId="42EA1FBF" w14:textId="77777777" w:rsidR="00071FD1" w:rsidRPr="00071FD1" w:rsidRDefault="00071FD1" w:rsidP="00624057">
      <w:pPr>
        <w:pStyle w:val="ListParagraph"/>
        <w:widowControl w:val="0"/>
        <w:numPr>
          <w:ilvl w:val="0"/>
          <w:numId w:val="17"/>
        </w:numPr>
        <w:suppressAutoHyphens/>
        <w:spacing w:after="0" w:line="480" w:lineRule="auto"/>
        <w:ind w:left="289" w:hanging="284"/>
        <w:jc w:val="both"/>
        <w:rPr>
          <w:rFonts w:ascii="Arial" w:hAnsi="Arial" w:cs="Arial"/>
          <w:bCs/>
          <w:noProof/>
        </w:rPr>
      </w:pPr>
      <w:r w:rsidRPr="00071FD1">
        <w:rPr>
          <w:rFonts w:ascii="Arial" w:hAnsi="Arial" w:cs="Arial"/>
          <w:bCs/>
          <w:noProof/>
        </w:rPr>
        <w:t>Known hypersensitivity to sulphonamide.</w:t>
      </w:r>
    </w:p>
    <w:p w14:paraId="2AD0C7B1" w14:textId="77777777" w:rsidR="00071FD1" w:rsidRPr="00071FD1" w:rsidRDefault="00071FD1" w:rsidP="00624057">
      <w:pPr>
        <w:pStyle w:val="ListParagraph"/>
        <w:widowControl w:val="0"/>
        <w:numPr>
          <w:ilvl w:val="0"/>
          <w:numId w:val="17"/>
        </w:numPr>
        <w:suppressAutoHyphens/>
        <w:spacing w:after="0" w:line="480" w:lineRule="auto"/>
        <w:ind w:left="289" w:hanging="284"/>
        <w:jc w:val="both"/>
        <w:rPr>
          <w:rFonts w:ascii="Arial" w:hAnsi="Arial" w:cs="Arial"/>
          <w:bCs/>
          <w:noProof/>
        </w:rPr>
      </w:pPr>
      <w:r w:rsidRPr="00071FD1">
        <w:rPr>
          <w:rFonts w:ascii="Arial" w:hAnsi="Arial" w:cs="Arial"/>
          <w:bCs/>
          <w:noProof/>
        </w:rPr>
        <w:t>Severe hepatic impairment (serum albumin &lt; 25 g/L or Child-Pugh score &gt; 10</w:t>
      </w:r>
      <w:r w:rsidRPr="00071FD1">
        <w:rPr>
          <w:rFonts w:ascii="Arial" w:hAnsi="Arial" w:cs="Arial"/>
          <w:noProof/>
        </w:rPr>
        <w:t>).</w:t>
      </w:r>
    </w:p>
    <w:p w14:paraId="26899AF5" w14:textId="77777777" w:rsidR="00071FD1" w:rsidRPr="00071FD1" w:rsidRDefault="00071FD1" w:rsidP="00624057">
      <w:pPr>
        <w:pStyle w:val="ListParagraph"/>
        <w:widowControl w:val="0"/>
        <w:numPr>
          <w:ilvl w:val="0"/>
          <w:numId w:val="17"/>
        </w:numPr>
        <w:suppressAutoHyphens/>
        <w:spacing w:after="0" w:line="480" w:lineRule="auto"/>
        <w:ind w:left="289" w:hanging="284"/>
        <w:jc w:val="both"/>
        <w:rPr>
          <w:rFonts w:ascii="Arial" w:hAnsi="Arial" w:cs="Arial"/>
          <w:bCs/>
          <w:noProof/>
        </w:rPr>
      </w:pPr>
      <w:r w:rsidRPr="00071FD1">
        <w:rPr>
          <w:rFonts w:ascii="Arial" w:hAnsi="Arial" w:cs="Arial"/>
          <w:bCs/>
          <w:noProof/>
        </w:rPr>
        <w:t>Severe renal impairment with estimated creatinine clearance &lt; 30 mL/min.</w:t>
      </w:r>
    </w:p>
    <w:p w14:paraId="080A71B0" w14:textId="77777777" w:rsidR="00071FD1" w:rsidRPr="00071FD1" w:rsidRDefault="00071FD1" w:rsidP="00624057">
      <w:pPr>
        <w:pStyle w:val="ListParagraph"/>
        <w:widowControl w:val="0"/>
        <w:numPr>
          <w:ilvl w:val="0"/>
          <w:numId w:val="17"/>
        </w:numPr>
        <w:suppressAutoHyphens/>
        <w:spacing w:after="0" w:line="480" w:lineRule="auto"/>
        <w:ind w:left="312" w:hanging="312"/>
        <w:jc w:val="both"/>
        <w:rPr>
          <w:rFonts w:ascii="Arial" w:hAnsi="Arial" w:cs="Arial"/>
          <w:bCs/>
          <w:noProof/>
        </w:rPr>
      </w:pPr>
      <w:r w:rsidRPr="00071FD1">
        <w:rPr>
          <w:rFonts w:ascii="Arial" w:hAnsi="Arial" w:cs="Arial"/>
          <w:bCs/>
          <w:noProof/>
        </w:rPr>
        <w:t xml:space="preserve">Asthma, urticaria or allergic-type reactions precipitated by aspirin or nonsteroidal anti-inflammatory drugs (NSAIDs), including other cyclooxygenase 2 (COX-2) specific inhibitors. </w:t>
      </w:r>
    </w:p>
    <w:p w14:paraId="13B827C2" w14:textId="77777777" w:rsidR="00071FD1" w:rsidRPr="00071FD1" w:rsidRDefault="00071FD1" w:rsidP="00624057">
      <w:pPr>
        <w:pStyle w:val="ListParagraph"/>
        <w:widowControl w:val="0"/>
        <w:numPr>
          <w:ilvl w:val="0"/>
          <w:numId w:val="17"/>
        </w:numPr>
        <w:suppressAutoHyphens/>
        <w:spacing w:after="0" w:line="480" w:lineRule="auto"/>
        <w:ind w:left="312" w:hanging="312"/>
        <w:jc w:val="both"/>
        <w:rPr>
          <w:rFonts w:ascii="Arial" w:hAnsi="Arial" w:cs="Arial"/>
          <w:bCs/>
          <w:noProof/>
        </w:rPr>
      </w:pPr>
      <w:r w:rsidRPr="00071FD1">
        <w:rPr>
          <w:rFonts w:ascii="Arial" w:hAnsi="Arial" w:cs="Arial"/>
          <w:bCs/>
          <w:noProof/>
        </w:rPr>
        <w:t xml:space="preserve">Established ischaemic heart disease and/or cerebrovascular disease (stroke) and peripheral arterial disease. </w:t>
      </w:r>
    </w:p>
    <w:p w14:paraId="1ADA0782" w14:textId="77777777" w:rsidR="00071FD1" w:rsidRPr="00071FD1" w:rsidRDefault="00071FD1" w:rsidP="00624057">
      <w:pPr>
        <w:pStyle w:val="ListParagraph"/>
        <w:widowControl w:val="0"/>
        <w:numPr>
          <w:ilvl w:val="0"/>
          <w:numId w:val="17"/>
        </w:numPr>
        <w:suppressAutoHyphens/>
        <w:spacing w:after="0" w:line="480" w:lineRule="auto"/>
        <w:ind w:left="312" w:hanging="312"/>
        <w:jc w:val="both"/>
        <w:rPr>
          <w:rFonts w:ascii="Arial" w:hAnsi="Arial" w:cs="Arial"/>
          <w:bCs/>
          <w:noProof/>
        </w:rPr>
      </w:pPr>
      <w:r w:rsidRPr="00071FD1">
        <w:rPr>
          <w:rFonts w:ascii="Arial" w:hAnsi="Arial" w:cs="Arial"/>
          <w:bCs/>
          <w:noProof/>
        </w:rPr>
        <w:t>Perioperative analgesia against the background of coronary artery bypass surgery (CABG).</w:t>
      </w:r>
    </w:p>
    <w:p w14:paraId="395ECB63" w14:textId="0F1BC9E1" w:rsidR="00071FD1" w:rsidRPr="00071FD1" w:rsidRDefault="00071FD1" w:rsidP="00624057">
      <w:pPr>
        <w:pStyle w:val="ListParagraph"/>
        <w:widowControl w:val="0"/>
        <w:numPr>
          <w:ilvl w:val="0"/>
          <w:numId w:val="17"/>
        </w:numPr>
        <w:suppressAutoHyphens/>
        <w:spacing w:after="0" w:line="480" w:lineRule="auto"/>
        <w:ind w:left="312" w:hanging="312"/>
        <w:jc w:val="both"/>
        <w:rPr>
          <w:rFonts w:ascii="Arial" w:hAnsi="Arial" w:cs="Arial"/>
          <w:bCs/>
          <w:noProof/>
        </w:rPr>
      </w:pPr>
      <w:r w:rsidRPr="00071FD1">
        <w:rPr>
          <w:rFonts w:ascii="Arial" w:hAnsi="Arial" w:cs="Arial"/>
          <w:bCs/>
          <w:noProof/>
        </w:rPr>
        <w:t>Active peptic ulceration or gastrointestinal (GI) bleeding</w:t>
      </w:r>
    </w:p>
    <w:p w14:paraId="04AD618C" w14:textId="381C75E9" w:rsidR="00071FD1" w:rsidRPr="00071FD1" w:rsidRDefault="00071FD1" w:rsidP="00624057">
      <w:pPr>
        <w:pStyle w:val="ListParagraph"/>
        <w:widowControl w:val="0"/>
        <w:numPr>
          <w:ilvl w:val="0"/>
          <w:numId w:val="17"/>
        </w:numPr>
        <w:suppressAutoHyphens/>
        <w:spacing w:after="0" w:line="480" w:lineRule="auto"/>
        <w:ind w:left="312" w:hanging="312"/>
        <w:jc w:val="both"/>
        <w:rPr>
          <w:rFonts w:ascii="Arial" w:hAnsi="Arial"/>
          <w:noProof/>
        </w:rPr>
      </w:pPr>
      <w:r w:rsidRPr="00071FD1">
        <w:rPr>
          <w:rFonts w:ascii="Arial" w:hAnsi="Arial" w:cs="Arial"/>
          <w:bCs/>
          <w:noProof/>
        </w:rPr>
        <w:t>Inflammatory bowel disease.</w:t>
      </w:r>
    </w:p>
    <w:p w14:paraId="0A83DD67" w14:textId="77777777" w:rsidR="00071FD1" w:rsidRPr="00071FD1" w:rsidRDefault="00071FD1" w:rsidP="00624057">
      <w:pPr>
        <w:pStyle w:val="ListParagraph"/>
        <w:widowControl w:val="0"/>
        <w:numPr>
          <w:ilvl w:val="0"/>
          <w:numId w:val="17"/>
        </w:numPr>
        <w:suppressAutoHyphens/>
        <w:spacing w:after="0" w:line="480" w:lineRule="auto"/>
        <w:ind w:left="312" w:hanging="312"/>
        <w:jc w:val="both"/>
        <w:rPr>
          <w:rFonts w:ascii="Arial" w:hAnsi="Arial" w:cs="Arial"/>
          <w:bCs/>
          <w:noProof/>
        </w:rPr>
      </w:pPr>
      <w:r w:rsidRPr="00071FD1">
        <w:rPr>
          <w:rFonts w:ascii="Arial" w:hAnsi="Arial" w:cs="Arial"/>
          <w:bCs/>
          <w:noProof/>
        </w:rPr>
        <w:t>In pregnancy and in women of childbearing potential unless using an effective method of contraception (see section 4.6). The potential for human risk in pregnancy is unknown but cannot be excluded.</w:t>
      </w:r>
      <w:r w:rsidRPr="00071FD1">
        <w:rPr>
          <w:rFonts w:ascii="Arial" w:hAnsi="Arial" w:cs="Arial"/>
          <w:bCs/>
          <w:noProof/>
        </w:rPr>
        <w:tab/>
      </w:r>
    </w:p>
    <w:p w14:paraId="7FD16BF7" w14:textId="77777777" w:rsidR="00071FD1" w:rsidRPr="00071FD1" w:rsidRDefault="00071FD1" w:rsidP="00624057">
      <w:pPr>
        <w:pStyle w:val="ListParagraph"/>
        <w:widowControl w:val="0"/>
        <w:numPr>
          <w:ilvl w:val="0"/>
          <w:numId w:val="17"/>
        </w:numPr>
        <w:suppressAutoHyphens/>
        <w:spacing w:after="0" w:line="480" w:lineRule="auto"/>
        <w:ind w:left="312" w:hanging="312"/>
        <w:jc w:val="both"/>
        <w:rPr>
          <w:rFonts w:ascii="Arial" w:hAnsi="Arial" w:cs="Arial"/>
          <w:bCs/>
          <w:noProof/>
        </w:rPr>
      </w:pPr>
      <w:r w:rsidRPr="00071FD1">
        <w:rPr>
          <w:rFonts w:ascii="Arial" w:hAnsi="Arial" w:cs="Arial"/>
          <w:bCs/>
          <w:noProof/>
        </w:rPr>
        <w:t>Breastfeeding (see section 4.6).</w:t>
      </w:r>
    </w:p>
    <w:p w14:paraId="2027E1BC" w14:textId="77777777" w:rsidR="00071FD1" w:rsidRPr="00071FD1" w:rsidRDefault="00071FD1" w:rsidP="00624057">
      <w:pPr>
        <w:pStyle w:val="ListParagraph"/>
        <w:widowControl w:val="0"/>
        <w:suppressAutoHyphens/>
        <w:spacing w:after="0" w:line="480" w:lineRule="auto"/>
        <w:ind w:left="289"/>
        <w:jc w:val="both"/>
        <w:rPr>
          <w:rFonts w:ascii="Arial" w:hAnsi="Arial" w:cs="Arial"/>
          <w:bCs/>
          <w:noProof/>
        </w:rPr>
      </w:pPr>
    </w:p>
    <w:p w14:paraId="350BBEA4" w14:textId="1D4C9CB8" w:rsidR="00071FD1" w:rsidRPr="00071FD1" w:rsidRDefault="00071FD1" w:rsidP="00624057">
      <w:pPr>
        <w:widowControl w:val="0"/>
        <w:suppressAutoHyphens/>
        <w:spacing w:after="0" w:line="480" w:lineRule="auto"/>
        <w:ind w:left="567" w:hanging="567"/>
        <w:jc w:val="both"/>
        <w:rPr>
          <w:rFonts w:ascii="Arial" w:hAnsi="Arial" w:cs="Arial"/>
          <w:b/>
          <w:noProof/>
        </w:rPr>
      </w:pPr>
      <w:r w:rsidRPr="00071FD1">
        <w:rPr>
          <w:rFonts w:ascii="Arial" w:hAnsi="Arial" w:cs="Arial"/>
          <w:noProof/>
          <w:lang w:eastAsia="en-ZA"/>
        </w:rPr>
        <mc:AlternateContent>
          <mc:Choice Requires="wps">
            <w:drawing>
              <wp:anchor distT="45720" distB="45720" distL="114300" distR="114300" simplePos="0" relativeHeight="251664896" behindDoc="0" locked="0" layoutInCell="1" allowOverlap="1" wp14:anchorId="267F21F8" wp14:editId="1D9A34B6">
                <wp:simplePos x="0" y="0"/>
                <wp:positionH relativeFrom="column">
                  <wp:posOffset>-67945</wp:posOffset>
                </wp:positionH>
                <wp:positionV relativeFrom="paragraph">
                  <wp:posOffset>336550</wp:posOffset>
                </wp:positionV>
                <wp:extent cx="6286500" cy="638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38175"/>
                        </a:xfrm>
                        <a:prstGeom prst="rect">
                          <a:avLst/>
                        </a:prstGeom>
                        <a:solidFill>
                          <a:srgbClr val="FFFFFF"/>
                        </a:solidFill>
                        <a:ln w="9525">
                          <a:solidFill>
                            <a:srgbClr val="000000"/>
                          </a:solidFill>
                          <a:miter lim="800000"/>
                          <a:headEnd/>
                          <a:tailEnd/>
                        </a:ln>
                      </wps:spPr>
                      <wps:txbx>
                        <w:txbxContent>
                          <w:p w14:paraId="77A6A24A" w14:textId="77777777" w:rsidR="00071FD1" w:rsidRPr="00036288" w:rsidRDefault="00071FD1" w:rsidP="00916479">
                            <w:pPr>
                              <w:spacing w:line="480" w:lineRule="auto"/>
                              <w:rPr>
                                <w:rFonts w:ascii="Arial" w:hAnsi="Arial" w:cs="Arial"/>
                                <w:b/>
                                <w:noProof/>
                              </w:rPr>
                            </w:pPr>
                            <w:r w:rsidRPr="00036288">
                              <w:rPr>
                                <w:rFonts w:ascii="Arial" w:hAnsi="Arial" w:cs="Arial"/>
                                <w:b/>
                                <w:noProof/>
                              </w:rPr>
                              <w:t xml:space="preserve">CELECOXIB </w:t>
                            </w:r>
                            <w:r w:rsidRPr="00036288">
                              <w:rPr>
                                <w:rFonts w:ascii="Arial" w:hAnsi="Arial" w:cs="Arial"/>
                                <w:b/>
                                <w:color w:val="000000"/>
                              </w:rPr>
                              <w:t xml:space="preserve">BIOTECH may predispose to cardiovascular incidents, cerebrovascular incidents, gastrointestinal events or cutaneous reactions that may be fatal. </w:t>
                            </w:r>
                            <w:r w:rsidRPr="00036288">
                              <w:rPr>
                                <w:rFonts w:ascii="Arial" w:hAnsi="Arial" w:cs="Arial"/>
                                <w:b/>
                                <w:color w:val="00000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67F21F8" id="_x0000_t202" coordsize="21600,21600" o:spt="202" path="m,l,21600r21600,l21600,xe">
                <v:stroke joinstyle="miter"/>
                <v:path gradientshapeok="t" o:connecttype="rect"/>
              </v:shapetype>
              <v:shape id="Text Box 2" o:spid="_x0000_s1026" type="#_x0000_t202" style="position:absolute;left:0;text-align:left;margin-left:-5.35pt;margin-top:26.5pt;width:495pt;height:50.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">
                <v:textbox>
                  <w:txbxContent>
                    <w:p w14:paraId="77A6A24A" w14:textId="77777777" w:rsidR="00071FD1" w:rsidRPr="00036288" w:rsidRDefault="00071FD1" w:rsidP="00916479">
                      <w:pPr>
                        <w:spacing w:line="480" w:lineRule="auto"/>
                        <w:rPr>
                          <w:rFonts w:ascii="Arial" w:hAnsi="Arial" w:cs="Arial"/>
                          <w:b/>
                          <w:noProof/>
                        </w:rPr>
                      </w:pPr>
                      <w:r w:rsidRPr="00036288">
                        <w:rPr>
                          <w:rFonts w:ascii="Arial" w:hAnsi="Arial" w:cs="Arial"/>
                          <w:b/>
                          <w:noProof/>
                        </w:rPr>
                        <w:t xml:space="preserve">CELECOXIB </w:t>
                      </w:r>
                      <w:r w:rsidRPr="00036288">
                        <w:rPr>
                          <w:rFonts w:ascii="Arial" w:hAnsi="Arial" w:cs="Arial"/>
                          <w:b/>
                          <w:color w:val="000000"/>
                        </w:rPr>
                        <w:t xml:space="preserve">BIOTECH may predispose to cardiovascular incidents, cerebrovascular incidents, gastrointestinal </w:t>
                      </w:r>
                      <w:proofErr w:type="gramStart"/>
                      <w:r w:rsidRPr="00036288">
                        <w:rPr>
                          <w:rFonts w:ascii="Arial" w:hAnsi="Arial" w:cs="Arial"/>
                          <w:b/>
                          <w:color w:val="000000"/>
                        </w:rPr>
                        <w:t>events</w:t>
                      </w:r>
                      <w:proofErr w:type="gramEnd"/>
                      <w:r w:rsidRPr="00036288">
                        <w:rPr>
                          <w:rFonts w:ascii="Arial" w:hAnsi="Arial" w:cs="Arial"/>
                          <w:b/>
                          <w:color w:val="000000"/>
                        </w:rPr>
                        <w:t xml:space="preserve"> or cutaneous reactions that may be fatal. </w:t>
                      </w:r>
                      <w:r w:rsidRPr="00036288">
                        <w:rPr>
                          <w:rFonts w:ascii="Arial" w:hAnsi="Arial" w:cs="Arial"/>
                          <w:b/>
                          <w:color w:val="000000"/>
                        </w:rPr>
                        <w:tab/>
                      </w:r>
                    </w:p>
                  </w:txbxContent>
                </v:textbox>
                <w10:wrap type="square"/>
              </v:shape>
            </w:pict>
          </mc:Fallback>
        </mc:AlternateContent>
      </w:r>
      <w:r w:rsidRPr="00071FD1">
        <w:rPr>
          <w:rFonts w:ascii="Arial" w:hAnsi="Arial" w:cs="Arial"/>
          <w:b/>
          <w:noProof/>
        </w:rPr>
        <w:t>4.4</w:t>
      </w:r>
      <w:r w:rsidRPr="00071FD1">
        <w:rPr>
          <w:rFonts w:ascii="Arial" w:hAnsi="Arial" w:cs="Arial"/>
          <w:b/>
          <w:noProof/>
        </w:rPr>
        <w:tab/>
        <w:t>Special warnings and precautions for use</w:t>
      </w:r>
    </w:p>
    <w:p w14:paraId="1E9D6F26" w14:textId="00CEEC51" w:rsidR="00071FD1" w:rsidRPr="00071FD1" w:rsidRDefault="00071FD1" w:rsidP="00624057">
      <w:pPr>
        <w:widowControl w:val="0"/>
        <w:suppressAutoHyphens/>
        <w:spacing w:after="0" w:line="480" w:lineRule="auto"/>
        <w:jc w:val="both"/>
        <w:rPr>
          <w:rFonts w:ascii="Arial" w:hAnsi="Arial" w:cs="Arial"/>
          <w:noProof/>
          <w:lang w:eastAsia="en-ZA"/>
        </w:rPr>
      </w:pPr>
    </w:p>
    <w:p w14:paraId="18BDC8EB" w14:textId="1A599719" w:rsidR="00071FD1" w:rsidRPr="00071FD1" w:rsidRDefault="00071FD1" w:rsidP="00624057">
      <w:pPr>
        <w:widowControl w:val="0"/>
        <w:suppressAutoHyphens/>
        <w:spacing w:after="0" w:line="480" w:lineRule="auto"/>
        <w:jc w:val="both"/>
        <w:rPr>
          <w:rFonts w:ascii="Arial" w:hAnsi="Arial" w:cs="Arial"/>
          <w:noProof/>
          <w:lang w:eastAsia="en-ZA"/>
        </w:rPr>
      </w:pPr>
      <w:r w:rsidRPr="00071FD1">
        <w:rPr>
          <w:rFonts w:ascii="Arial" w:hAnsi="Arial" w:cs="Arial"/>
          <w:bCs/>
          <w:noProof/>
        </w:rPr>
        <w:t xml:space="preserve">Safety and efficacy of CELECOXIB </w:t>
      </w:r>
      <w:r w:rsidRPr="00071FD1">
        <w:rPr>
          <w:rFonts w:ascii="Arial" w:hAnsi="Arial" w:cs="Arial"/>
          <w:bCs/>
          <w:color w:val="000000"/>
        </w:rPr>
        <w:t>BIOTECH</w:t>
      </w:r>
      <w:r w:rsidRPr="00071FD1">
        <w:rPr>
          <w:rFonts w:ascii="Arial" w:hAnsi="Arial" w:cs="Arial"/>
          <w:b/>
          <w:color w:val="000000"/>
        </w:rPr>
        <w:t xml:space="preserve"> </w:t>
      </w:r>
      <w:r w:rsidRPr="00071FD1">
        <w:rPr>
          <w:rFonts w:ascii="Arial" w:hAnsi="Arial" w:cs="Arial"/>
          <w:bCs/>
          <w:noProof/>
        </w:rPr>
        <w:t>have not been established for treatment exceeding 12 weeks in osteoarthritis and 24 weeks in rheumatoid arthritis.</w:t>
      </w:r>
    </w:p>
    <w:p w14:paraId="43D1971E" w14:textId="77777777" w:rsidR="00071FD1" w:rsidRPr="00071FD1" w:rsidRDefault="00071FD1" w:rsidP="00624057">
      <w:pPr>
        <w:widowControl w:val="0"/>
        <w:suppressAutoHyphens/>
        <w:spacing w:after="0" w:line="480" w:lineRule="auto"/>
        <w:jc w:val="both"/>
        <w:rPr>
          <w:rFonts w:ascii="Arial" w:hAnsi="Arial" w:cs="Arial"/>
          <w:noProof/>
          <w:lang w:eastAsia="en-ZA"/>
        </w:rPr>
      </w:pPr>
    </w:p>
    <w:p w14:paraId="5A9F3922" w14:textId="77777777" w:rsidR="00071FD1" w:rsidRPr="00071FD1" w:rsidRDefault="00071FD1" w:rsidP="00624057">
      <w:pPr>
        <w:widowControl w:val="0"/>
        <w:suppressAutoHyphens/>
        <w:spacing w:after="0" w:line="480" w:lineRule="auto"/>
        <w:jc w:val="both"/>
        <w:rPr>
          <w:rFonts w:ascii="Arial" w:hAnsi="Arial" w:cs="Arial"/>
          <w:b/>
          <w:bCs/>
          <w:i/>
          <w:iCs/>
          <w:noProof/>
          <w:lang w:eastAsia="en-ZA"/>
        </w:rPr>
      </w:pPr>
      <w:r w:rsidRPr="00071FD1">
        <w:rPr>
          <w:rFonts w:ascii="Arial" w:hAnsi="Arial" w:cs="Arial"/>
          <w:b/>
          <w:bCs/>
          <w:i/>
          <w:iCs/>
          <w:noProof/>
          <w:lang w:eastAsia="en-ZA"/>
        </w:rPr>
        <w:t>Cardiovascular effects</w:t>
      </w:r>
    </w:p>
    <w:p w14:paraId="295FA206" w14:textId="77777777" w:rsidR="00071FD1" w:rsidRPr="00071FD1" w:rsidRDefault="00071FD1" w:rsidP="00624057">
      <w:pPr>
        <w:widowControl w:val="0"/>
        <w:suppressAutoHyphens/>
        <w:spacing w:after="0" w:line="480" w:lineRule="auto"/>
        <w:jc w:val="both"/>
        <w:rPr>
          <w:rFonts w:ascii="Arial" w:hAnsi="Arial" w:cs="Arial"/>
          <w:noProof/>
          <w:lang w:eastAsia="en-ZA"/>
        </w:rPr>
      </w:pPr>
      <w:r w:rsidRPr="00071FD1">
        <w:rPr>
          <w:rFonts w:ascii="Arial" w:hAnsi="Arial" w:cs="Arial"/>
          <w:noProof/>
          <w:lang w:eastAsia="en-ZA"/>
        </w:rPr>
        <w:t xml:space="preserve">Increased number of serious cardiovascular (CV) events, mainly myocardial infarction, has been reported </w:t>
      </w:r>
      <w:r w:rsidRPr="00071FD1">
        <w:rPr>
          <w:rFonts w:ascii="Arial" w:hAnsi="Arial" w:cs="Arial"/>
          <w:noProof/>
          <w:lang w:eastAsia="en-ZA"/>
        </w:rPr>
        <w:lastRenderedPageBreak/>
        <w:t xml:space="preserve">in patients with sporadic adenomatous polyps treated with celecoxib (as in </w:t>
      </w:r>
      <w:r w:rsidRPr="00071FD1">
        <w:rPr>
          <w:rFonts w:ascii="Arial" w:hAnsi="Arial" w:cs="Arial"/>
          <w:bCs/>
          <w:noProof/>
        </w:rPr>
        <w:t xml:space="preserve">CELECOXIB </w:t>
      </w:r>
      <w:r w:rsidRPr="00071FD1">
        <w:rPr>
          <w:rFonts w:ascii="Arial" w:hAnsi="Arial" w:cs="Arial"/>
          <w:bCs/>
          <w:color w:val="000000"/>
        </w:rPr>
        <w:t>BIOTECH</w:t>
      </w:r>
      <w:r w:rsidRPr="00071FD1">
        <w:rPr>
          <w:rFonts w:ascii="Arial" w:hAnsi="Arial" w:cs="Arial"/>
          <w:noProof/>
          <w:lang w:eastAsia="en-ZA"/>
        </w:rPr>
        <w:t>) at doses of 200 mg twice daily and 400 mg twice daily, compared to placebo (see section 5.1).</w:t>
      </w:r>
    </w:p>
    <w:p w14:paraId="54D77D65" w14:textId="77777777" w:rsidR="00071FD1" w:rsidRPr="00071FD1" w:rsidRDefault="00071FD1" w:rsidP="00624057">
      <w:pPr>
        <w:widowControl w:val="0"/>
        <w:suppressAutoHyphens/>
        <w:spacing w:after="0" w:line="480" w:lineRule="auto"/>
        <w:jc w:val="both"/>
        <w:rPr>
          <w:rFonts w:ascii="Arial" w:hAnsi="Arial" w:cs="Arial"/>
          <w:noProof/>
          <w:lang w:eastAsia="en-ZA"/>
        </w:rPr>
      </w:pPr>
    </w:p>
    <w:p w14:paraId="69F274E3" w14:textId="77777777" w:rsidR="00071FD1" w:rsidRPr="00071FD1" w:rsidRDefault="00071FD1" w:rsidP="00624057">
      <w:pPr>
        <w:widowControl w:val="0"/>
        <w:suppressAutoHyphens/>
        <w:spacing w:after="0" w:line="480" w:lineRule="auto"/>
        <w:jc w:val="both"/>
        <w:rPr>
          <w:rFonts w:ascii="Arial" w:hAnsi="Arial" w:cs="Arial"/>
          <w:noProof/>
          <w:lang w:eastAsia="en-ZA"/>
        </w:rPr>
      </w:pPr>
      <w:r w:rsidRPr="00071FD1">
        <w:rPr>
          <w:rFonts w:ascii="Arial" w:hAnsi="Arial" w:cs="Arial"/>
          <w:noProof/>
          <w:lang w:eastAsia="en-ZA"/>
        </w:rPr>
        <w:t xml:space="preserve">As the cardiovascular risks of </w:t>
      </w:r>
      <w:r w:rsidRPr="00071FD1">
        <w:rPr>
          <w:rFonts w:ascii="Arial" w:hAnsi="Arial" w:cs="Arial"/>
          <w:bCs/>
          <w:noProof/>
        </w:rPr>
        <w:t xml:space="preserve">CELECOXIB </w:t>
      </w:r>
      <w:r w:rsidRPr="00071FD1">
        <w:rPr>
          <w:rFonts w:ascii="Arial" w:hAnsi="Arial" w:cs="Arial"/>
          <w:bCs/>
          <w:color w:val="000000"/>
        </w:rPr>
        <w:t>BIOTECH</w:t>
      </w:r>
      <w:r w:rsidRPr="00071FD1">
        <w:rPr>
          <w:rFonts w:ascii="Arial" w:hAnsi="Arial" w:cs="Arial"/>
          <w:noProof/>
          <w:lang w:eastAsia="en-ZA"/>
        </w:rPr>
        <w:t xml:space="preserve"> may increase with dose and duration of exposure, the shortest duration possible and the lowest effective daily dose should be used. NSAIDs, including COX-2 selective inhibitors, have been associated with increased risk of cardiovascular and thrombotic adverse events when taken long term. The exact magnitude of the risk associated with a single dose has not been determined, nor has the exact duration of therapy associated with increased risk. The patient's need for symptomatic relief and response to therapy should be re-evaluated periodically, especially in patients with osteoarthritis (see sections 4.2, 4.3, 4.8 and 5.1).</w:t>
      </w:r>
    </w:p>
    <w:p w14:paraId="157B2992" w14:textId="77777777" w:rsidR="00071FD1" w:rsidRPr="00071FD1" w:rsidRDefault="00071FD1" w:rsidP="00624057">
      <w:pPr>
        <w:widowControl w:val="0"/>
        <w:suppressAutoHyphens/>
        <w:spacing w:after="0" w:line="480" w:lineRule="auto"/>
        <w:jc w:val="both"/>
        <w:rPr>
          <w:rFonts w:ascii="Arial" w:hAnsi="Arial" w:cs="Arial"/>
          <w:noProof/>
          <w:lang w:eastAsia="en-ZA"/>
        </w:rPr>
      </w:pPr>
    </w:p>
    <w:p w14:paraId="30F6783E" w14:textId="77777777" w:rsidR="00071FD1" w:rsidRPr="00071FD1" w:rsidRDefault="00071FD1" w:rsidP="00624057">
      <w:pPr>
        <w:widowControl w:val="0"/>
        <w:suppressAutoHyphens/>
        <w:spacing w:after="0" w:line="480" w:lineRule="auto"/>
        <w:jc w:val="both"/>
        <w:rPr>
          <w:rFonts w:ascii="Arial" w:hAnsi="Arial" w:cs="Arial"/>
          <w:noProof/>
          <w:lang w:eastAsia="en-ZA"/>
        </w:rPr>
      </w:pPr>
      <w:r w:rsidRPr="00071FD1">
        <w:rPr>
          <w:rFonts w:ascii="Arial" w:hAnsi="Arial" w:cs="Arial"/>
          <w:noProof/>
          <w:lang w:eastAsia="en-ZA"/>
        </w:rPr>
        <w:t xml:space="preserve">Caution is advised when </w:t>
      </w:r>
      <w:r w:rsidRPr="00071FD1">
        <w:rPr>
          <w:rFonts w:ascii="Arial" w:hAnsi="Arial" w:cs="Arial"/>
          <w:bCs/>
          <w:noProof/>
        </w:rPr>
        <w:t xml:space="preserve">CELECOXIB </w:t>
      </w:r>
      <w:r w:rsidRPr="00071FD1">
        <w:rPr>
          <w:rFonts w:ascii="Arial" w:hAnsi="Arial" w:cs="Arial"/>
          <w:bCs/>
          <w:color w:val="000000"/>
        </w:rPr>
        <w:t>BIOTECH</w:t>
      </w:r>
      <w:r w:rsidRPr="00071FD1">
        <w:rPr>
          <w:rFonts w:ascii="Arial" w:hAnsi="Arial" w:cs="Arial"/>
          <w:noProof/>
          <w:lang w:eastAsia="en-ZA"/>
        </w:rPr>
        <w:t xml:space="preserve"> is prescribed to patients with risk factors for cardiovascular events (e.g. hypertension, hyperlipidaemia, diabetes mellitus, smoking).</w:t>
      </w:r>
    </w:p>
    <w:p w14:paraId="7A6FB0D2" w14:textId="77777777" w:rsidR="00071FD1" w:rsidRPr="00071FD1" w:rsidRDefault="00071FD1" w:rsidP="00624057">
      <w:pPr>
        <w:widowControl w:val="0"/>
        <w:suppressAutoHyphens/>
        <w:spacing w:after="0" w:line="480" w:lineRule="auto"/>
        <w:jc w:val="both"/>
        <w:rPr>
          <w:rFonts w:ascii="Arial" w:hAnsi="Arial" w:cs="Arial"/>
          <w:noProof/>
          <w:lang w:eastAsia="en-ZA"/>
        </w:rPr>
      </w:pPr>
    </w:p>
    <w:p w14:paraId="29DF6160" w14:textId="77777777" w:rsidR="00071FD1" w:rsidRPr="00071FD1" w:rsidRDefault="00071FD1" w:rsidP="00624057">
      <w:pPr>
        <w:widowControl w:val="0"/>
        <w:suppressAutoHyphens/>
        <w:spacing w:after="0" w:line="480" w:lineRule="auto"/>
        <w:jc w:val="both"/>
        <w:rPr>
          <w:rFonts w:ascii="Arial" w:hAnsi="Arial" w:cs="Arial"/>
          <w:noProof/>
          <w:lang w:eastAsia="en-ZA"/>
        </w:rPr>
      </w:pPr>
      <w:r w:rsidRPr="00071FD1">
        <w:rPr>
          <w:rFonts w:ascii="Arial" w:hAnsi="Arial" w:cs="Arial"/>
          <w:bCs/>
          <w:noProof/>
        </w:rPr>
        <w:t xml:space="preserve">CELECOXIB </w:t>
      </w:r>
      <w:r w:rsidRPr="00071FD1">
        <w:rPr>
          <w:rFonts w:ascii="Arial" w:hAnsi="Arial" w:cs="Arial"/>
          <w:bCs/>
          <w:color w:val="000000"/>
        </w:rPr>
        <w:t>BIOTECH</w:t>
      </w:r>
      <w:r w:rsidRPr="00071FD1">
        <w:rPr>
          <w:rFonts w:ascii="Arial" w:hAnsi="Arial" w:cs="Arial"/>
          <w:noProof/>
          <w:lang w:eastAsia="en-ZA"/>
        </w:rPr>
        <w:t xml:space="preserve"> is not a substitute for aspirin for prophylaxis of cardiovascular thromboembolic diseases because of their lack of antiplatelet effects. Therefore, antiplatelet therapies should not be discontinued.</w:t>
      </w:r>
    </w:p>
    <w:p w14:paraId="79A767BA" w14:textId="77777777" w:rsidR="00071FD1" w:rsidRPr="00071FD1" w:rsidRDefault="00071FD1" w:rsidP="00624057">
      <w:pPr>
        <w:widowControl w:val="0"/>
        <w:suppressAutoHyphens/>
        <w:spacing w:after="0" w:line="480" w:lineRule="auto"/>
        <w:jc w:val="both"/>
        <w:rPr>
          <w:rFonts w:ascii="Arial" w:hAnsi="Arial" w:cs="Arial"/>
          <w:noProof/>
          <w:lang w:eastAsia="en-ZA"/>
        </w:rPr>
      </w:pPr>
    </w:p>
    <w:p w14:paraId="26435231" w14:textId="77777777" w:rsidR="00071FD1" w:rsidRPr="00071FD1" w:rsidRDefault="00071FD1" w:rsidP="00624057">
      <w:pPr>
        <w:widowControl w:val="0"/>
        <w:suppressAutoHyphens/>
        <w:spacing w:after="0" w:line="480" w:lineRule="auto"/>
        <w:jc w:val="both"/>
        <w:rPr>
          <w:rFonts w:ascii="Arial" w:hAnsi="Arial" w:cs="Arial"/>
          <w:b/>
          <w:bCs/>
          <w:i/>
          <w:iCs/>
          <w:noProof/>
          <w:lang w:eastAsia="en-ZA"/>
        </w:rPr>
      </w:pPr>
      <w:r w:rsidRPr="00071FD1">
        <w:rPr>
          <w:rFonts w:ascii="Arial" w:hAnsi="Arial" w:cs="Arial"/>
          <w:b/>
          <w:bCs/>
          <w:i/>
          <w:iCs/>
          <w:noProof/>
          <w:lang w:eastAsia="en-ZA"/>
        </w:rPr>
        <w:t>Anaphylactoid reactions</w:t>
      </w:r>
    </w:p>
    <w:p w14:paraId="7FB4F2F2" w14:textId="77777777" w:rsidR="00071FD1" w:rsidRPr="00071FD1" w:rsidRDefault="00071FD1" w:rsidP="00624057">
      <w:pPr>
        <w:widowControl w:val="0"/>
        <w:suppressAutoHyphens/>
        <w:spacing w:after="0" w:line="480" w:lineRule="auto"/>
        <w:jc w:val="both"/>
        <w:rPr>
          <w:rFonts w:ascii="Arial" w:hAnsi="Arial" w:cs="Arial"/>
          <w:noProof/>
          <w:lang w:eastAsia="en-ZA"/>
        </w:rPr>
      </w:pPr>
      <w:r w:rsidRPr="00071FD1">
        <w:rPr>
          <w:rFonts w:ascii="Arial" w:hAnsi="Arial" w:cs="Arial"/>
          <w:noProof/>
          <w:lang w:eastAsia="en-ZA"/>
        </w:rPr>
        <w:t xml:space="preserve">As with NSAIDs in general, anaphylactoid reactions occurred in patients exposed to </w:t>
      </w:r>
      <w:r w:rsidRPr="00071FD1">
        <w:rPr>
          <w:rFonts w:ascii="Arial" w:hAnsi="Arial" w:cs="Arial"/>
          <w:bCs/>
          <w:noProof/>
        </w:rPr>
        <w:t xml:space="preserve">CELECOXIB </w:t>
      </w:r>
      <w:r w:rsidRPr="00071FD1">
        <w:rPr>
          <w:rFonts w:ascii="Arial" w:hAnsi="Arial" w:cs="Arial"/>
          <w:bCs/>
          <w:color w:val="000000"/>
        </w:rPr>
        <w:t>BIOTECH</w:t>
      </w:r>
      <w:r w:rsidRPr="00071FD1">
        <w:rPr>
          <w:rFonts w:ascii="Arial" w:hAnsi="Arial" w:cs="Arial"/>
          <w:noProof/>
          <w:lang w:eastAsia="en-ZA"/>
        </w:rPr>
        <w:t xml:space="preserve"> (see sections 4.3).</w:t>
      </w:r>
    </w:p>
    <w:p w14:paraId="5BD92340" w14:textId="77777777" w:rsidR="00071FD1" w:rsidRPr="00071FD1" w:rsidRDefault="00071FD1" w:rsidP="00624057">
      <w:pPr>
        <w:widowControl w:val="0"/>
        <w:suppressAutoHyphens/>
        <w:spacing w:after="0" w:line="480" w:lineRule="auto"/>
        <w:jc w:val="both"/>
        <w:rPr>
          <w:rFonts w:ascii="Arial" w:hAnsi="Arial" w:cs="Arial"/>
          <w:noProof/>
          <w:lang w:eastAsia="en-ZA"/>
        </w:rPr>
      </w:pPr>
    </w:p>
    <w:p w14:paraId="342A3979" w14:textId="77777777" w:rsidR="00071FD1" w:rsidRPr="00071FD1" w:rsidRDefault="00071FD1" w:rsidP="0098102B">
      <w:pPr>
        <w:widowControl w:val="0"/>
        <w:suppressAutoHyphens/>
        <w:spacing w:after="0" w:line="480" w:lineRule="auto"/>
        <w:rPr>
          <w:rFonts w:ascii="Arial" w:hAnsi="Arial" w:cs="Arial"/>
          <w:b/>
          <w:noProof/>
        </w:rPr>
      </w:pPr>
      <w:r w:rsidRPr="00071FD1">
        <w:rPr>
          <w:rFonts w:ascii="Arial" w:hAnsi="Arial" w:cs="Arial"/>
          <w:b/>
          <w:bCs/>
          <w:i/>
          <w:iCs/>
          <w:color w:val="000000"/>
        </w:rPr>
        <w:t>Gastrointestinal (GI) effects</w:t>
      </w:r>
      <w:r w:rsidRPr="00071FD1">
        <w:rPr>
          <w:rFonts w:ascii="Arial" w:hAnsi="Arial" w:cs="Arial"/>
          <w:color w:val="000000"/>
        </w:rPr>
        <w:br/>
        <w:t xml:space="preserve">Upper and lower gastrointestinal complications (perforations, ulcers or bleedings (PUBs)), some resulting in fatalities, have occurred in patients treated with celecoxib (as in CELECOXIB BIOTECH). Caution is advised with treatment of patients most at risk of developing a gastrointestinal complication with NSAIDs; the elderly, patients using any other NSAID or antiplatelet medicine (such as aspirin) or </w:t>
      </w:r>
      <w:r w:rsidRPr="00071FD1">
        <w:rPr>
          <w:rFonts w:ascii="Arial" w:hAnsi="Arial" w:cs="Arial"/>
          <w:color w:val="000000"/>
        </w:rPr>
        <w:lastRenderedPageBreak/>
        <w:t>glucocorticoids concomitantly, patients using alcohol, or patients with a prior history of or active gastrointestinal disease, such as ulceration and GI bleeding.</w:t>
      </w:r>
    </w:p>
    <w:p w14:paraId="52EBAE06" w14:textId="77777777" w:rsidR="00071FD1" w:rsidRPr="00071FD1" w:rsidRDefault="00071FD1" w:rsidP="00624057">
      <w:pPr>
        <w:widowControl w:val="0"/>
        <w:suppressAutoHyphens/>
        <w:spacing w:after="0" w:line="480" w:lineRule="auto"/>
        <w:jc w:val="both"/>
        <w:rPr>
          <w:rFonts w:ascii="Arial" w:hAnsi="Arial" w:cs="Arial"/>
          <w:color w:val="000000"/>
        </w:rPr>
      </w:pPr>
    </w:p>
    <w:p w14:paraId="367FF891" w14:textId="77777777" w:rsidR="00071FD1" w:rsidRPr="00071FD1" w:rsidRDefault="00071FD1" w:rsidP="00624057">
      <w:pPr>
        <w:widowControl w:val="0"/>
        <w:suppressAutoHyphens/>
        <w:spacing w:after="0" w:line="480" w:lineRule="auto"/>
        <w:jc w:val="both"/>
        <w:rPr>
          <w:rFonts w:ascii="Arial" w:hAnsi="Arial" w:cs="Arial"/>
          <w:color w:val="000000"/>
        </w:rPr>
      </w:pPr>
      <w:r w:rsidRPr="00071FD1">
        <w:rPr>
          <w:rFonts w:ascii="Arial" w:hAnsi="Arial" w:cs="Arial"/>
          <w:color w:val="000000"/>
        </w:rPr>
        <w:t>When CELECOXIB BIOTECH is taken concomitantly with aspirin (even at low doses), there is further increase in the risk of gastrointestinal adverse effects for celecoxib (gastrointestinal ulceration or other gastrointestinal complications).</w:t>
      </w:r>
    </w:p>
    <w:p w14:paraId="666FAB17" w14:textId="77777777" w:rsidR="00071FD1" w:rsidRPr="00071FD1" w:rsidRDefault="00071FD1" w:rsidP="00624057">
      <w:pPr>
        <w:widowControl w:val="0"/>
        <w:suppressAutoHyphens/>
        <w:spacing w:after="0" w:line="480" w:lineRule="auto"/>
        <w:jc w:val="both"/>
        <w:rPr>
          <w:rFonts w:ascii="Arial" w:hAnsi="Arial" w:cs="Arial"/>
          <w:color w:val="000000"/>
        </w:rPr>
      </w:pPr>
    </w:p>
    <w:p w14:paraId="65037815" w14:textId="77777777" w:rsidR="00071FD1" w:rsidRPr="00071FD1" w:rsidRDefault="00071FD1" w:rsidP="00624057">
      <w:pPr>
        <w:widowControl w:val="0"/>
        <w:suppressAutoHyphens/>
        <w:spacing w:after="0" w:line="480" w:lineRule="auto"/>
        <w:jc w:val="both"/>
        <w:rPr>
          <w:rFonts w:ascii="Arial" w:hAnsi="Arial" w:cs="Arial"/>
          <w:color w:val="000000"/>
        </w:rPr>
      </w:pPr>
      <w:r w:rsidRPr="00071FD1">
        <w:rPr>
          <w:rFonts w:ascii="Arial" w:hAnsi="Arial" w:cs="Arial"/>
          <w:color w:val="000000"/>
        </w:rPr>
        <w:t>A significant difference in GI safety between selective COX-2 inhibitors plus aspirin vs NSAIDs plus aspirin has not been demonstrated in long-term clinical trials.</w:t>
      </w:r>
    </w:p>
    <w:p w14:paraId="51229897" w14:textId="77777777" w:rsidR="00071FD1" w:rsidRPr="00071FD1" w:rsidRDefault="00071FD1" w:rsidP="00624057">
      <w:pPr>
        <w:widowControl w:val="0"/>
        <w:suppressAutoHyphens/>
        <w:spacing w:after="0" w:line="480" w:lineRule="auto"/>
        <w:jc w:val="both"/>
        <w:rPr>
          <w:rFonts w:ascii="Arial" w:hAnsi="Arial" w:cs="Arial"/>
          <w:color w:val="000000"/>
        </w:rPr>
      </w:pPr>
    </w:p>
    <w:p w14:paraId="3744C654" w14:textId="77777777" w:rsidR="00071FD1" w:rsidRPr="00071FD1" w:rsidRDefault="00071FD1" w:rsidP="0098102B">
      <w:pPr>
        <w:widowControl w:val="0"/>
        <w:suppressAutoHyphens/>
        <w:autoSpaceDE w:val="0"/>
        <w:autoSpaceDN w:val="0"/>
        <w:adjustRightInd w:val="0"/>
        <w:spacing w:after="0" w:line="480" w:lineRule="auto"/>
        <w:rPr>
          <w:rFonts w:ascii="Arial" w:hAnsi="Arial" w:cs="Arial"/>
          <w:color w:val="000000"/>
        </w:rPr>
      </w:pPr>
      <w:r w:rsidRPr="00071FD1">
        <w:rPr>
          <w:rFonts w:ascii="Arial" w:hAnsi="Arial" w:cs="Arial"/>
          <w:b/>
          <w:bCs/>
          <w:i/>
          <w:iCs/>
          <w:color w:val="000000"/>
        </w:rPr>
        <w:t>Concomitant NSAID use</w:t>
      </w:r>
      <w:r w:rsidRPr="00071FD1">
        <w:rPr>
          <w:rFonts w:ascii="Arial" w:hAnsi="Arial" w:cs="Arial"/>
          <w:color w:val="000000"/>
        </w:rPr>
        <w:br/>
        <w:t xml:space="preserve">The concomitant use of </w:t>
      </w:r>
      <w:r w:rsidRPr="00071FD1">
        <w:rPr>
          <w:rFonts w:ascii="Arial" w:hAnsi="Arial" w:cs="Arial"/>
          <w:bCs/>
          <w:noProof/>
        </w:rPr>
        <w:t xml:space="preserve">CELECOXIB BIOTECH </w:t>
      </w:r>
      <w:r w:rsidRPr="00071FD1">
        <w:rPr>
          <w:rFonts w:ascii="Arial" w:hAnsi="Arial" w:cs="Arial"/>
          <w:color w:val="000000"/>
        </w:rPr>
        <w:t>and a non-aspirin NSAID should be avoided.</w:t>
      </w:r>
    </w:p>
    <w:p w14:paraId="64794673" w14:textId="77777777" w:rsidR="00071FD1" w:rsidRPr="00071FD1" w:rsidRDefault="00071FD1" w:rsidP="00624057">
      <w:pPr>
        <w:widowControl w:val="0"/>
        <w:suppressAutoHyphens/>
        <w:spacing w:after="0" w:line="480" w:lineRule="auto"/>
        <w:ind w:left="567" w:hanging="567"/>
        <w:jc w:val="both"/>
        <w:rPr>
          <w:rFonts w:ascii="Arial" w:hAnsi="Arial" w:cs="Arial"/>
          <w:b/>
          <w:noProof/>
        </w:rPr>
      </w:pPr>
    </w:p>
    <w:p w14:paraId="1B90A3FD" w14:textId="77777777" w:rsidR="00071FD1" w:rsidRPr="00071FD1" w:rsidRDefault="00071FD1" w:rsidP="0098102B">
      <w:pPr>
        <w:widowControl w:val="0"/>
        <w:suppressAutoHyphens/>
        <w:spacing w:after="0" w:line="480" w:lineRule="auto"/>
        <w:rPr>
          <w:rFonts w:ascii="Arial" w:hAnsi="Arial" w:cs="Arial"/>
          <w:color w:val="000000"/>
        </w:rPr>
      </w:pPr>
      <w:r w:rsidRPr="00071FD1">
        <w:rPr>
          <w:rFonts w:ascii="Arial" w:hAnsi="Arial" w:cs="Arial"/>
          <w:b/>
          <w:bCs/>
          <w:i/>
          <w:iCs/>
          <w:color w:val="000000"/>
        </w:rPr>
        <w:t>Fluid retention and oedema</w:t>
      </w:r>
      <w:r w:rsidRPr="00071FD1">
        <w:rPr>
          <w:rFonts w:ascii="Arial" w:hAnsi="Arial" w:cs="Arial"/>
          <w:color w:val="000000"/>
        </w:rPr>
        <w:br/>
        <w:t xml:space="preserve">Fluid retention and oedema have been observed in patients taking celecoxib (as in CELECOXIB BIOTECH). Therefore, </w:t>
      </w:r>
      <w:r w:rsidRPr="00071FD1">
        <w:rPr>
          <w:rFonts w:ascii="Arial" w:hAnsi="Arial" w:cs="Arial"/>
          <w:bCs/>
          <w:noProof/>
        </w:rPr>
        <w:t xml:space="preserve">CELECOXIB BIOTECH </w:t>
      </w:r>
      <w:r w:rsidRPr="00071FD1">
        <w:rPr>
          <w:rFonts w:ascii="Arial" w:hAnsi="Arial" w:cs="Arial"/>
          <w:color w:val="000000"/>
        </w:rPr>
        <w:t>should be used with caution in patients with history of cardiac failure, left ventricular dysfunction or hypertension, and in patients with pre-existing oedema from any other reason, since prostaglandin inhibition may result in deterioration of renal function and fluid retention. Caution is also required in patients taking diuretic treatment or otherwise at risk of hypovolaemia.</w:t>
      </w:r>
    </w:p>
    <w:p w14:paraId="16EFDE34" w14:textId="77777777" w:rsidR="00071FD1" w:rsidRPr="00071FD1" w:rsidRDefault="00071FD1" w:rsidP="00624057">
      <w:pPr>
        <w:widowControl w:val="0"/>
        <w:suppressAutoHyphens/>
        <w:spacing w:after="0" w:line="480" w:lineRule="auto"/>
        <w:jc w:val="both"/>
        <w:rPr>
          <w:rFonts w:ascii="Arial" w:hAnsi="Arial" w:cs="Arial"/>
          <w:color w:val="000000"/>
        </w:rPr>
      </w:pPr>
      <w:r w:rsidRPr="00071FD1">
        <w:rPr>
          <w:rFonts w:ascii="Arial" w:hAnsi="Arial" w:cs="Arial"/>
          <w:color w:val="000000"/>
        </w:rPr>
        <w:t>Patients with pre-existing congestive heart failure or hypertension should be closely monitored.</w:t>
      </w:r>
    </w:p>
    <w:p w14:paraId="0B2C3AB3" w14:textId="77777777" w:rsidR="00071FD1" w:rsidRPr="00071FD1" w:rsidRDefault="00071FD1" w:rsidP="00624057">
      <w:pPr>
        <w:widowControl w:val="0"/>
        <w:suppressAutoHyphens/>
        <w:spacing w:after="0" w:line="480" w:lineRule="auto"/>
        <w:jc w:val="both"/>
        <w:rPr>
          <w:rFonts w:ascii="Arial" w:hAnsi="Arial" w:cs="Arial"/>
          <w:noProof/>
        </w:rPr>
      </w:pPr>
    </w:p>
    <w:p w14:paraId="3AD49548" w14:textId="77777777" w:rsidR="00071FD1" w:rsidRPr="00071FD1" w:rsidRDefault="00071FD1" w:rsidP="00624057">
      <w:pPr>
        <w:widowControl w:val="0"/>
        <w:suppressAutoHyphens/>
        <w:spacing w:after="0" w:line="480" w:lineRule="auto"/>
        <w:jc w:val="both"/>
        <w:rPr>
          <w:rFonts w:ascii="Arial" w:hAnsi="Arial" w:cs="Arial"/>
          <w:noProof/>
        </w:rPr>
      </w:pPr>
      <w:r w:rsidRPr="00071FD1">
        <w:rPr>
          <w:rFonts w:ascii="Arial" w:hAnsi="Arial" w:cs="Arial"/>
          <w:b/>
          <w:bCs/>
          <w:i/>
          <w:iCs/>
          <w:color w:val="000000"/>
        </w:rPr>
        <w:t>Hypertension</w:t>
      </w:r>
      <w:r w:rsidRPr="00071FD1">
        <w:rPr>
          <w:rFonts w:ascii="Arial" w:hAnsi="Arial" w:cs="Arial"/>
          <w:color w:val="000000"/>
        </w:rPr>
        <w:br/>
        <w:t xml:space="preserve">NSAIDS, including celecoxib (as in CELECOXIB BIOTECH) can lead to the onset of new hypertension or worsening of pre-existing hypertension, either of which may contribute to the increased incidence of cardiovascular events. Therefore, blood pressure should be monitored closely during the initiation of therapy with </w:t>
      </w:r>
      <w:r w:rsidRPr="00071FD1">
        <w:rPr>
          <w:rFonts w:ascii="Arial" w:hAnsi="Arial" w:cs="Arial"/>
          <w:bCs/>
          <w:noProof/>
        </w:rPr>
        <w:t xml:space="preserve">CELECOXIB BIOTECH </w:t>
      </w:r>
      <w:r w:rsidRPr="00071FD1">
        <w:rPr>
          <w:rFonts w:ascii="Arial" w:hAnsi="Arial" w:cs="Arial"/>
          <w:color w:val="000000"/>
        </w:rPr>
        <w:t>and throughout the course of therapy.</w:t>
      </w:r>
    </w:p>
    <w:p w14:paraId="086FC41A" w14:textId="77777777" w:rsidR="00071FD1" w:rsidRPr="00071FD1" w:rsidRDefault="00071FD1" w:rsidP="00624057">
      <w:pPr>
        <w:widowControl w:val="0"/>
        <w:suppressAutoHyphens/>
        <w:spacing w:after="0" w:line="480" w:lineRule="auto"/>
        <w:jc w:val="both"/>
        <w:rPr>
          <w:rFonts w:ascii="Arial" w:hAnsi="Arial" w:cs="Arial"/>
          <w:noProof/>
        </w:rPr>
      </w:pPr>
    </w:p>
    <w:p w14:paraId="42C2BDDC" w14:textId="77777777" w:rsidR="00071FD1" w:rsidRPr="00071FD1" w:rsidRDefault="00071FD1" w:rsidP="00624057">
      <w:pPr>
        <w:widowControl w:val="0"/>
        <w:suppressAutoHyphens/>
        <w:spacing w:after="0" w:line="480" w:lineRule="auto"/>
        <w:jc w:val="both"/>
        <w:rPr>
          <w:rFonts w:ascii="Arial" w:hAnsi="Arial" w:cs="Arial"/>
          <w:color w:val="000000"/>
        </w:rPr>
      </w:pPr>
      <w:r w:rsidRPr="00071FD1">
        <w:rPr>
          <w:rFonts w:ascii="Arial" w:hAnsi="Arial" w:cs="Arial"/>
          <w:b/>
          <w:bCs/>
          <w:i/>
          <w:iCs/>
          <w:color w:val="000000"/>
        </w:rPr>
        <w:t>Hepatic and renal effects</w:t>
      </w:r>
    </w:p>
    <w:p w14:paraId="43FA8567" w14:textId="77777777" w:rsidR="00071FD1" w:rsidRPr="00071FD1" w:rsidRDefault="00071FD1" w:rsidP="00624057">
      <w:pPr>
        <w:widowControl w:val="0"/>
        <w:suppressAutoHyphens/>
        <w:spacing w:after="0" w:line="480" w:lineRule="auto"/>
        <w:jc w:val="both"/>
        <w:rPr>
          <w:rFonts w:ascii="Arial" w:hAnsi="Arial" w:cs="Arial"/>
          <w:color w:val="000000"/>
        </w:rPr>
      </w:pPr>
      <w:r w:rsidRPr="00071FD1">
        <w:rPr>
          <w:rFonts w:ascii="Arial" w:hAnsi="Arial" w:cs="Arial"/>
          <w:color w:val="000000"/>
        </w:rPr>
        <w:t>Compromised renal or hepatic function and especially cardiac dysfunction are more likely in the elderly and therefore medically appropriate supervision should be maintained.</w:t>
      </w:r>
    </w:p>
    <w:p w14:paraId="7CDC8A25" w14:textId="77777777" w:rsidR="00071FD1" w:rsidRPr="00071FD1" w:rsidRDefault="00071FD1" w:rsidP="00624057">
      <w:pPr>
        <w:widowControl w:val="0"/>
        <w:suppressAutoHyphens/>
        <w:spacing w:after="0" w:line="480" w:lineRule="auto"/>
        <w:jc w:val="both"/>
        <w:rPr>
          <w:rFonts w:ascii="Arial" w:hAnsi="Arial" w:cs="Arial"/>
          <w:bCs/>
          <w:noProof/>
        </w:rPr>
      </w:pPr>
      <w:r w:rsidRPr="00071FD1">
        <w:rPr>
          <w:rFonts w:ascii="Arial" w:hAnsi="Arial" w:cs="Arial"/>
          <w:color w:val="000000"/>
        </w:rPr>
        <w:t xml:space="preserve">NSAIDs, including </w:t>
      </w:r>
      <w:r w:rsidRPr="00071FD1">
        <w:rPr>
          <w:rFonts w:ascii="Arial" w:hAnsi="Arial" w:cs="Arial"/>
          <w:bCs/>
          <w:noProof/>
        </w:rPr>
        <w:t>CELECOXIB BIOTECH</w:t>
      </w:r>
      <w:r w:rsidRPr="00071FD1">
        <w:rPr>
          <w:rFonts w:ascii="Arial" w:hAnsi="Arial" w:cs="Arial"/>
          <w:color w:val="000000"/>
        </w:rPr>
        <w:t xml:space="preserve">, may cause renal toxicity. Celecoxib has shown renal effects similar to those observed with comparator NSAIDs. Patients at greatest risk for renal toxicity are those with impaired renal function, heart failure, liver dysfunction, those taking diuretics, angiotensin converting enzyme (ACE)-inhibitors, angiotensin II receptor antagonists, and the elderly (see section 4.5). Such patients should be carefully monitored while receiving treatment with </w:t>
      </w:r>
      <w:r w:rsidRPr="00071FD1">
        <w:rPr>
          <w:rFonts w:ascii="Arial" w:hAnsi="Arial" w:cs="Arial"/>
          <w:bCs/>
          <w:noProof/>
        </w:rPr>
        <w:t>CELECOXIB BIOTECH.</w:t>
      </w:r>
    </w:p>
    <w:p w14:paraId="33ACA374" w14:textId="77777777" w:rsidR="00071FD1" w:rsidRPr="00071FD1" w:rsidRDefault="00071FD1" w:rsidP="00624057">
      <w:pPr>
        <w:widowControl w:val="0"/>
        <w:suppressAutoHyphens/>
        <w:spacing w:after="0" w:line="480" w:lineRule="auto"/>
        <w:jc w:val="both"/>
        <w:rPr>
          <w:rFonts w:ascii="Arial" w:hAnsi="Arial" w:cs="Arial"/>
          <w:color w:val="000000"/>
        </w:rPr>
      </w:pPr>
      <w:r w:rsidRPr="00071FD1">
        <w:rPr>
          <w:rFonts w:ascii="Arial" w:hAnsi="Arial" w:cs="Arial"/>
          <w:color w:val="000000"/>
        </w:rPr>
        <w:t xml:space="preserve">Some cases of severe hepatic reactions, including fulminant hepatitis (some with fatal outcome), liver necrosis and hepatic failure (some with fatal outcome or requiring liver transplant), have been reported with celecoxib (contained in </w:t>
      </w:r>
      <w:r w:rsidRPr="00071FD1">
        <w:rPr>
          <w:rFonts w:ascii="Arial" w:hAnsi="Arial" w:cs="Arial"/>
          <w:bCs/>
          <w:noProof/>
        </w:rPr>
        <w:t>CELECOXIB BIOTECH.</w:t>
      </w:r>
      <w:r w:rsidRPr="00071FD1">
        <w:rPr>
          <w:rFonts w:ascii="Arial" w:hAnsi="Arial" w:cs="Arial"/>
          <w:color w:val="000000"/>
        </w:rPr>
        <w:t xml:space="preserve"> Among the cases that reported time to onset, most of the severe adverse hepatic events developed within one month after initiation of celecoxib (contained in </w:t>
      </w:r>
      <w:r w:rsidRPr="00071FD1">
        <w:rPr>
          <w:rFonts w:ascii="Arial" w:hAnsi="Arial" w:cs="Arial"/>
          <w:bCs/>
          <w:noProof/>
        </w:rPr>
        <w:t>CELECOXIB BIOTECH</w:t>
      </w:r>
      <w:r w:rsidRPr="00071FD1">
        <w:rPr>
          <w:rFonts w:ascii="Arial" w:hAnsi="Arial" w:cs="Arial"/>
          <w:color w:val="000000"/>
        </w:rPr>
        <w:t xml:space="preserve"> treatment (see section 4.8).</w:t>
      </w:r>
    </w:p>
    <w:p w14:paraId="01077648" w14:textId="77777777" w:rsidR="00071FD1" w:rsidRPr="00071FD1" w:rsidRDefault="00071FD1" w:rsidP="00624057">
      <w:pPr>
        <w:widowControl w:val="0"/>
        <w:tabs>
          <w:tab w:val="left" w:pos="284"/>
          <w:tab w:val="left" w:pos="567"/>
          <w:tab w:val="right" w:pos="9639"/>
        </w:tabs>
        <w:suppressAutoHyphens/>
        <w:spacing w:after="0" w:line="480" w:lineRule="auto"/>
        <w:jc w:val="both"/>
        <w:rPr>
          <w:rFonts w:ascii="Arial" w:hAnsi="Arial" w:cs="Arial"/>
          <w:bCs/>
          <w:color w:val="000000"/>
        </w:rPr>
      </w:pPr>
      <w:r w:rsidRPr="00071FD1">
        <w:rPr>
          <w:rFonts w:ascii="Arial" w:hAnsi="Arial" w:cs="Arial"/>
          <w:color w:val="000000"/>
        </w:rPr>
        <w:t xml:space="preserve">If during treatment, patients deteriorate in any of the organ system functions described above, appropriate measures should be taken and discontinuation of </w:t>
      </w:r>
      <w:r w:rsidRPr="00071FD1">
        <w:rPr>
          <w:rFonts w:ascii="Arial" w:hAnsi="Arial" w:cs="Arial"/>
          <w:bCs/>
          <w:noProof/>
        </w:rPr>
        <w:t>CELECOXIB BIOTECH</w:t>
      </w:r>
      <w:r w:rsidRPr="00071FD1">
        <w:rPr>
          <w:rFonts w:ascii="Arial" w:hAnsi="Arial" w:cs="Arial"/>
          <w:color w:val="000000"/>
        </w:rPr>
        <w:t xml:space="preserve"> therapy should be considered.</w:t>
      </w:r>
      <w:r w:rsidRPr="00071FD1">
        <w:rPr>
          <w:rFonts w:ascii="Arial" w:hAnsi="Arial" w:cs="Arial"/>
          <w:color w:val="000000"/>
        </w:rPr>
        <w:tab/>
      </w:r>
    </w:p>
    <w:p w14:paraId="1651532B" w14:textId="77777777" w:rsidR="00071FD1" w:rsidRPr="00071FD1" w:rsidRDefault="00071FD1" w:rsidP="00624057">
      <w:pPr>
        <w:widowControl w:val="0"/>
        <w:suppressAutoHyphens/>
        <w:spacing w:after="0" w:line="480" w:lineRule="auto"/>
        <w:jc w:val="both"/>
        <w:rPr>
          <w:rFonts w:ascii="Arial" w:hAnsi="Arial" w:cs="Arial"/>
          <w:color w:val="000000"/>
        </w:rPr>
      </w:pPr>
      <w:r w:rsidRPr="00071FD1">
        <w:rPr>
          <w:rFonts w:ascii="Arial" w:hAnsi="Arial" w:cs="Arial"/>
          <w:color w:val="000000"/>
        </w:rPr>
        <w:t xml:space="preserve">Caution should be used when initiating treatment in patients with dehydration.  It is advisable to first rehydrate patients and then commence with </w:t>
      </w:r>
      <w:r w:rsidRPr="00071FD1">
        <w:rPr>
          <w:rFonts w:ascii="Arial" w:hAnsi="Arial" w:cs="Arial"/>
          <w:bCs/>
          <w:noProof/>
        </w:rPr>
        <w:t>CELECOXIB BIOTECH</w:t>
      </w:r>
      <w:r w:rsidRPr="00071FD1">
        <w:rPr>
          <w:rFonts w:ascii="Arial" w:hAnsi="Arial" w:cs="Arial"/>
          <w:color w:val="000000"/>
        </w:rPr>
        <w:t xml:space="preserve"> therapy.</w:t>
      </w:r>
    </w:p>
    <w:p w14:paraId="48F05623" w14:textId="77777777" w:rsidR="00071FD1" w:rsidRPr="00071FD1" w:rsidRDefault="00071FD1" w:rsidP="00624057">
      <w:pPr>
        <w:widowControl w:val="0"/>
        <w:suppressAutoHyphens/>
        <w:spacing w:after="0" w:line="480" w:lineRule="auto"/>
        <w:jc w:val="both"/>
        <w:rPr>
          <w:rFonts w:ascii="Arial" w:hAnsi="Arial" w:cs="Arial"/>
          <w:color w:val="000000"/>
          <w:highlight w:val="yellow"/>
        </w:rPr>
      </w:pPr>
    </w:p>
    <w:p w14:paraId="472566ED" w14:textId="77777777" w:rsidR="00071FD1" w:rsidRPr="00071FD1" w:rsidRDefault="00071FD1" w:rsidP="0098102B">
      <w:pPr>
        <w:widowControl w:val="0"/>
        <w:suppressAutoHyphens/>
        <w:spacing w:after="0" w:line="480" w:lineRule="auto"/>
        <w:rPr>
          <w:rFonts w:ascii="Arial" w:hAnsi="Arial" w:cs="Arial"/>
          <w:noProof/>
        </w:rPr>
      </w:pPr>
      <w:r w:rsidRPr="00071FD1">
        <w:rPr>
          <w:rFonts w:ascii="Arial" w:hAnsi="Arial" w:cs="Arial"/>
          <w:b/>
          <w:bCs/>
          <w:i/>
          <w:iCs/>
          <w:color w:val="000000"/>
        </w:rPr>
        <w:t>CYP2D6 inhibition</w:t>
      </w:r>
      <w:r w:rsidRPr="00071FD1">
        <w:rPr>
          <w:rFonts w:ascii="Arial" w:hAnsi="Arial" w:cs="Arial"/>
          <w:color w:val="000000"/>
        </w:rPr>
        <w:br/>
      </w:r>
      <w:r w:rsidRPr="00071FD1">
        <w:rPr>
          <w:rFonts w:ascii="Arial" w:hAnsi="Arial" w:cs="Arial"/>
          <w:bCs/>
          <w:noProof/>
        </w:rPr>
        <w:t xml:space="preserve">Celecoxib </w:t>
      </w:r>
      <w:r w:rsidRPr="00071FD1">
        <w:rPr>
          <w:rFonts w:ascii="Arial" w:hAnsi="Arial" w:cs="Arial"/>
          <w:color w:val="000000"/>
        </w:rPr>
        <w:t>inhibits CYP2D6. Although it is not a strong inhibitor of this enzyme, a dose reduction of CELECOXIB BIOTECH may be necessary for individually dose-titrated medicines that are metabolised by CYP2D6 (see section 4.5).</w:t>
      </w:r>
    </w:p>
    <w:p w14:paraId="00EA6AF7" w14:textId="77777777" w:rsidR="00071FD1" w:rsidRPr="00071FD1" w:rsidRDefault="00071FD1" w:rsidP="00624057">
      <w:pPr>
        <w:widowControl w:val="0"/>
        <w:suppressAutoHyphens/>
        <w:spacing w:after="0" w:line="480" w:lineRule="auto"/>
        <w:jc w:val="both"/>
        <w:rPr>
          <w:rFonts w:ascii="Arial" w:hAnsi="Arial" w:cs="Arial"/>
          <w:noProof/>
        </w:rPr>
      </w:pPr>
    </w:p>
    <w:p w14:paraId="3C16498B" w14:textId="77777777" w:rsidR="00071FD1" w:rsidRPr="00071FD1" w:rsidRDefault="00071FD1" w:rsidP="0098102B">
      <w:pPr>
        <w:widowControl w:val="0"/>
        <w:suppressAutoHyphens/>
        <w:spacing w:after="0" w:line="480" w:lineRule="auto"/>
        <w:rPr>
          <w:rFonts w:ascii="Arial" w:hAnsi="Arial" w:cs="Arial"/>
          <w:noProof/>
        </w:rPr>
      </w:pPr>
      <w:r w:rsidRPr="00071FD1">
        <w:rPr>
          <w:rFonts w:ascii="Arial" w:hAnsi="Arial" w:cs="Arial"/>
          <w:b/>
          <w:bCs/>
          <w:i/>
          <w:iCs/>
          <w:color w:val="000000"/>
        </w:rPr>
        <w:t>CYP2C9 poor metabolisers</w:t>
      </w:r>
      <w:r w:rsidRPr="00071FD1">
        <w:rPr>
          <w:rFonts w:ascii="Arial" w:hAnsi="Arial" w:cs="Arial"/>
          <w:color w:val="000000"/>
        </w:rPr>
        <w:br/>
        <w:t>Patients known to be CYP2C9 poor metabolisers should be treated with caution.</w:t>
      </w:r>
    </w:p>
    <w:p w14:paraId="3E101BBC" w14:textId="77777777" w:rsidR="00071FD1" w:rsidRPr="00071FD1" w:rsidRDefault="00071FD1" w:rsidP="00624057">
      <w:pPr>
        <w:widowControl w:val="0"/>
        <w:suppressAutoHyphens/>
        <w:spacing w:after="0" w:line="480" w:lineRule="auto"/>
        <w:jc w:val="both"/>
        <w:rPr>
          <w:rFonts w:ascii="Arial" w:hAnsi="Arial" w:cs="Arial"/>
          <w:noProof/>
        </w:rPr>
      </w:pPr>
    </w:p>
    <w:p w14:paraId="0B04D01F" w14:textId="77777777" w:rsidR="00071FD1" w:rsidRPr="00071FD1" w:rsidRDefault="00071FD1" w:rsidP="0098102B">
      <w:pPr>
        <w:widowControl w:val="0"/>
        <w:suppressAutoHyphens/>
        <w:spacing w:after="0" w:line="480" w:lineRule="auto"/>
        <w:rPr>
          <w:rFonts w:ascii="Arial" w:hAnsi="Arial" w:cs="Arial"/>
          <w:color w:val="000000"/>
        </w:rPr>
      </w:pPr>
      <w:r w:rsidRPr="00071FD1">
        <w:rPr>
          <w:rFonts w:ascii="Arial" w:hAnsi="Arial" w:cs="Arial"/>
          <w:b/>
          <w:bCs/>
          <w:i/>
          <w:iCs/>
          <w:color w:val="000000"/>
        </w:rPr>
        <w:t>Skin and systemic hypersensitivity reactions</w:t>
      </w:r>
      <w:r w:rsidRPr="00071FD1">
        <w:rPr>
          <w:rFonts w:ascii="Arial" w:hAnsi="Arial" w:cs="Arial"/>
          <w:color w:val="000000"/>
        </w:rPr>
        <w:br/>
        <w:t xml:space="preserve">Serious skin reactions, some of them fatal, including exfoliative dermatitis, Stevens-Johnson syndrome, and toxic epidermal necrolysis, have been reported very rarely in association with the use of </w:t>
      </w:r>
      <w:r w:rsidRPr="00071FD1">
        <w:rPr>
          <w:rFonts w:ascii="Arial" w:hAnsi="Arial" w:cs="Arial"/>
          <w:bCs/>
          <w:noProof/>
        </w:rPr>
        <w:t xml:space="preserve">celecoxib, (as in CELECOXIB BIOTECH) </w:t>
      </w:r>
      <w:r w:rsidRPr="00071FD1">
        <w:rPr>
          <w:rFonts w:ascii="Arial" w:hAnsi="Arial" w:cs="Arial"/>
          <w:color w:val="000000"/>
        </w:rPr>
        <w:t xml:space="preserve">see section 4.8. </w:t>
      </w:r>
    </w:p>
    <w:p w14:paraId="52B0DA0D" w14:textId="77777777" w:rsidR="00071FD1" w:rsidRPr="00071FD1" w:rsidRDefault="00071FD1" w:rsidP="00624057">
      <w:pPr>
        <w:widowControl w:val="0"/>
        <w:suppressAutoHyphens/>
        <w:spacing w:after="0" w:line="480" w:lineRule="auto"/>
        <w:jc w:val="both"/>
        <w:rPr>
          <w:rFonts w:ascii="Arial" w:hAnsi="Arial" w:cs="Arial"/>
          <w:color w:val="000000"/>
        </w:rPr>
      </w:pPr>
    </w:p>
    <w:p w14:paraId="65AA05AE" w14:textId="77777777" w:rsidR="00071FD1" w:rsidRPr="00071FD1" w:rsidRDefault="00071FD1" w:rsidP="00624057">
      <w:pPr>
        <w:widowControl w:val="0"/>
        <w:suppressAutoHyphens/>
        <w:spacing w:after="0" w:line="480" w:lineRule="auto"/>
        <w:jc w:val="both"/>
        <w:rPr>
          <w:rFonts w:ascii="Arial" w:hAnsi="Arial" w:cs="Arial"/>
          <w:color w:val="000000"/>
          <w:highlight w:val="yellow"/>
        </w:rPr>
      </w:pPr>
      <w:r w:rsidRPr="00071FD1">
        <w:rPr>
          <w:rFonts w:ascii="Arial" w:hAnsi="Arial" w:cs="Arial"/>
          <w:color w:val="000000"/>
        </w:rPr>
        <w:t xml:space="preserve">Patients appear to be at highest risk for these events early in the course of therapy: the onset of the event occurring in the majority of cases within the first month of treatment. Serious hypersensitivity reactions (including anaphylaxis, angioedema and drug rash with eosinophilia and systemic symptoms (DRESS), or hypersensitivity syndrome), have been reported in patients receiving celecoxib (as in CELECOXIB BIOTECH), see section 4.8. Patients with a history of sulphonamide allergy or any medicine allergy may be at greater risk of serious skin reactions or hypersensitivity reactions (see section 4.3). </w:t>
      </w:r>
      <w:r w:rsidRPr="00071FD1">
        <w:rPr>
          <w:rFonts w:ascii="Arial" w:hAnsi="Arial" w:cs="Arial"/>
          <w:bCs/>
          <w:noProof/>
        </w:rPr>
        <w:t xml:space="preserve">CELECOXIB BIOTECH </w:t>
      </w:r>
      <w:r w:rsidRPr="00071FD1">
        <w:rPr>
          <w:rFonts w:ascii="Arial" w:hAnsi="Arial" w:cs="Arial"/>
          <w:color w:val="000000"/>
        </w:rPr>
        <w:t>should be discontinued at the first appearance of skin rash, mucosal lesions, or any other sign of hypersensitivity.</w:t>
      </w:r>
    </w:p>
    <w:p w14:paraId="46A8BFB3" w14:textId="77777777" w:rsidR="00071FD1" w:rsidRPr="00071FD1" w:rsidRDefault="00071FD1" w:rsidP="00624057">
      <w:pPr>
        <w:widowControl w:val="0"/>
        <w:suppressAutoHyphens/>
        <w:spacing w:after="0" w:line="480" w:lineRule="auto"/>
        <w:jc w:val="both"/>
        <w:rPr>
          <w:rFonts w:ascii="Arial" w:hAnsi="Arial" w:cs="Arial"/>
          <w:noProof/>
          <w:highlight w:val="yellow"/>
        </w:rPr>
      </w:pPr>
    </w:p>
    <w:p w14:paraId="52CF078C" w14:textId="77777777" w:rsidR="00071FD1" w:rsidRPr="00071FD1" w:rsidRDefault="00071FD1" w:rsidP="00624057">
      <w:pPr>
        <w:widowControl w:val="0"/>
        <w:suppressAutoHyphens/>
        <w:spacing w:after="0" w:line="480" w:lineRule="auto"/>
        <w:jc w:val="both"/>
        <w:rPr>
          <w:rFonts w:ascii="Arial" w:hAnsi="Arial" w:cs="Arial"/>
          <w:color w:val="000000"/>
        </w:rPr>
      </w:pPr>
      <w:r w:rsidRPr="00071FD1">
        <w:rPr>
          <w:rFonts w:ascii="Arial" w:hAnsi="Arial" w:cs="Arial"/>
          <w:color w:val="000000"/>
        </w:rPr>
        <w:t>Drug Reaction with Eosinophilia and Systemic Symptoms (DRESS) has been reported in patients taking NSAIDs such as CELECOXIB BIOTECH. Some of these events have been fatal or life-threatening. DRESS typically, although not exclusively, presents with fever, rash, lymphadenopathy, and/or facial swelling. Other clinical manifestations may include hepatitis, nephritis, haematological abnormalities, myocarditis, or myositis. Sometimes symptoms of DRESS may resemble an acute viral infection. Eosinophilia is often present. Because this disorder is variable in its presentation, other organ systems not noted here may be involved. It is important to note that early manifestations of hypersensitivity, such as fever or lymphadenopathy, may be present even though rash is not evident. If such signs or symptoms are present, discontinue CELECOXIB BIOTECH and evaluate the patient immediately.</w:t>
      </w:r>
    </w:p>
    <w:p w14:paraId="6B6177AC" w14:textId="77777777" w:rsidR="00071FD1" w:rsidRPr="00071FD1" w:rsidRDefault="00071FD1" w:rsidP="00624057">
      <w:pPr>
        <w:widowControl w:val="0"/>
        <w:suppressAutoHyphens/>
        <w:spacing w:after="0" w:line="480" w:lineRule="auto"/>
        <w:jc w:val="both"/>
        <w:rPr>
          <w:rFonts w:ascii="Arial" w:hAnsi="Arial" w:cs="Arial"/>
          <w:noProof/>
          <w:highlight w:val="yellow"/>
        </w:rPr>
      </w:pPr>
    </w:p>
    <w:p w14:paraId="1538FE51" w14:textId="77777777" w:rsidR="00071FD1" w:rsidRPr="00071FD1" w:rsidRDefault="00071FD1" w:rsidP="00624057">
      <w:pPr>
        <w:widowControl w:val="0"/>
        <w:suppressAutoHyphens/>
        <w:spacing w:after="0" w:line="480" w:lineRule="auto"/>
        <w:jc w:val="both"/>
        <w:rPr>
          <w:rFonts w:ascii="Arial" w:hAnsi="Arial" w:cs="Arial"/>
          <w:noProof/>
        </w:rPr>
      </w:pPr>
      <w:r w:rsidRPr="00071FD1">
        <w:rPr>
          <w:rFonts w:ascii="Arial" w:hAnsi="Arial" w:cs="Arial"/>
          <w:b/>
          <w:bCs/>
          <w:i/>
          <w:iCs/>
          <w:color w:val="000000"/>
        </w:rPr>
        <w:t>General</w:t>
      </w:r>
      <w:r w:rsidRPr="00071FD1">
        <w:rPr>
          <w:rFonts w:ascii="Arial" w:hAnsi="Arial" w:cs="Arial"/>
          <w:color w:val="000000"/>
        </w:rPr>
        <w:br/>
      </w:r>
      <w:r w:rsidRPr="00071FD1">
        <w:rPr>
          <w:rFonts w:ascii="Arial" w:hAnsi="Arial" w:cs="Arial"/>
          <w:bCs/>
          <w:noProof/>
        </w:rPr>
        <w:t xml:space="preserve">CELECOXIB BIOTECH </w:t>
      </w:r>
      <w:r w:rsidRPr="00071FD1">
        <w:rPr>
          <w:rFonts w:ascii="Arial" w:hAnsi="Arial" w:cs="Arial"/>
          <w:color w:val="000000"/>
        </w:rPr>
        <w:t>may mask fever and other signs of inflammation.</w:t>
      </w:r>
    </w:p>
    <w:p w14:paraId="46813494" w14:textId="77777777" w:rsidR="00071FD1" w:rsidRPr="00071FD1" w:rsidRDefault="00071FD1" w:rsidP="00624057">
      <w:pPr>
        <w:widowControl w:val="0"/>
        <w:suppressAutoHyphens/>
        <w:spacing w:after="0" w:line="480" w:lineRule="auto"/>
        <w:jc w:val="both"/>
        <w:rPr>
          <w:rFonts w:ascii="Arial" w:hAnsi="Arial" w:cs="Arial"/>
          <w:noProof/>
        </w:rPr>
      </w:pPr>
    </w:p>
    <w:p w14:paraId="65CAF2B9" w14:textId="32B16603" w:rsidR="00071FD1" w:rsidRPr="00071FD1" w:rsidRDefault="00071FD1" w:rsidP="0098102B">
      <w:pPr>
        <w:widowControl w:val="0"/>
        <w:suppressAutoHyphens/>
        <w:spacing w:after="0" w:line="480" w:lineRule="auto"/>
        <w:rPr>
          <w:rFonts w:ascii="Arial" w:hAnsi="Arial" w:cs="Arial"/>
          <w:color w:val="000000"/>
          <w:highlight w:val="yellow"/>
        </w:rPr>
      </w:pPr>
      <w:r w:rsidRPr="00071FD1">
        <w:rPr>
          <w:rFonts w:ascii="Arial" w:hAnsi="Arial" w:cs="Arial"/>
          <w:b/>
          <w:bCs/>
          <w:i/>
          <w:iCs/>
          <w:color w:val="000000"/>
        </w:rPr>
        <w:t>Use with oral anticoagulants</w:t>
      </w:r>
      <w:r w:rsidRPr="00071FD1">
        <w:rPr>
          <w:rFonts w:ascii="Arial" w:hAnsi="Arial" w:cs="Arial"/>
          <w:color w:val="000000"/>
        </w:rPr>
        <w:br/>
        <w:t>In patients on concurrent therapy with warfarin, serious bleeding events, some of them fatal, have been reported (see sections 4.8 and 4.5).</w:t>
      </w:r>
      <w:r w:rsidRPr="00071FD1">
        <w:rPr>
          <w:rFonts w:ascii="Arial" w:hAnsi="Arial" w:cs="Arial"/>
          <w:color w:val="000000"/>
        </w:rPr>
        <w:br/>
        <w:t xml:space="preserve">Because increases in prothrombin time (INR) have been reported, anticoagulant activity should be closely monitored in patients receiving warfarin/coumarin-type oral anticoagulants, particularly when therapy with </w:t>
      </w:r>
      <w:r w:rsidRPr="00071FD1">
        <w:rPr>
          <w:rFonts w:ascii="Arial" w:hAnsi="Arial" w:cs="Arial"/>
          <w:bCs/>
          <w:noProof/>
        </w:rPr>
        <w:t xml:space="preserve">CELECOXIB BIOTECH </w:t>
      </w:r>
      <w:r w:rsidRPr="00071FD1">
        <w:rPr>
          <w:rFonts w:ascii="Arial" w:hAnsi="Arial" w:cs="Arial"/>
          <w:color w:val="000000"/>
        </w:rPr>
        <w:t xml:space="preserve">is initiated, or its dose is changed (see section 4.5). Concomitant use of anticoagulants with NSAIDS may increase the risk of bleeding. Caution should be exercised when combining </w:t>
      </w:r>
      <w:r w:rsidRPr="00071FD1">
        <w:rPr>
          <w:rFonts w:ascii="Arial" w:hAnsi="Arial" w:cs="Arial"/>
          <w:bCs/>
          <w:noProof/>
        </w:rPr>
        <w:t xml:space="preserve">CELECOXIB BIOTECH </w:t>
      </w:r>
      <w:r w:rsidRPr="00071FD1">
        <w:rPr>
          <w:rFonts w:ascii="Arial" w:hAnsi="Arial" w:cs="Arial"/>
          <w:color w:val="000000"/>
        </w:rPr>
        <w:t>with warfarin or other oral anticoagulants, including novel anticoagulants (</w:t>
      </w:r>
      <w:r w:rsidR="0098102B" w:rsidRPr="00071FD1">
        <w:rPr>
          <w:rFonts w:ascii="Arial" w:hAnsi="Arial" w:cs="Arial"/>
          <w:color w:val="000000"/>
        </w:rPr>
        <w:t>e.g.,</w:t>
      </w:r>
      <w:r w:rsidRPr="00071FD1">
        <w:rPr>
          <w:rFonts w:ascii="Arial" w:hAnsi="Arial" w:cs="Arial"/>
          <w:color w:val="000000"/>
        </w:rPr>
        <w:t xml:space="preserve"> apixaban, dabigatran, and rivaroxaban).</w:t>
      </w:r>
    </w:p>
    <w:p w14:paraId="35CE7EB2" w14:textId="77777777" w:rsidR="00071FD1" w:rsidRPr="00071FD1" w:rsidRDefault="00071FD1" w:rsidP="00624057">
      <w:pPr>
        <w:widowControl w:val="0"/>
        <w:suppressAutoHyphens/>
        <w:spacing w:after="0" w:line="480" w:lineRule="auto"/>
        <w:ind w:left="567" w:hanging="567"/>
        <w:jc w:val="both"/>
        <w:rPr>
          <w:rFonts w:ascii="Arial" w:hAnsi="Arial" w:cs="Arial"/>
          <w:b/>
          <w:i/>
          <w:noProof/>
        </w:rPr>
      </w:pPr>
    </w:p>
    <w:p w14:paraId="4DDF442F" w14:textId="77777777" w:rsidR="00071FD1" w:rsidRPr="00071FD1" w:rsidRDefault="00071FD1" w:rsidP="00624057">
      <w:pPr>
        <w:widowControl w:val="0"/>
        <w:suppressAutoHyphens/>
        <w:spacing w:after="0" w:line="480" w:lineRule="auto"/>
        <w:ind w:left="567" w:hanging="567"/>
        <w:jc w:val="both"/>
        <w:rPr>
          <w:rFonts w:ascii="Arial" w:hAnsi="Arial" w:cs="Arial"/>
          <w:b/>
          <w:i/>
          <w:noProof/>
        </w:rPr>
      </w:pPr>
      <w:r w:rsidRPr="00071FD1">
        <w:rPr>
          <w:rFonts w:ascii="Arial" w:hAnsi="Arial" w:cs="Arial"/>
          <w:b/>
          <w:i/>
          <w:noProof/>
        </w:rPr>
        <w:t>Renal tubular acidosis (RTA) and hypokalaemia</w:t>
      </w:r>
    </w:p>
    <w:p w14:paraId="0947B0E5" w14:textId="77777777" w:rsidR="00071FD1" w:rsidRPr="00071FD1" w:rsidRDefault="00071FD1" w:rsidP="00624057">
      <w:pPr>
        <w:widowControl w:val="0"/>
        <w:suppressAutoHyphens/>
        <w:spacing w:after="0" w:line="480" w:lineRule="auto"/>
        <w:ind w:left="42" w:hanging="42"/>
        <w:jc w:val="both"/>
        <w:rPr>
          <w:rFonts w:ascii="Arial" w:hAnsi="Arial" w:cs="Arial"/>
          <w:bCs/>
          <w:iCs/>
          <w:noProof/>
        </w:rPr>
      </w:pPr>
      <w:r w:rsidRPr="00071FD1">
        <w:rPr>
          <w:rFonts w:ascii="Arial" w:hAnsi="Arial" w:cs="Arial"/>
          <w:bCs/>
          <w:iCs/>
          <w:noProof/>
        </w:rPr>
        <w:t xml:space="preserve">NSAIDs, such as </w:t>
      </w:r>
      <w:r w:rsidRPr="00071FD1">
        <w:rPr>
          <w:rFonts w:ascii="Arial" w:hAnsi="Arial" w:cs="Arial"/>
          <w:color w:val="000000"/>
        </w:rPr>
        <w:t>CELECOXIB BIOTECH, is associated with an increased risk of RTA and hypokalaemia.</w:t>
      </w:r>
    </w:p>
    <w:p w14:paraId="1E59F14C" w14:textId="77777777" w:rsidR="00071FD1" w:rsidRPr="00071FD1" w:rsidRDefault="00071FD1" w:rsidP="00624057">
      <w:pPr>
        <w:widowControl w:val="0"/>
        <w:suppressAutoHyphens/>
        <w:spacing w:after="0" w:line="480" w:lineRule="auto"/>
        <w:ind w:left="567" w:hanging="567"/>
        <w:jc w:val="both"/>
        <w:rPr>
          <w:rFonts w:ascii="Arial" w:hAnsi="Arial" w:cs="Arial"/>
          <w:b/>
          <w:i/>
          <w:noProof/>
        </w:rPr>
      </w:pPr>
    </w:p>
    <w:p w14:paraId="7B8ABB9C" w14:textId="77777777" w:rsidR="00071FD1" w:rsidRPr="00071FD1" w:rsidRDefault="00071FD1" w:rsidP="00624057">
      <w:pPr>
        <w:widowControl w:val="0"/>
        <w:suppressAutoHyphens/>
        <w:spacing w:after="0" w:line="480" w:lineRule="auto"/>
        <w:ind w:left="567" w:hanging="567"/>
        <w:jc w:val="both"/>
        <w:rPr>
          <w:rFonts w:ascii="Arial" w:hAnsi="Arial" w:cs="Arial"/>
          <w:b/>
          <w:i/>
          <w:noProof/>
        </w:rPr>
      </w:pPr>
      <w:r w:rsidRPr="00071FD1">
        <w:rPr>
          <w:rFonts w:ascii="Arial" w:hAnsi="Arial" w:cs="Arial"/>
          <w:b/>
          <w:i/>
          <w:noProof/>
        </w:rPr>
        <w:t>Excipients</w:t>
      </w:r>
    </w:p>
    <w:p w14:paraId="144C490F" w14:textId="77777777" w:rsidR="00071FD1" w:rsidRPr="00071FD1" w:rsidRDefault="00071FD1" w:rsidP="00624057">
      <w:pPr>
        <w:widowControl w:val="0"/>
        <w:suppressAutoHyphens/>
        <w:spacing w:after="0" w:line="480" w:lineRule="auto"/>
        <w:jc w:val="both"/>
        <w:rPr>
          <w:rFonts w:ascii="Arial" w:hAnsi="Arial" w:cs="Arial"/>
          <w:b/>
          <w:iCs/>
          <w:noProof/>
        </w:rPr>
      </w:pPr>
      <w:r w:rsidRPr="00071FD1">
        <w:rPr>
          <w:rFonts w:ascii="Arial" w:hAnsi="Arial" w:cs="Arial"/>
          <w:color w:val="000000"/>
        </w:rPr>
        <w:t>CELECOXIB BIOTECH contains lactose monohydrate (see sections 2 and 6.1). Patients with rare hereditary problems of galactose intolerance, total lactase deficiency or glucose/galactose malabsorption should not take CELECOXIB BIOTECH.</w:t>
      </w:r>
    </w:p>
    <w:p w14:paraId="4D9B81D1" w14:textId="77777777" w:rsidR="00071FD1" w:rsidRPr="00071FD1" w:rsidRDefault="00071FD1" w:rsidP="00624057">
      <w:pPr>
        <w:widowControl w:val="0"/>
        <w:suppressAutoHyphens/>
        <w:spacing w:after="0" w:line="480" w:lineRule="auto"/>
        <w:ind w:left="567" w:hanging="567"/>
        <w:jc w:val="both"/>
        <w:rPr>
          <w:rFonts w:ascii="Arial" w:hAnsi="Arial" w:cs="Arial"/>
          <w:b/>
          <w:i/>
          <w:noProof/>
        </w:rPr>
      </w:pPr>
    </w:p>
    <w:p w14:paraId="61CFFFB2" w14:textId="77777777" w:rsidR="00071FD1" w:rsidRPr="00071FD1" w:rsidRDefault="00071FD1" w:rsidP="00624057">
      <w:pPr>
        <w:widowControl w:val="0"/>
        <w:suppressAutoHyphens/>
        <w:spacing w:after="0" w:line="480" w:lineRule="auto"/>
        <w:jc w:val="both"/>
        <w:rPr>
          <w:rFonts w:ascii="Arial" w:hAnsi="Arial" w:cs="Arial"/>
          <w:b/>
          <w:bCs/>
          <w:color w:val="000000"/>
        </w:rPr>
      </w:pPr>
      <w:r w:rsidRPr="00071FD1">
        <w:rPr>
          <w:rFonts w:ascii="Arial" w:hAnsi="Arial" w:cs="Arial"/>
          <w:b/>
          <w:bCs/>
          <w:color w:val="000000"/>
        </w:rPr>
        <w:t>4.5</w:t>
      </w:r>
      <w:r w:rsidRPr="00071FD1">
        <w:rPr>
          <w:rFonts w:ascii="Arial" w:hAnsi="Arial" w:cs="Arial"/>
          <w:b/>
          <w:bCs/>
          <w:color w:val="000000"/>
        </w:rPr>
        <w:tab/>
        <w:t>Interaction with other medicines and other forms of interaction</w:t>
      </w:r>
    </w:p>
    <w:p w14:paraId="03914887" w14:textId="77777777" w:rsidR="00071FD1" w:rsidRPr="00071FD1" w:rsidRDefault="00071FD1" w:rsidP="00624057">
      <w:pPr>
        <w:widowControl w:val="0"/>
        <w:suppressAutoHyphens/>
        <w:spacing w:after="0" w:line="480" w:lineRule="auto"/>
        <w:jc w:val="both"/>
        <w:rPr>
          <w:rFonts w:ascii="Arial" w:hAnsi="Arial" w:cs="Arial"/>
          <w:b/>
          <w:bCs/>
          <w:color w:val="000000"/>
        </w:rPr>
      </w:pPr>
      <w:r w:rsidRPr="00071FD1">
        <w:rPr>
          <w:rFonts w:ascii="Arial" w:hAnsi="Arial" w:cs="Arial"/>
          <w:b/>
          <w:bCs/>
          <w:color w:val="000000"/>
        </w:rPr>
        <w:t xml:space="preserve">Pharmacodynamic interactions </w:t>
      </w:r>
    </w:p>
    <w:p w14:paraId="779815FE" w14:textId="77777777" w:rsidR="00071FD1" w:rsidRPr="00071FD1" w:rsidRDefault="00071FD1" w:rsidP="00624057">
      <w:pPr>
        <w:widowControl w:val="0"/>
        <w:suppressAutoHyphens/>
        <w:spacing w:after="0" w:line="480" w:lineRule="auto"/>
        <w:jc w:val="both"/>
        <w:rPr>
          <w:rFonts w:ascii="Arial" w:hAnsi="Arial" w:cs="Arial"/>
          <w:b/>
          <w:bCs/>
          <w:i/>
          <w:iCs/>
          <w:color w:val="000000"/>
        </w:rPr>
      </w:pPr>
      <w:r w:rsidRPr="00071FD1">
        <w:rPr>
          <w:rFonts w:ascii="Arial" w:hAnsi="Arial" w:cs="Arial"/>
          <w:b/>
          <w:bCs/>
          <w:i/>
          <w:iCs/>
          <w:color w:val="000000"/>
        </w:rPr>
        <w:t>Anticoagulants</w:t>
      </w:r>
    </w:p>
    <w:p w14:paraId="20909EE5" w14:textId="77777777" w:rsidR="00071FD1" w:rsidRPr="00071FD1" w:rsidRDefault="00071FD1" w:rsidP="00624057">
      <w:pPr>
        <w:widowControl w:val="0"/>
        <w:suppressAutoHyphens/>
        <w:spacing w:after="0" w:line="480" w:lineRule="auto"/>
        <w:jc w:val="both"/>
        <w:rPr>
          <w:rFonts w:ascii="Arial" w:hAnsi="Arial" w:cs="Arial"/>
          <w:color w:val="000000"/>
        </w:rPr>
      </w:pPr>
      <w:r w:rsidRPr="00071FD1">
        <w:rPr>
          <w:rFonts w:ascii="Arial" w:hAnsi="Arial" w:cs="Arial"/>
          <w:color w:val="000000"/>
        </w:rPr>
        <w:t xml:space="preserve">In patients on concurrent therapy with warfarin, increases in prothrombin time (INR) have been reported (see section 4.4). </w:t>
      </w:r>
    </w:p>
    <w:p w14:paraId="672C8723" w14:textId="573FF85A" w:rsidR="00071FD1" w:rsidRPr="00071FD1" w:rsidRDefault="00071FD1" w:rsidP="00624057">
      <w:pPr>
        <w:widowControl w:val="0"/>
        <w:suppressAutoHyphens/>
        <w:spacing w:after="0" w:line="480" w:lineRule="auto"/>
        <w:jc w:val="both"/>
        <w:rPr>
          <w:rFonts w:ascii="Arial" w:hAnsi="Arial" w:cs="Arial"/>
          <w:color w:val="000000"/>
        </w:rPr>
      </w:pPr>
      <w:r w:rsidRPr="00071FD1">
        <w:rPr>
          <w:rFonts w:ascii="Arial" w:hAnsi="Arial" w:cs="Arial"/>
          <w:color w:val="000000"/>
        </w:rPr>
        <w:t xml:space="preserve">Anticoagulant activity should be monitored particularly in the first few days after initiating or changing the dose of CELECOXIB BIOTECH in patients receiving warfarin or other anticoagulants since these patients have an increased risk of bleeding complications. Therefore, patients receiving oral anticoagulants should </w:t>
      </w:r>
      <w:r w:rsidRPr="00071FD1">
        <w:rPr>
          <w:rFonts w:ascii="Arial" w:hAnsi="Arial" w:cs="Arial"/>
          <w:color w:val="000000"/>
        </w:rPr>
        <w:lastRenderedPageBreak/>
        <w:t>be closely monitored for their prothrombin time</w:t>
      </w:r>
      <w:r>
        <w:rPr>
          <w:rFonts w:ascii="Arial" w:hAnsi="Arial" w:cs="Arial"/>
          <w:color w:val="000000"/>
        </w:rPr>
        <w:t xml:space="preserve"> </w:t>
      </w:r>
      <w:r w:rsidRPr="00071FD1">
        <w:rPr>
          <w:rFonts w:ascii="Arial" w:hAnsi="Arial" w:cs="Arial"/>
          <w:color w:val="000000"/>
        </w:rPr>
        <w:t>INR, particularly in the first few days when therapy with CELECOXIB BIOTECH is initiated or the dose is changed (see section 4.4). Bleeding events in association with increases in prothrombin time (INR) have been reported, predominantly in the elderly, in patients receiving celecoxib (as in CELECOXIB BIOTECH) concurrently with warfarin, some of them fatal.</w:t>
      </w:r>
    </w:p>
    <w:p w14:paraId="324942A6" w14:textId="77777777" w:rsidR="00071FD1" w:rsidRPr="00071FD1" w:rsidRDefault="00071FD1" w:rsidP="00624057">
      <w:pPr>
        <w:widowControl w:val="0"/>
        <w:suppressAutoHyphens/>
        <w:spacing w:after="0" w:line="480" w:lineRule="auto"/>
        <w:jc w:val="both"/>
        <w:rPr>
          <w:rFonts w:ascii="Arial" w:hAnsi="Arial" w:cs="Arial"/>
          <w:b/>
          <w:noProof/>
        </w:rPr>
      </w:pPr>
    </w:p>
    <w:p w14:paraId="3F8EBA97" w14:textId="77777777" w:rsidR="00071FD1" w:rsidRPr="00071FD1" w:rsidRDefault="00071FD1" w:rsidP="00624057">
      <w:pPr>
        <w:widowControl w:val="0"/>
        <w:suppressAutoHyphens/>
        <w:spacing w:after="0" w:line="480" w:lineRule="auto"/>
        <w:jc w:val="both"/>
        <w:rPr>
          <w:rFonts w:ascii="Arial" w:hAnsi="Arial" w:cs="Arial"/>
          <w:color w:val="000000"/>
          <w:highlight w:val="yellow"/>
        </w:rPr>
      </w:pPr>
      <w:r w:rsidRPr="00071FD1">
        <w:rPr>
          <w:rFonts w:ascii="Arial" w:hAnsi="Arial" w:cs="Arial"/>
          <w:b/>
          <w:bCs/>
          <w:i/>
          <w:iCs/>
          <w:color w:val="000000"/>
        </w:rPr>
        <w:t>Antihypertensives</w:t>
      </w:r>
      <w:r w:rsidRPr="00071FD1">
        <w:rPr>
          <w:rFonts w:ascii="Arial" w:hAnsi="Arial" w:cs="Arial"/>
          <w:color w:val="000000"/>
        </w:rPr>
        <w:br/>
        <w:t>NSAIDs, including CELECOXIB BIOTECH, may reduce the effect of antihypertensive medicines (including ACE-inhibitors, angiotensin II receptor antagonists, diuretics and beta-blockers). This interaction should be given consideration in patients taking CELECOXIB BIOTECH concomitantly with antihypertensive medicines. As for NSAIDs, the risk of acute renal insufficiency, which is usually reversible, may be increased in some patients with compromised renal function (e.g. dehydrated patients, patients on diuretics, or elderly patients) when ACE-inhibitors or angiotensin II receptor antagonists, and/or diuretics are combined with NSAIDs, including CELECOXIB BIOTECH (see section 4.4). Therefore, the combination should be administered with caution, especially in the elderly. Patients should be adequately hydrated and consideration should be given to monitoring of renal function after initiation of concomitant therapy, and periodically thereafter.</w:t>
      </w:r>
    </w:p>
    <w:p w14:paraId="6198F5FD" w14:textId="77777777" w:rsidR="00071FD1" w:rsidRPr="00071FD1" w:rsidRDefault="00071FD1" w:rsidP="00624057">
      <w:pPr>
        <w:widowControl w:val="0"/>
        <w:suppressAutoHyphens/>
        <w:spacing w:after="0" w:line="480" w:lineRule="auto"/>
        <w:jc w:val="both"/>
        <w:rPr>
          <w:rFonts w:ascii="Arial" w:hAnsi="Arial" w:cs="Arial"/>
          <w:b/>
          <w:noProof/>
          <w:highlight w:val="yellow"/>
        </w:rPr>
      </w:pPr>
    </w:p>
    <w:p w14:paraId="4421E186" w14:textId="77777777" w:rsidR="00071FD1" w:rsidRPr="00071FD1" w:rsidRDefault="00071FD1" w:rsidP="00624057">
      <w:pPr>
        <w:widowControl w:val="0"/>
        <w:suppressAutoHyphens/>
        <w:spacing w:after="0" w:line="480" w:lineRule="auto"/>
        <w:jc w:val="both"/>
        <w:rPr>
          <w:rFonts w:ascii="Arial" w:hAnsi="Arial" w:cs="Arial"/>
          <w:b/>
          <w:noProof/>
        </w:rPr>
      </w:pPr>
      <w:r w:rsidRPr="00071FD1">
        <w:rPr>
          <w:rFonts w:ascii="Arial" w:hAnsi="Arial" w:cs="Arial"/>
          <w:color w:val="000000"/>
        </w:rPr>
        <w:t>Clinical studies, as well as post-marketing observations, have shown that NSAIDs can reduce the natriuretic effect of furosemide and thiazides in some patients. This response has been attributed to inhibition of renal prostaglandin synthesis.</w:t>
      </w:r>
    </w:p>
    <w:p w14:paraId="62D599C2" w14:textId="77777777" w:rsidR="00071FD1" w:rsidRPr="00071FD1" w:rsidRDefault="00071FD1" w:rsidP="00624057">
      <w:pPr>
        <w:widowControl w:val="0"/>
        <w:suppressAutoHyphens/>
        <w:spacing w:after="0" w:line="480" w:lineRule="auto"/>
        <w:jc w:val="both"/>
        <w:rPr>
          <w:rFonts w:ascii="Arial" w:hAnsi="Arial" w:cs="Arial"/>
          <w:b/>
          <w:noProof/>
        </w:rPr>
      </w:pPr>
    </w:p>
    <w:p w14:paraId="37789DA4" w14:textId="77777777" w:rsidR="00071FD1" w:rsidRPr="00071FD1" w:rsidRDefault="00071FD1" w:rsidP="0098102B">
      <w:pPr>
        <w:widowControl w:val="0"/>
        <w:suppressAutoHyphens/>
        <w:spacing w:after="0" w:line="480" w:lineRule="auto"/>
        <w:rPr>
          <w:rFonts w:ascii="Arial" w:hAnsi="Arial" w:cs="Arial"/>
          <w:b/>
          <w:noProof/>
        </w:rPr>
      </w:pPr>
      <w:r w:rsidRPr="00071FD1">
        <w:rPr>
          <w:rFonts w:ascii="Arial" w:hAnsi="Arial" w:cs="Arial"/>
          <w:b/>
          <w:bCs/>
          <w:i/>
          <w:iCs/>
          <w:color w:val="000000"/>
        </w:rPr>
        <w:t>Ciclosporin and tacrolimus</w:t>
      </w:r>
      <w:r w:rsidRPr="00071FD1">
        <w:rPr>
          <w:rFonts w:ascii="Arial" w:hAnsi="Arial" w:cs="Arial"/>
          <w:color w:val="000000"/>
        </w:rPr>
        <w:br/>
        <w:t>Co-administration of NSAIDs (including CELECOXIB BIOTECH) and ciclosporin or tacrolimus may increase the nephrotoxic effect of ciclosporin or tacrolimus, respectively. Renal function should be monitored when CELECOXIB BIOTECH and any of these medicines are combined.</w:t>
      </w:r>
      <w:r w:rsidRPr="00071FD1">
        <w:t xml:space="preserve"> </w:t>
      </w:r>
      <w:r w:rsidRPr="00071FD1">
        <w:rPr>
          <w:rFonts w:ascii="Arial" w:hAnsi="Arial" w:cs="Arial"/>
          <w:color w:val="000000"/>
        </w:rPr>
        <w:t xml:space="preserve"> </w:t>
      </w:r>
    </w:p>
    <w:p w14:paraId="29446137" w14:textId="77777777" w:rsidR="00071FD1" w:rsidRPr="00071FD1" w:rsidRDefault="00071FD1" w:rsidP="00624057">
      <w:pPr>
        <w:widowControl w:val="0"/>
        <w:suppressAutoHyphens/>
        <w:spacing w:after="0" w:line="480" w:lineRule="auto"/>
        <w:jc w:val="both"/>
        <w:rPr>
          <w:rFonts w:ascii="Arial" w:hAnsi="Arial" w:cs="Arial"/>
          <w:b/>
          <w:bCs/>
          <w:i/>
          <w:iCs/>
          <w:color w:val="000000"/>
        </w:rPr>
      </w:pPr>
    </w:p>
    <w:p w14:paraId="3F523D24" w14:textId="77777777" w:rsidR="00071FD1" w:rsidRPr="00071FD1" w:rsidRDefault="00071FD1" w:rsidP="00624057">
      <w:pPr>
        <w:widowControl w:val="0"/>
        <w:suppressAutoHyphens/>
        <w:spacing w:after="0" w:line="480" w:lineRule="auto"/>
        <w:jc w:val="both"/>
        <w:rPr>
          <w:rFonts w:ascii="Arial" w:hAnsi="Arial" w:cs="Arial"/>
          <w:color w:val="000000"/>
        </w:rPr>
      </w:pPr>
      <w:r w:rsidRPr="00071FD1">
        <w:rPr>
          <w:rFonts w:ascii="Arial" w:hAnsi="Arial" w:cs="Arial"/>
          <w:b/>
          <w:bCs/>
          <w:i/>
          <w:iCs/>
          <w:color w:val="000000"/>
        </w:rPr>
        <w:t>Aspirin</w:t>
      </w:r>
      <w:r w:rsidRPr="00071FD1">
        <w:rPr>
          <w:rFonts w:ascii="Arial" w:hAnsi="Arial" w:cs="Arial"/>
          <w:color w:val="000000"/>
        </w:rPr>
        <w:br/>
      </w:r>
      <w:r w:rsidRPr="00071FD1">
        <w:rPr>
          <w:rFonts w:ascii="Arial" w:hAnsi="Arial" w:cs="Arial"/>
          <w:color w:val="000000"/>
        </w:rPr>
        <w:lastRenderedPageBreak/>
        <w:t xml:space="preserve">CELECOXIB BIOTECH can be used with low-dose aspirin. However, concomitant administration of aspirin with CELECOXIB BIOTECH may result in an increased risk of gastrointestinal ulceration or other gastrointestinal complications, compared to use of CELECOXIB BIOTECH alone. Because of its lack of platelet effects, CELECOXIB BIOTECH is not a substitute for aspirin for cardiovascular prophylaxis. </w:t>
      </w:r>
    </w:p>
    <w:p w14:paraId="510076D4" w14:textId="77777777" w:rsidR="00071FD1" w:rsidRPr="00071FD1" w:rsidRDefault="00071FD1" w:rsidP="00624057">
      <w:pPr>
        <w:widowControl w:val="0"/>
        <w:suppressAutoHyphens/>
        <w:spacing w:after="0" w:line="480" w:lineRule="auto"/>
        <w:jc w:val="both"/>
        <w:rPr>
          <w:rFonts w:ascii="Arial" w:hAnsi="Arial" w:cs="Arial"/>
          <w:color w:val="000000"/>
        </w:rPr>
      </w:pPr>
      <w:r w:rsidRPr="00071FD1">
        <w:rPr>
          <w:rFonts w:ascii="Arial" w:hAnsi="Arial" w:cs="Arial"/>
          <w:color w:val="000000"/>
        </w:rPr>
        <w:t>There is no consistent evidence that concurrent use of aspirin mitigates the increased risk of serious cardiovascular thromboembolic events associated with CELECOXIB BIOTECH.</w:t>
      </w:r>
    </w:p>
    <w:p w14:paraId="19DB7A4F" w14:textId="77777777" w:rsidR="00071FD1" w:rsidRPr="00071FD1" w:rsidRDefault="00071FD1" w:rsidP="00624057">
      <w:pPr>
        <w:widowControl w:val="0"/>
        <w:suppressAutoHyphens/>
        <w:spacing w:after="0" w:line="480" w:lineRule="auto"/>
        <w:jc w:val="both"/>
        <w:rPr>
          <w:rFonts w:ascii="Arial" w:hAnsi="Arial" w:cs="Arial"/>
          <w:color w:val="000000"/>
          <w:highlight w:val="yellow"/>
        </w:rPr>
      </w:pPr>
      <w:r w:rsidRPr="00071FD1">
        <w:rPr>
          <w:rFonts w:ascii="Arial" w:hAnsi="Arial" w:cs="Arial"/>
          <w:color w:val="000000"/>
        </w:rPr>
        <w:t>An increased risk of gastrointestinal ulceration or other gastrointestinal complications compared to use of CELECOXIB BIOTECH alone was shown for concomitant administration of low-dose aspirin.</w:t>
      </w:r>
    </w:p>
    <w:p w14:paraId="13EFF3A1" w14:textId="77777777" w:rsidR="00071FD1" w:rsidRPr="00071FD1" w:rsidRDefault="00071FD1" w:rsidP="00624057">
      <w:pPr>
        <w:widowControl w:val="0"/>
        <w:suppressAutoHyphens/>
        <w:spacing w:after="0" w:line="480" w:lineRule="auto"/>
        <w:jc w:val="both"/>
        <w:rPr>
          <w:rFonts w:ascii="Arial" w:hAnsi="Arial" w:cs="Arial"/>
          <w:b/>
          <w:bCs/>
          <w:i/>
          <w:iCs/>
          <w:color w:val="000000"/>
          <w:highlight w:val="yellow"/>
        </w:rPr>
      </w:pPr>
    </w:p>
    <w:p w14:paraId="7762338A" w14:textId="77777777" w:rsidR="00071FD1" w:rsidRPr="00071FD1" w:rsidRDefault="00071FD1" w:rsidP="00624057">
      <w:pPr>
        <w:widowControl w:val="0"/>
        <w:suppressAutoHyphens/>
        <w:spacing w:after="0" w:line="480" w:lineRule="auto"/>
        <w:jc w:val="both"/>
        <w:rPr>
          <w:rFonts w:ascii="Arial" w:hAnsi="Arial" w:cs="Arial"/>
          <w:b/>
          <w:bCs/>
          <w:color w:val="000000"/>
        </w:rPr>
      </w:pPr>
      <w:r w:rsidRPr="00071FD1">
        <w:rPr>
          <w:rFonts w:ascii="Arial" w:hAnsi="Arial" w:cs="Arial"/>
          <w:b/>
          <w:bCs/>
          <w:color w:val="000000"/>
        </w:rPr>
        <w:t>Pharmacokinetic interactions</w:t>
      </w:r>
    </w:p>
    <w:p w14:paraId="0D601CFD" w14:textId="77777777" w:rsidR="00071FD1" w:rsidRPr="00071FD1" w:rsidRDefault="00071FD1" w:rsidP="0098102B">
      <w:pPr>
        <w:widowControl w:val="0"/>
        <w:suppressAutoHyphens/>
        <w:spacing w:after="0" w:line="480" w:lineRule="auto"/>
        <w:rPr>
          <w:rFonts w:ascii="Arial" w:hAnsi="Arial" w:cs="Arial"/>
          <w:b/>
          <w:noProof/>
        </w:rPr>
      </w:pPr>
      <w:r w:rsidRPr="00071FD1">
        <w:rPr>
          <w:rFonts w:ascii="Arial" w:hAnsi="Arial" w:cs="Arial"/>
          <w:b/>
          <w:bCs/>
          <w:i/>
          <w:iCs/>
          <w:color w:val="000000"/>
        </w:rPr>
        <w:t>Effects of CELECOXIB BIOTECH on other medicines</w:t>
      </w:r>
      <w:r w:rsidRPr="00071FD1">
        <w:rPr>
          <w:rFonts w:ascii="Arial" w:hAnsi="Arial" w:cs="Arial"/>
          <w:color w:val="000000"/>
        </w:rPr>
        <w:br/>
      </w:r>
      <w:r w:rsidRPr="00071FD1">
        <w:rPr>
          <w:rFonts w:ascii="Arial" w:hAnsi="Arial" w:cs="Arial"/>
          <w:i/>
          <w:iCs/>
          <w:color w:val="000000"/>
        </w:rPr>
        <w:t>CYP2D6 inhibition</w:t>
      </w:r>
      <w:r w:rsidRPr="00071FD1">
        <w:rPr>
          <w:rFonts w:ascii="Arial" w:hAnsi="Arial" w:cs="Arial"/>
          <w:color w:val="000000"/>
        </w:rPr>
        <w:br/>
        <w:t>Celecoxib is an inhibitor of CYP2D6. The plasma concentrations of medicines that are substrates of this enzyme may be increased when CELECOXIB BIOTECH is used concomitantly. Examples of medicines which are metabolised by CYP2D6 are antidepressants (tricyclics and selective serotonin reuptake inhibitors (SSRIs)), neuroleptics, antidysrhythmic medicines, etc. The dose of individually dose-titrated CYP2D6 substrates may need to be reduced when treatment with CELECOXIB BIOTECH is initiated or increased if treatment with CELECOXIB BIOTECH is terminated.</w:t>
      </w:r>
    </w:p>
    <w:p w14:paraId="3B44C018" w14:textId="77777777" w:rsidR="00071FD1" w:rsidRPr="00071FD1" w:rsidRDefault="00071FD1" w:rsidP="00624057">
      <w:pPr>
        <w:widowControl w:val="0"/>
        <w:suppressAutoHyphens/>
        <w:spacing w:after="0" w:line="480" w:lineRule="auto"/>
        <w:jc w:val="both"/>
        <w:rPr>
          <w:rFonts w:ascii="Arial" w:hAnsi="Arial" w:cs="Arial"/>
          <w:b/>
          <w:noProof/>
        </w:rPr>
      </w:pPr>
    </w:p>
    <w:p w14:paraId="578A3CAC" w14:textId="77777777" w:rsidR="00071FD1" w:rsidRPr="00071FD1" w:rsidRDefault="00071FD1" w:rsidP="00624057">
      <w:pPr>
        <w:widowControl w:val="0"/>
        <w:suppressAutoHyphens/>
        <w:spacing w:after="0" w:line="480" w:lineRule="auto"/>
        <w:jc w:val="both"/>
        <w:rPr>
          <w:rFonts w:ascii="Arial" w:hAnsi="Arial" w:cs="Arial"/>
          <w:b/>
          <w:noProof/>
        </w:rPr>
      </w:pPr>
      <w:r w:rsidRPr="00071FD1">
        <w:rPr>
          <w:rFonts w:ascii="Arial" w:hAnsi="Arial" w:cs="Arial"/>
          <w:color w:val="000000"/>
        </w:rPr>
        <w:t>Concomitant administration of celecoxib 200 mg twice daily resulted in 2,6-fold and 1,5-fold increases in plasma concentrations of dextromethorphan and metoprolol (CYP2D6 substrates), respectively. These increases are due to celecoxib inhibition of the CYP2D6 substrate metabolism.</w:t>
      </w:r>
    </w:p>
    <w:p w14:paraId="6D467829" w14:textId="77777777" w:rsidR="00071FD1" w:rsidRPr="00071FD1" w:rsidRDefault="00071FD1" w:rsidP="00624057">
      <w:pPr>
        <w:widowControl w:val="0"/>
        <w:suppressAutoHyphens/>
        <w:spacing w:after="0" w:line="480" w:lineRule="auto"/>
        <w:jc w:val="both"/>
        <w:rPr>
          <w:rFonts w:ascii="Arial" w:hAnsi="Arial" w:cs="Arial"/>
          <w:b/>
          <w:noProof/>
        </w:rPr>
      </w:pPr>
    </w:p>
    <w:p w14:paraId="437CA964" w14:textId="77777777" w:rsidR="00071FD1" w:rsidRPr="00071FD1" w:rsidRDefault="00071FD1" w:rsidP="0098102B">
      <w:pPr>
        <w:widowControl w:val="0"/>
        <w:suppressAutoHyphens/>
        <w:spacing w:after="0" w:line="480" w:lineRule="auto"/>
        <w:rPr>
          <w:rFonts w:ascii="Arial" w:hAnsi="Arial" w:cs="Arial"/>
          <w:b/>
          <w:noProof/>
        </w:rPr>
      </w:pPr>
      <w:r w:rsidRPr="00071FD1">
        <w:rPr>
          <w:rFonts w:ascii="Arial" w:hAnsi="Arial" w:cs="Arial"/>
          <w:i/>
          <w:iCs/>
          <w:color w:val="000000"/>
        </w:rPr>
        <w:t>CYP2C19 inhibition</w:t>
      </w:r>
      <w:r w:rsidRPr="00071FD1">
        <w:rPr>
          <w:rFonts w:ascii="Arial" w:hAnsi="Arial" w:cs="Arial"/>
          <w:color w:val="000000"/>
        </w:rPr>
        <w:br/>
      </w:r>
      <w:r w:rsidRPr="00071FD1">
        <w:rPr>
          <w:rFonts w:ascii="Arial" w:hAnsi="Arial" w:cs="Arial"/>
          <w:i/>
          <w:iCs/>
          <w:color w:val="000000"/>
        </w:rPr>
        <w:t>In vitro</w:t>
      </w:r>
      <w:r w:rsidRPr="00071FD1">
        <w:rPr>
          <w:rFonts w:ascii="Arial" w:hAnsi="Arial" w:cs="Arial"/>
          <w:color w:val="000000"/>
        </w:rPr>
        <w:t xml:space="preserve"> studies have shown some potential for celecoxib to inhibit CYP2C19 catalysed metabolism. The clinical significance of this in vitro finding is unknown. Examples of medicines which are metabolised by CYP2C19 are diazepam, citalopram and imipramine.</w:t>
      </w:r>
    </w:p>
    <w:p w14:paraId="207B3BC5" w14:textId="77777777" w:rsidR="00071FD1" w:rsidRPr="00071FD1" w:rsidRDefault="00071FD1" w:rsidP="00624057">
      <w:pPr>
        <w:widowControl w:val="0"/>
        <w:suppressAutoHyphens/>
        <w:spacing w:after="0" w:line="480" w:lineRule="auto"/>
        <w:jc w:val="both"/>
        <w:rPr>
          <w:rFonts w:ascii="Arial" w:hAnsi="Arial" w:cs="Arial"/>
          <w:i/>
          <w:iCs/>
          <w:color w:val="000000"/>
        </w:rPr>
      </w:pPr>
    </w:p>
    <w:p w14:paraId="32B0B142" w14:textId="77777777" w:rsidR="00071FD1" w:rsidRPr="00071FD1" w:rsidRDefault="00071FD1" w:rsidP="00624057">
      <w:pPr>
        <w:widowControl w:val="0"/>
        <w:suppressAutoHyphens/>
        <w:spacing w:after="0" w:line="480" w:lineRule="auto"/>
        <w:jc w:val="both"/>
        <w:rPr>
          <w:rFonts w:ascii="Arial" w:hAnsi="Arial" w:cs="Arial"/>
          <w:i/>
          <w:iCs/>
          <w:color w:val="000000"/>
        </w:rPr>
      </w:pPr>
      <w:r w:rsidRPr="00071FD1">
        <w:rPr>
          <w:rFonts w:ascii="Arial" w:hAnsi="Arial" w:cs="Arial"/>
          <w:i/>
          <w:iCs/>
          <w:color w:val="000000"/>
        </w:rPr>
        <w:t>Methotrexate</w:t>
      </w:r>
      <w:r w:rsidRPr="00071FD1">
        <w:rPr>
          <w:rFonts w:ascii="Arial" w:hAnsi="Arial" w:cs="Arial"/>
          <w:color w:val="000000"/>
        </w:rPr>
        <w:br/>
        <w:t>In patients with rheumatoid arthritis celecoxib had no statistically significant effect on the pharmacokinetics (plasma or renal clearance) of methotrexate (in rheumatologic doses).</w:t>
      </w:r>
      <w:r w:rsidRPr="00071FD1">
        <w:rPr>
          <w:rFonts w:cs="Arial"/>
          <w:lang w:val="en-GB"/>
        </w:rPr>
        <w:t xml:space="preserve"> </w:t>
      </w:r>
      <w:r w:rsidRPr="00071FD1">
        <w:rPr>
          <w:rFonts w:ascii="Arial" w:hAnsi="Arial" w:cs="Arial"/>
          <w:color w:val="000000"/>
        </w:rPr>
        <w:t>However, adequate monitoring for methotrexate-related toxicity should be considered when combining these two medicines.</w:t>
      </w:r>
    </w:p>
    <w:p w14:paraId="3F8D0FC3" w14:textId="77777777" w:rsidR="00071FD1" w:rsidRPr="00071FD1" w:rsidRDefault="00071FD1" w:rsidP="00624057">
      <w:pPr>
        <w:widowControl w:val="0"/>
        <w:suppressAutoHyphens/>
        <w:spacing w:after="0" w:line="480" w:lineRule="auto"/>
        <w:jc w:val="both"/>
        <w:rPr>
          <w:rFonts w:ascii="Arial" w:hAnsi="Arial" w:cs="Arial"/>
          <w:i/>
          <w:iCs/>
          <w:color w:val="000000"/>
        </w:rPr>
      </w:pPr>
    </w:p>
    <w:p w14:paraId="21A27D10" w14:textId="77777777" w:rsidR="00071FD1" w:rsidRPr="00071FD1" w:rsidRDefault="00071FD1" w:rsidP="00624057">
      <w:pPr>
        <w:widowControl w:val="0"/>
        <w:suppressAutoHyphens/>
        <w:spacing w:after="0" w:line="480" w:lineRule="auto"/>
        <w:jc w:val="both"/>
        <w:rPr>
          <w:rFonts w:ascii="Arial" w:hAnsi="Arial" w:cs="Arial"/>
          <w:color w:val="000000"/>
        </w:rPr>
      </w:pPr>
      <w:r w:rsidRPr="00071FD1">
        <w:rPr>
          <w:rFonts w:ascii="Arial" w:hAnsi="Arial" w:cs="Arial"/>
          <w:i/>
          <w:iCs/>
          <w:color w:val="000000"/>
        </w:rPr>
        <w:t>Lithium</w:t>
      </w:r>
      <w:r w:rsidRPr="00071FD1">
        <w:rPr>
          <w:rFonts w:ascii="Arial" w:hAnsi="Arial" w:cs="Arial"/>
          <w:color w:val="000000"/>
        </w:rPr>
        <w:br/>
        <w:t>In healthy persons, co-administration of celecoxib 200 mg twice daily with 450 mg twice daily of lithium resulted in a mean increase in C</w:t>
      </w:r>
      <w:r w:rsidRPr="00071FD1">
        <w:rPr>
          <w:rFonts w:ascii="Arial" w:hAnsi="Arial" w:cs="Arial"/>
          <w:color w:val="000000"/>
          <w:vertAlign w:val="subscript"/>
        </w:rPr>
        <w:t>max</w:t>
      </w:r>
      <w:r w:rsidRPr="00071FD1">
        <w:rPr>
          <w:rFonts w:ascii="Arial" w:hAnsi="Arial" w:cs="Arial"/>
          <w:color w:val="000000"/>
        </w:rPr>
        <w:t xml:space="preserve"> of 16 % and in area under the curve (AUC) of 18 % of lithium. Therefore, patients on lithium treatment should be closely monitored when CELECOXIB BIOTECH is introduced or withdrawn.</w:t>
      </w:r>
    </w:p>
    <w:p w14:paraId="71A4A4C1" w14:textId="77777777" w:rsidR="00071FD1" w:rsidRPr="00071FD1" w:rsidRDefault="00071FD1" w:rsidP="00624057">
      <w:pPr>
        <w:widowControl w:val="0"/>
        <w:suppressAutoHyphens/>
        <w:spacing w:after="0" w:line="480" w:lineRule="auto"/>
        <w:jc w:val="both"/>
        <w:rPr>
          <w:rFonts w:ascii="Arial" w:hAnsi="Arial" w:cs="Arial"/>
          <w:i/>
          <w:iCs/>
          <w:color w:val="000000"/>
        </w:rPr>
      </w:pPr>
    </w:p>
    <w:p w14:paraId="54516710" w14:textId="77777777" w:rsidR="00071FD1" w:rsidRPr="00071FD1" w:rsidRDefault="00071FD1" w:rsidP="0098102B">
      <w:pPr>
        <w:widowControl w:val="0"/>
        <w:suppressAutoHyphens/>
        <w:spacing w:after="0" w:line="480" w:lineRule="auto"/>
        <w:rPr>
          <w:rFonts w:ascii="Arial" w:hAnsi="Arial" w:cs="Arial"/>
          <w:i/>
          <w:iCs/>
          <w:color w:val="000000"/>
        </w:rPr>
      </w:pPr>
      <w:r w:rsidRPr="00071FD1">
        <w:rPr>
          <w:rFonts w:ascii="Arial" w:hAnsi="Arial" w:cs="Arial"/>
          <w:i/>
          <w:iCs/>
          <w:color w:val="000000"/>
        </w:rPr>
        <w:t>Oral contraceptives</w:t>
      </w:r>
      <w:r w:rsidRPr="00071FD1">
        <w:rPr>
          <w:rFonts w:ascii="Arial" w:hAnsi="Arial" w:cs="Arial"/>
          <w:color w:val="000000"/>
        </w:rPr>
        <w:br/>
        <w:t>In an interaction study, celecoxib had no clinically relevant effects on the pharmacokinetics of oral contraceptive (1 mg norethisterone /35 micrograms ethinylestradiol).</w:t>
      </w:r>
    </w:p>
    <w:p w14:paraId="51EBC0D4" w14:textId="77777777" w:rsidR="00071FD1" w:rsidRPr="00071FD1" w:rsidRDefault="00071FD1" w:rsidP="00624057">
      <w:pPr>
        <w:widowControl w:val="0"/>
        <w:suppressAutoHyphens/>
        <w:spacing w:after="0" w:line="480" w:lineRule="auto"/>
        <w:jc w:val="both"/>
        <w:rPr>
          <w:rFonts w:ascii="Arial" w:hAnsi="Arial" w:cs="Arial"/>
          <w:i/>
          <w:iCs/>
          <w:color w:val="000000"/>
        </w:rPr>
      </w:pPr>
    </w:p>
    <w:p w14:paraId="5C51740F" w14:textId="5AA34772" w:rsidR="00071FD1" w:rsidRPr="00071FD1" w:rsidRDefault="00071FD1" w:rsidP="00624057">
      <w:pPr>
        <w:widowControl w:val="0"/>
        <w:suppressAutoHyphens/>
        <w:spacing w:after="0" w:line="480" w:lineRule="auto"/>
        <w:jc w:val="both"/>
        <w:rPr>
          <w:rFonts w:ascii="Arial" w:hAnsi="Arial" w:cs="Arial"/>
          <w:i/>
          <w:iCs/>
          <w:color w:val="000000"/>
        </w:rPr>
      </w:pPr>
      <w:r w:rsidRPr="00071FD1">
        <w:rPr>
          <w:rFonts w:ascii="Arial" w:hAnsi="Arial" w:cs="Arial"/>
          <w:i/>
          <w:iCs/>
          <w:color w:val="000000"/>
        </w:rPr>
        <w:t>Glibenclamide/</w:t>
      </w:r>
      <w:r w:rsidR="0098102B">
        <w:rPr>
          <w:rFonts w:ascii="Arial" w:hAnsi="Arial" w:cs="Arial"/>
          <w:i/>
          <w:iCs/>
          <w:color w:val="000000"/>
        </w:rPr>
        <w:t xml:space="preserve"> </w:t>
      </w:r>
      <w:r w:rsidRPr="00071FD1">
        <w:rPr>
          <w:rFonts w:ascii="Arial" w:hAnsi="Arial" w:cs="Arial"/>
          <w:i/>
          <w:iCs/>
          <w:color w:val="000000"/>
        </w:rPr>
        <w:t>tolbutamide</w:t>
      </w:r>
    </w:p>
    <w:p w14:paraId="3BDE44A2" w14:textId="77777777" w:rsidR="00071FD1" w:rsidRPr="00071FD1" w:rsidRDefault="00071FD1" w:rsidP="00624057">
      <w:pPr>
        <w:widowControl w:val="0"/>
        <w:suppressAutoHyphens/>
        <w:spacing w:after="0" w:line="480" w:lineRule="auto"/>
        <w:jc w:val="both"/>
        <w:rPr>
          <w:rFonts w:ascii="Arial" w:hAnsi="Arial" w:cs="Arial"/>
          <w:color w:val="000000"/>
        </w:rPr>
      </w:pPr>
      <w:r w:rsidRPr="00071FD1">
        <w:rPr>
          <w:rFonts w:ascii="Arial" w:hAnsi="Arial" w:cs="Arial"/>
          <w:color w:val="000000"/>
        </w:rPr>
        <w:t>Celecoxib does not affect the pharmacokinetics of tolbutamide (CYP2C9 substrate), or glibenclamide to a clinically relevant extent.</w:t>
      </w:r>
    </w:p>
    <w:p w14:paraId="58FBC4E1" w14:textId="77777777" w:rsidR="00071FD1" w:rsidRPr="00071FD1" w:rsidRDefault="00071FD1" w:rsidP="00624057">
      <w:pPr>
        <w:widowControl w:val="0"/>
        <w:suppressAutoHyphens/>
        <w:spacing w:after="0" w:line="480" w:lineRule="auto"/>
        <w:jc w:val="both"/>
        <w:rPr>
          <w:rFonts w:ascii="Arial" w:hAnsi="Arial" w:cs="Arial"/>
          <w:i/>
          <w:iCs/>
          <w:color w:val="000000"/>
        </w:rPr>
      </w:pPr>
    </w:p>
    <w:p w14:paraId="4DBCD743" w14:textId="77777777" w:rsidR="00071FD1" w:rsidRPr="00071FD1" w:rsidRDefault="00071FD1" w:rsidP="00624057">
      <w:pPr>
        <w:widowControl w:val="0"/>
        <w:suppressAutoHyphens/>
        <w:spacing w:after="0" w:line="480" w:lineRule="auto"/>
        <w:jc w:val="both"/>
        <w:rPr>
          <w:rFonts w:ascii="Arial" w:hAnsi="Arial" w:cs="Arial"/>
          <w:i/>
          <w:iCs/>
          <w:color w:val="000000"/>
        </w:rPr>
      </w:pPr>
      <w:r w:rsidRPr="00071FD1">
        <w:rPr>
          <w:rFonts w:ascii="Arial" w:hAnsi="Arial" w:cs="Arial"/>
          <w:i/>
          <w:iCs/>
          <w:color w:val="000000"/>
        </w:rPr>
        <w:t>Phenytoin</w:t>
      </w:r>
    </w:p>
    <w:p w14:paraId="609AF1EA" w14:textId="77777777" w:rsidR="00071FD1" w:rsidRPr="00071FD1" w:rsidRDefault="00071FD1" w:rsidP="00624057">
      <w:pPr>
        <w:widowControl w:val="0"/>
        <w:suppressAutoHyphens/>
        <w:spacing w:after="0" w:line="480" w:lineRule="auto"/>
        <w:jc w:val="both"/>
        <w:rPr>
          <w:rFonts w:ascii="Arial" w:hAnsi="Arial" w:cs="Arial"/>
          <w:color w:val="000000"/>
        </w:rPr>
      </w:pPr>
      <w:r w:rsidRPr="00071FD1">
        <w:rPr>
          <w:rFonts w:ascii="Arial" w:hAnsi="Arial" w:cs="Arial"/>
          <w:color w:val="000000"/>
        </w:rPr>
        <w:t>In specific studies in healthy volunteers with other medicines metabolised by CYP2C9, celecoxib was found to produce no clinically significant pharmacokinetic interaction with phenytoin.</w:t>
      </w:r>
    </w:p>
    <w:p w14:paraId="333F9046" w14:textId="77777777" w:rsidR="00071FD1" w:rsidRPr="00071FD1" w:rsidRDefault="00071FD1" w:rsidP="00624057">
      <w:pPr>
        <w:widowControl w:val="0"/>
        <w:suppressAutoHyphens/>
        <w:spacing w:after="0" w:line="480" w:lineRule="auto"/>
        <w:jc w:val="both"/>
        <w:rPr>
          <w:rFonts w:ascii="Arial" w:hAnsi="Arial" w:cs="Arial"/>
          <w:i/>
          <w:iCs/>
          <w:color w:val="000000"/>
        </w:rPr>
      </w:pPr>
    </w:p>
    <w:p w14:paraId="288EA758" w14:textId="77777777" w:rsidR="00071FD1" w:rsidRPr="00071FD1" w:rsidRDefault="00071FD1" w:rsidP="00624057">
      <w:pPr>
        <w:widowControl w:val="0"/>
        <w:suppressAutoHyphens/>
        <w:spacing w:after="0" w:line="480" w:lineRule="auto"/>
        <w:jc w:val="both"/>
        <w:rPr>
          <w:rFonts w:ascii="Arial" w:hAnsi="Arial" w:cs="Arial"/>
          <w:i/>
          <w:iCs/>
          <w:color w:val="000000"/>
        </w:rPr>
      </w:pPr>
      <w:r w:rsidRPr="00071FD1">
        <w:rPr>
          <w:rFonts w:ascii="Arial" w:hAnsi="Arial" w:cs="Arial"/>
          <w:i/>
          <w:iCs/>
          <w:color w:val="000000"/>
        </w:rPr>
        <w:t>Effects of other medicines on CELECOXIB BIOTECH</w:t>
      </w:r>
    </w:p>
    <w:p w14:paraId="03B6B39D" w14:textId="77777777" w:rsidR="00071FD1" w:rsidRPr="00071FD1" w:rsidRDefault="00071FD1" w:rsidP="00624057">
      <w:pPr>
        <w:widowControl w:val="0"/>
        <w:suppressAutoHyphens/>
        <w:spacing w:after="0" w:line="480" w:lineRule="auto"/>
        <w:jc w:val="both"/>
        <w:rPr>
          <w:rFonts w:ascii="Arial" w:hAnsi="Arial" w:cs="Arial"/>
          <w:color w:val="000000"/>
        </w:rPr>
      </w:pPr>
      <w:r w:rsidRPr="00071FD1">
        <w:rPr>
          <w:rFonts w:ascii="Arial" w:hAnsi="Arial" w:cs="Arial"/>
          <w:i/>
          <w:iCs/>
          <w:color w:val="000000"/>
        </w:rPr>
        <w:t xml:space="preserve">CYP2C9 poor metabolisers </w:t>
      </w:r>
    </w:p>
    <w:p w14:paraId="13153CF1" w14:textId="77777777" w:rsidR="00071FD1" w:rsidRPr="00071FD1" w:rsidRDefault="00071FD1" w:rsidP="00624057">
      <w:pPr>
        <w:widowControl w:val="0"/>
        <w:suppressAutoHyphens/>
        <w:spacing w:after="0" w:line="480" w:lineRule="auto"/>
        <w:jc w:val="both"/>
        <w:rPr>
          <w:rFonts w:ascii="Arial" w:hAnsi="Arial" w:cs="Arial"/>
          <w:i/>
          <w:iCs/>
          <w:color w:val="000000"/>
        </w:rPr>
      </w:pPr>
      <w:r w:rsidRPr="00071FD1">
        <w:rPr>
          <w:rFonts w:ascii="Arial" w:hAnsi="Arial" w:cs="Arial"/>
          <w:color w:val="000000"/>
        </w:rPr>
        <w:lastRenderedPageBreak/>
        <w:t>In individuals who are CYP2C9 poor metabolisers and demonstrate increased systemic exposure to celecoxib, concomitant treatment with CYP2C9 inhibitors, such as fluconazole, could result in further increases in celecoxib exposure. Such combinations should be avoided in known CYP2C9 poor metabolisers (see section 4.4).</w:t>
      </w:r>
    </w:p>
    <w:p w14:paraId="30CFB827" w14:textId="77777777" w:rsidR="00071FD1" w:rsidRPr="00071FD1" w:rsidRDefault="00071FD1" w:rsidP="00624057">
      <w:pPr>
        <w:widowControl w:val="0"/>
        <w:suppressAutoHyphens/>
        <w:spacing w:after="0" w:line="480" w:lineRule="auto"/>
        <w:jc w:val="both"/>
        <w:rPr>
          <w:rFonts w:ascii="Arial" w:hAnsi="Arial" w:cs="Arial"/>
          <w:i/>
          <w:iCs/>
          <w:color w:val="000000"/>
        </w:rPr>
      </w:pPr>
    </w:p>
    <w:p w14:paraId="2BD87867" w14:textId="77777777" w:rsidR="00071FD1" w:rsidRPr="00071FD1" w:rsidRDefault="00071FD1" w:rsidP="00624057">
      <w:pPr>
        <w:widowControl w:val="0"/>
        <w:suppressAutoHyphens/>
        <w:spacing w:after="0" w:line="480" w:lineRule="auto"/>
        <w:jc w:val="both"/>
        <w:rPr>
          <w:rFonts w:ascii="Arial" w:hAnsi="Arial" w:cs="Arial"/>
          <w:color w:val="000000"/>
        </w:rPr>
      </w:pPr>
      <w:r w:rsidRPr="00071FD1">
        <w:rPr>
          <w:rFonts w:ascii="Arial" w:hAnsi="Arial" w:cs="Arial"/>
          <w:i/>
          <w:iCs/>
          <w:color w:val="000000"/>
        </w:rPr>
        <w:t>CYP2C9 inhibitors and inducers</w:t>
      </w:r>
    </w:p>
    <w:p w14:paraId="2A8FBECB" w14:textId="77777777" w:rsidR="00071FD1" w:rsidRPr="00071FD1" w:rsidRDefault="00071FD1" w:rsidP="00624057">
      <w:pPr>
        <w:widowControl w:val="0"/>
        <w:suppressAutoHyphens/>
        <w:spacing w:after="0" w:line="480" w:lineRule="auto"/>
        <w:jc w:val="both"/>
        <w:rPr>
          <w:rFonts w:ascii="Arial" w:hAnsi="Arial" w:cs="Arial"/>
          <w:i/>
          <w:iCs/>
          <w:color w:val="000000"/>
        </w:rPr>
      </w:pPr>
      <w:r w:rsidRPr="00071FD1">
        <w:rPr>
          <w:rFonts w:ascii="Arial" w:hAnsi="Arial" w:cs="Arial"/>
          <w:color w:val="000000"/>
        </w:rPr>
        <w:t>Since celecoxib is predominantly metabolised by CYP2C9, CELECOXIB BIOTECH should be used at half the recommended dose in patients receiving fluconazole. Concomitant use of 200 mg single dose of celecoxib and 200 mg once daily of fluconazole, a potent CYP2C9 inhibitor, resulted in a mean increase in celecoxib C</w:t>
      </w:r>
      <w:r w:rsidRPr="00071FD1">
        <w:rPr>
          <w:rFonts w:ascii="Arial" w:hAnsi="Arial" w:cs="Arial"/>
          <w:color w:val="000000"/>
          <w:vertAlign w:val="subscript"/>
        </w:rPr>
        <w:t>max</w:t>
      </w:r>
      <w:r w:rsidRPr="00071FD1">
        <w:rPr>
          <w:rFonts w:ascii="Arial" w:hAnsi="Arial" w:cs="Arial"/>
          <w:color w:val="000000"/>
        </w:rPr>
        <w:t xml:space="preserve"> of 60 % and in AUC of 130 %. Concomitant use of inducers of CYP2C9 such as rifampicin, carbamazepine and barbiturates may reduce plasma concentrations of celecoxib.</w:t>
      </w:r>
    </w:p>
    <w:p w14:paraId="67972E23" w14:textId="77777777" w:rsidR="00071FD1" w:rsidRPr="00071FD1" w:rsidRDefault="00071FD1" w:rsidP="00624057">
      <w:pPr>
        <w:widowControl w:val="0"/>
        <w:suppressAutoHyphens/>
        <w:spacing w:after="0" w:line="480" w:lineRule="auto"/>
        <w:jc w:val="both"/>
        <w:rPr>
          <w:rFonts w:ascii="Arial" w:hAnsi="Arial" w:cs="Arial"/>
          <w:i/>
          <w:iCs/>
          <w:color w:val="000000"/>
        </w:rPr>
      </w:pPr>
    </w:p>
    <w:p w14:paraId="2DD1DDFE" w14:textId="77777777" w:rsidR="00071FD1" w:rsidRPr="00071FD1" w:rsidRDefault="00071FD1" w:rsidP="00624057">
      <w:pPr>
        <w:widowControl w:val="0"/>
        <w:suppressAutoHyphens/>
        <w:spacing w:after="0" w:line="480" w:lineRule="auto"/>
        <w:jc w:val="both"/>
        <w:rPr>
          <w:rFonts w:ascii="Arial" w:hAnsi="Arial" w:cs="Arial"/>
          <w:i/>
          <w:iCs/>
          <w:color w:val="000000"/>
        </w:rPr>
      </w:pPr>
      <w:r w:rsidRPr="00071FD1">
        <w:rPr>
          <w:rFonts w:ascii="Arial" w:hAnsi="Arial" w:cs="Arial"/>
          <w:i/>
          <w:iCs/>
          <w:color w:val="000000"/>
        </w:rPr>
        <w:t>Ketoconazole and antacids</w:t>
      </w:r>
    </w:p>
    <w:p w14:paraId="673E149D" w14:textId="77777777" w:rsidR="00071FD1" w:rsidRPr="00071FD1" w:rsidRDefault="00071FD1" w:rsidP="00624057">
      <w:pPr>
        <w:widowControl w:val="0"/>
        <w:suppressAutoHyphens/>
        <w:spacing w:after="0" w:line="480" w:lineRule="auto"/>
        <w:jc w:val="both"/>
        <w:rPr>
          <w:rFonts w:ascii="Arial" w:hAnsi="Arial" w:cs="Arial"/>
          <w:i/>
          <w:iCs/>
          <w:color w:val="000000"/>
        </w:rPr>
      </w:pPr>
      <w:r w:rsidRPr="00071FD1">
        <w:rPr>
          <w:rFonts w:ascii="Arial" w:hAnsi="Arial" w:cs="Arial"/>
          <w:color w:val="000000"/>
        </w:rPr>
        <w:t>Ketoconazole or antacids have not been observed to affect the pharmacokinetics of celecoxib.</w:t>
      </w:r>
    </w:p>
    <w:p w14:paraId="53A9C5D7" w14:textId="77777777" w:rsidR="00071FD1" w:rsidRPr="00071FD1" w:rsidRDefault="00071FD1" w:rsidP="00624057">
      <w:pPr>
        <w:widowControl w:val="0"/>
        <w:suppressAutoHyphens/>
        <w:spacing w:after="0" w:line="480" w:lineRule="auto"/>
        <w:jc w:val="both"/>
        <w:rPr>
          <w:rFonts w:ascii="Arial" w:hAnsi="Arial" w:cs="Arial"/>
          <w:i/>
          <w:iCs/>
          <w:color w:val="000000"/>
        </w:rPr>
      </w:pPr>
    </w:p>
    <w:p w14:paraId="3317BE25" w14:textId="77777777" w:rsidR="00071FD1" w:rsidRPr="00071FD1" w:rsidRDefault="00071FD1" w:rsidP="00624057">
      <w:pPr>
        <w:widowControl w:val="0"/>
        <w:suppressAutoHyphens/>
        <w:spacing w:after="0" w:line="480" w:lineRule="auto"/>
        <w:jc w:val="both"/>
        <w:rPr>
          <w:rFonts w:ascii="Arial" w:hAnsi="Arial" w:cs="Arial"/>
          <w:b/>
          <w:bCs/>
          <w:i/>
          <w:iCs/>
          <w:color w:val="000000"/>
        </w:rPr>
      </w:pPr>
      <w:r w:rsidRPr="00071FD1">
        <w:rPr>
          <w:rFonts w:ascii="Arial" w:hAnsi="Arial" w:cs="Arial"/>
          <w:b/>
          <w:bCs/>
          <w:i/>
          <w:iCs/>
          <w:color w:val="000000"/>
        </w:rPr>
        <w:t>Paediatric populations</w:t>
      </w:r>
    </w:p>
    <w:p w14:paraId="30E660A4" w14:textId="77777777" w:rsidR="00071FD1" w:rsidRPr="00071FD1" w:rsidRDefault="00071FD1" w:rsidP="00624057">
      <w:pPr>
        <w:widowControl w:val="0"/>
        <w:suppressAutoHyphens/>
        <w:spacing w:after="0" w:line="480" w:lineRule="auto"/>
        <w:jc w:val="both"/>
        <w:rPr>
          <w:rFonts w:ascii="Arial" w:hAnsi="Arial" w:cs="Arial"/>
          <w:i/>
          <w:iCs/>
          <w:color w:val="000000"/>
        </w:rPr>
      </w:pPr>
      <w:r w:rsidRPr="00071FD1">
        <w:rPr>
          <w:rFonts w:ascii="Arial" w:hAnsi="Arial" w:cs="Arial"/>
          <w:color w:val="000000"/>
        </w:rPr>
        <w:t>Interaction studies have only been performed in adults.</w:t>
      </w:r>
    </w:p>
    <w:p w14:paraId="11164D32" w14:textId="77777777" w:rsidR="00071FD1" w:rsidRPr="00071FD1" w:rsidRDefault="00071FD1" w:rsidP="00624057">
      <w:pPr>
        <w:widowControl w:val="0"/>
        <w:suppressAutoHyphens/>
        <w:spacing w:after="0" w:line="480" w:lineRule="auto"/>
        <w:jc w:val="both"/>
        <w:rPr>
          <w:rFonts w:ascii="Arial" w:hAnsi="Arial" w:cs="Arial"/>
          <w:i/>
          <w:iCs/>
          <w:color w:val="000000"/>
          <w:highlight w:val="yellow"/>
        </w:rPr>
      </w:pPr>
    </w:p>
    <w:p w14:paraId="1F9C33EF" w14:textId="77777777" w:rsidR="00071FD1" w:rsidRPr="00071FD1" w:rsidRDefault="00071FD1" w:rsidP="00624057">
      <w:pPr>
        <w:widowControl w:val="0"/>
        <w:suppressAutoHyphens/>
        <w:spacing w:after="0" w:line="480" w:lineRule="auto"/>
        <w:ind w:left="567" w:hanging="567"/>
        <w:jc w:val="both"/>
        <w:outlineLvl w:val="0"/>
        <w:rPr>
          <w:rFonts w:ascii="Arial" w:hAnsi="Arial" w:cs="Arial"/>
          <w:b/>
          <w:noProof/>
        </w:rPr>
      </w:pPr>
      <w:r w:rsidRPr="00071FD1">
        <w:rPr>
          <w:rFonts w:ascii="Arial" w:hAnsi="Arial" w:cs="Arial"/>
          <w:b/>
          <w:noProof/>
        </w:rPr>
        <w:t>4.6</w:t>
      </w:r>
      <w:r w:rsidRPr="00071FD1">
        <w:rPr>
          <w:rFonts w:ascii="Arial" w:hAnsi="Arial" w:cs="Arial"/>
          <w:b/>
          <w:noProof/>
        </w:rPr>
        <w:tab/>
      </w:r>
      <w:r w:rsidRPr="00071FD1">
        <w:rPr>
          <w:rFonts w:ascii="Arial" w:hAnsi="Arial" w:cs="Arial"/>
          <w:b/>
          <w:bCs/>
        </w:rPr>
        <w:t>Fertility, p</w:t>
      </w:r>
      <w:r w:rsidRPr="00071FD1">
        <w:rPr>
          <w:rFonts w:ascii="Arial" w:hAnsi="Arial" w:cs="Arial"/>
          <w:b/>
          <w:noProof/>
        </w:rPr>
        <w:t>regnancy and lactation</w:t>
      </w:r>
    </w:p>
    <w:p w14:paraId="46811737" w14:textId="77777777" w:rsidR="00071FD1" w:rsidRPr="00071FD1" w:rsidRDefault="00071FD1" w:rsidP="00624057">
      <w:pPr>
        <w:widowControl w:val="0"/>
        <w:suppressAutoHyphens/>
        <w:spacing w:after="0" w:line="480" w:lineRule="auto"/>
        <w:jc w:val="both"/>
        <w:rPr>
          <w:rFonts w:ascii="Arial" w:hAnsi="Arial" w:cs="Arial"/>
          <w:b/>
          <w:bCs/>
          <w:noProof/>
        </w:rPr>
      </w:pPr>
      <w:r w:rsidRPr="00071FD1">
        <w:rPr>
          <w:rFonts w:ascii="Arial" w:hAnsi="Arial" w:cs="Arial"/>
          <w:b/>
          <w:bCs/>
          <w:noProof/>
        </w:rPr>
        <w:t>Pregnancy</w:t>
      </w:r>
    </w:p>
    <w:p w14:paraId="61646614" w14:textId="77777777" w:rsidR="00071FD1" w:rsidRPr="00071FD1" w:rsidRDefault="00071FD1" w:rsidP="00624057">
      <w:pPr>
        <w:widowControl w:val="0"/>
        <w:suppressAutoHyphens/>
        <w:spacing w:after="0" w:line="480" w:lineRule="auto"/>
        <w:jc w:val="both"/>
        <w:rPr>
          <w:rFonts w:ascii="Arial" w:hAnsi="Arial" w:cs="Arial"/>
          <w:b/>
          <w:bCs/>
          <w:color w:val="000000"/>
        </w:rPr>
      </w:pPr>
      <w:r w:rsidRPr="00071FD1">
        <w:rPr>
          <w:rFonts w:ascii="Arial" w:hAnsi="Arial" w:cs="Arial"/>
          <w:color w:val="000000"/>
        </w:rPr>
        <w:t xml:space="preserve">CELECOXIB BIOTECH is contraindicated in pregnancy (see section 4.3). </w:t>
      </w:r>
    </w:p>
    <w:p w14:paraId="63AD09F2" w14:textId="18471C2C" w:rsidR="00071FD1" w:rsidRPr="00071FD1" w:rsidRDefault="00071FD1" w:rsidP="0098102B">
      <w:pPr>
        <w:widowControl w:val="0"/>
        <w:suppressAutoHyphens/>
        <w:spacing w:after="0" w:line="480" w:lineRule="auto"/>
        <w:outlineLvl w:val="0"/>
        <w:rPr>
          <w:rFonts w:ascii="Arial" w:hAnsi="Arial" w:cs="Arial"/>
          <w:i/>
          <w:iCs/>
          <w:color w:val="000000"/>
        </w:rPr>
      </w:pPr>
      <w:r w:rsidRPr="00071FD1">
        <w:rPr>
          <w:rFonts w:ascii="Arial" w:hAnsi="Arial" w:cs="Arial"/>
          <w:color w:val="000000"/>
        </w:rPr>
        <w:t>Regular use of NSAIDs during pregnancy may result in:</w:t>
      </w:r>
      <w:r w:rsidRPr="00071FD1">
        <w:rPr>
          <w:rFonts w:ascii="Arial" w:hAnsi="Arial" w:cs="Arial" w:hint="eastAsia"/>
          <w:color w:val="000000"/>
        </w:rPr>
        <w:br/>
      </w:r>
      <w:r w:rsidRPr="00071FD1">
        <w:rPr>
          <w:rFonts w:ascii="Arial" w:hAnsi="Arial" w:cs="Arial"/>
          <w:i/>
          <w:iCs/>
          <w:color w:val="000000"/>
        </w:rPr>
        <w:t>First trimester</w:t>
      </w:r>
      <w:r w:rsidRPr="00071FD1">
        <w:rPr>
          <w:rFonts w:ascii="Arial" w:hAnsi="Arial" w:cs="Arial" w:hint="eastAsia"/>
          <w:i/>
          <w:iCs/>
          <w:color w:val="000000"/>
        </w:rPr>
        <w:br/>
      </w:r>
      <w:r w:rsidRPr="00071FD1">
        <w:rPr>
          <w:rFonts w:ascii="Arial" w:hAnsi="Arial" w:cs="Arial"/>
          <w:color w:val="000000"/>
        </w:rPr>
        <w:t>Inhibition of prostaglandin synthesis may adversely affect the pregnancy and/</w:t>
      </w:r>
      <w:r w:rsidR="0098102B">
        <w:rPr>
          <w:rFonts w:ascii="Arial" w:hAnsi="Arial" w:cs="Arial"/>
          <w:color w:val="000000"/>
        </w:rPr>
        <w:t xml:space="preserve"> </w:t>
      </w:r>
      <w:r w:rsidRPr="00071FD1">
        <w:rPr>
          <w:rFonts w:ascii="Arial" w:hAnsi="Arial" w:cs="Arial"/>
          <w:color w:val="000000"/>
        </w:rPr>
        <w:t>or the embryo/</w:t>
      </w:r>
      <w:r w:rsidR="0098102B">
        <w:rPr>
          <w:rFonts w:ascii="Arial" w:hAnsi="Arial" w:cs="Arial"/>
          <w:color w:val="000000"/>
        </w:rPr>
        <w:t xml:space="preserve"> </w:t>
      </w:r>
      <w:r w:rsidRPr="00071FD1">
        <w:rPr>
          <w:rFonts w:ascii="Arial" w:hAnsi="Arial" w:cs="Arial"/>
          <w:color w:val="000000"/>
        </w:rPr>
        <w:t>foetal development. Data from epidemiological studies raise concern about an increased risk of miscarriage and of cardiac malformation and gastroschisis after use of a prostaglandin synthesis</w:t>
      </w:r>
      <w:r w:rsidRPr="00071FD1">
        <w:rPr>
          <w:rFonts w:ascii="Arial" w:hAnsi="Arial" w:cs="Arial" w:hint="eastAsia"/>
          <w:color w:val="000000"/>
        </w:rPr>
        <w:br/>
      </w:r>
      <w:r w:rsidRPr="00071FD1">
        <w:rPr>
          <w:rFonts w:ascii="Arial" w:hAnsi="Arial" w:cs="Arial"/>
          <w:color w:val="000000"/>
        </w:rPr>
        <w:t xml:space="preserve">inhibitor in early pregnancy. The absolute risk for cardiovascular malformation was increased from less </w:t>
      </w:r>
      <w:r w:rsidRPr="00071FD1">
        <w:rPr>
          <w:rFonts w:ascii="Arial" w:hAnsi="Arial" w:cs="Arial"/>
          <w:color w:val="000000"/>
        </w:rPr>
        <w:lastRenderedPageBreak/>
        <w:t>than 1 %, up to approximately 1,5 %. In animals, administration of a prostaglandin synthesis inhibitor has been shown to result in increased pre- and post-implantation loss and</w:t>
      </w:r>
      <w:r w:rsidRPr="00071FD1">
        <w:rPr>
          <w:rFonts w:ascii="Arial" w:hAnsi="Arial" w:cs="Arial" w:hint="eastAsia"/>
          <w:color w:val="000000"/>
        </w:rPr>
        <w:br/>
      </w:r>
      <w:r w:rsidRPr="00071FD1">
        <w:rPr>
          <w:rFonts w:ascii="Arial" w:hAnsi="Arial" w:cs="Arial"/>
          <w:color w:val="000000"/>
        </w:rPr>
        <w:t>embryo-foetal lethality. In addition, increased incidences of various malformations including cardiovascular, have been reported in animals given a prostaglandin synthesis inhibitor during the organogenetic period.</w:t>
      </w:r>
      <w:r w:rsidRPr="00071FD1">
        <w:rPr>
          <w:rFonts w:ascii="Arial" w:hAnsi="Arial" w:cs="Arial" w:hint="eastAsia"/>
          <w:color w:val="000000"/>
        </w:rPr>
        <w:br/>
      </w:r>
    </w:p>
    <w:p w14:paraId="00636C59" w14:textId="77777777" w:rsidR="00071FD1" w:rsidRPr="00071FD1" w:rsidRDefault="00071FD1" w:rsidP="0098102B">
      <w:pPr>
        <w:widowControl w:val="0"/>
        <w:suppressAutoHyphens/>
        <w:spacing w:after="0" w:line="480" w:lineRule="auto"/>
        <w:outlineLvl w:val="0"/>
        <w:rPr>
          <w:rFonts w:ascii="Arial" w:hAnsi="Arial" w:cs="Arial"/>
          <w:color w:val="000000"/>
        </w:rPr>
      </w:pPr>
      <w:r w:rsidRPr="00071FD1">
        <w:rPr>
          <w:rFonts w:ascii="Arial" w:hAnsi="Arial" w:cs="Arial"/>
          <w:i/>
          <w:iCs/>
          <w:color w:val="000000"/>
        </w:rPr>
        <w:t>Second and Third trimester</w:t>
      </w:r>
      <w:r w:rsidRPr="00071FD1">
        <w:rPr>
          <w:rFonts w:ascii="Arial" w:hAnsi="Arial" w:cs="Arial" w:hint="eastAsia"/>
          <w:color w:val="000000"/>
        </w:rPr>
        <w:br/>
      </w:r>
      <w:r w:rsidRPr="00071FD1">
        <w:rPr>
          <w:rFonts w:ascii="Arial" w:hAnsi="Arial" w:cs="Arial"/>
          <w:color w:val="000000"/>
        </w:rPr>
        <w:t>During the third trimester of pregnancy, prostaglandin synthesis inhibitors, may expose the foetus to: cardiopulmonary toxicity (with premature closure of the ductus arteriosus and pulmonary hypertension); renal dysfunction, which may progress to renal failure with oligohydroamniosis.</w:t>
      </w:r>
      <w:r w:rsidRPr="00071FD1">
        <w:rPr>
          <w:rFonts w:ascii="Arial" w:hAnsi="Arial" w:cs="Arial" w:hint="eastAsia"/>
          <w:color w:val="000000"/>
        </w:rPr>
        <w:br/>
      </w:r>
      <w:r w:rsidRPr="00071FD1">
        <w:rPr>
          <w:rFonts w:ascii="Arial" w:hAnsi="Arial" w:cs="Arial"/>
          <w:color w:val="000000"/>
        </w:rPr>
        <w:t>At the end of pregnancy, the mother and the neonate may be exposed to: possible prolongation of bleeding time, an anti-aggregating effect which may occur even at very low doses; inhibition of uterine contractions resulting in delayed or prolonged labour.</w:t>
      </w:r>
    </w:p>
    <w:p w14:paraId="0140473C" w14:textId="77777777" w:rsidR="00071FD1" w:rsidRPr="00071FD1" w:rsidRDefault="00071FD1" w:rsidP="00624057">
      <w:pPr>
        <w:widowControl w:val="0"/>
        <w:suppressAutoHyphens/>
        <w:spacing w:after="0" w:line="480" w:lineRule="auto"/>
        <w:ind w:left="567" w:hanging="567"/>
        <w:jc w:val="both"/>
        <w:outlineLvl w:val="0"/>
        <w:rPr>
          <w:rFonts w:ascii="Arial" w:hAnsi="Arial" w:cs="Arial"/>
          <w:b/>
          <w:noProof/>
          <w:highlight w:val="yellow"/>
        </w:rPr>
      </w:pPr>
    </w:p>
    <w:p w14:paraId="19F9856B" w14:textId="77777777" w:rsidR="00071FD1" w:rsidRPr="00071FD1" w:rsidRDefault="00071FD1" w:rsidP="00624057">
      <w:pPr>
        <w:widowControl w:val="0"/>
        <w:suppressAutoHyphens/>
        <w:spacing w:after="0" w:line="480" w:lineRule="auto"/>
        <w:jc w:val="both"/>
        <w:rPr>
          <w:rFonts w:ascii="Arial" w:hAnsi="Arial" w:cs="Arial"/>
          <w:b/>
          <w:color w:val="000000"/>
        </w:rPr>
      </w:pPr>
      <w:r w:rsidRPr="00071FD1">
        <w:rPr>
          <w:rFonts w:ascii="Arial" w:hAnsi="Arial" w:cs="Arial"/>
          <w:b/>
          <w:color w:val="000000"/>
        </w:rPr>
        <w:t>Breastfeeding</w:t>
      </w:r>
    </w:p>
    <w:p w14:paraId="148019B3" w14:textId="77777777" w:rsidR="00071FD1" w:rsidRPr="00071FD1" w:rsidRDefault="00071FD1" w:rsidP="00624057">
      <w:pPr>
        <w:pStyle w:val="Default"/>
        <w:widowControl w:val="0"/>
        <w:suppressAutoHyphens/>
        <w:spacing w:line="480" w:lineRule="auto"/>
        <w:jc w:val="both"/>
        <w:rPr>
          <w:rFonts w:ascii="Arial" w:hAnsi="Arial" w:cs="Arial"/>
          <w:sz w:val="22"/>
          <w:szCs w:val="22"/>
        </w:rPr>
      </w:pPr>
      <w:r w:rsidRPr="00071FD1">
        <w:rPr>
          <w:rFonts w:ascii="Arial" w:hAnsi="Arial" w:cs="Arial"/>
          <w:sz w:val="22"/>
          <w:szCs w:val="22"/>
        </w:rPr>
        <w:t xml:space="preserve">Limited data indicate that </w:t>
      </w:r>
      <w:r w:rsidRPr="00071FD1">
        <w:rPr>
          <w:rFonts w:ascii="Arial" w:hAnsi="Arial" w:cs="Arial"/>
        </w:rPr>
        <w:t>CELECOXIB BIOTECH</w:t>
      </w:r>
      <w:r w:rsidRPr="00071FD1">
        <w:rPr>
          <w:rFonts w:ascii="Arial" w:hAnsi="Arial" w:cs="Arial"/>
          <w:sz w:val="22"/>
          <w:szCs w:val="22"/>
        </w:rPr>
        <w:t xml:space="preserve"> is excreted in breastmilk and therefore should not be used</w:t>
      </w:r>
      <w:r w:rsidRPr="00071FD1">
        <w:rPr>
          <w:rFonts w:ascii="Arial" w:hAnsi="Arial" w:cs="Arial"/>
        </w:rPr>
        <w:t xml:space="preserve"> </w:t>
      </w:r>
      <w:r w:rsidRPr="00071FD1">
        <w:rPr>
          <w:rFonts w:ascii="Arial" w:hAnsi="Arial" w:cs="Arial"/>
          <w:sz w:val="22"/>
          <w:szCs w:val="22"/>
        </w:rPr>
        <w:t>during lactation.</w:t>
      </w:r>
    </w:p>
    <w:p w14:paraId="1166AD30" w14:textId="77777777" w:rsidR="00071FD1" w:rsidRPr="00071FD1" w:rsidRDefault="00071FD1" w:rsidP="00624057">
      <w:pPr>
        <w:pStyle w:val="Default"/>
        <w:widowControl w:val="0"/>
        <w:suppressAutoHyphens/>
        <w:spacing w:line="480" w:lineRule="auto"/>
        <w:jc w:val="both"/>
        <w:rPr>
          <w:rFonts w:ascii="Arial" w:hAnsi="Arial" w:cs="Arial"/>
          <w:b/>
          <w:i/>
          <w:sz w:val="22"/>
          <w:szCs w:val="22"/>
        </w:rPr>
      </w:pPr>
    </w:p>
    <w:p w14:paraId="2B0ED704" w14:textId="77777777" w:rsidR="00071FD1" w:rsidRPr="00071FD1" w:rsidRDefault="00071FD1" w:rsidP="00624057">
      <w:pPr>
        <w:widowControl w:val="0"/>
        <w:suppressAutoHyphens/>
        <w:spacing w:after="0" w:line="480" w:lineRule="auto"/>
        <w:jc w:val="both"/>
        <w:outlineLvl w:val="0"/>
        <w:rPr>
          <w:rFonts w:ascii="Arial" w:hAnsi="Arial" w:cs="Arial"/>
          <w:noProof/>
        </w:rPr>
      </w:pPr>
      <w:r w:rsidRPr="00071FD1">
        <w:rPr>
          <w:rFonts w:ascii="Arial" w:hAnsi="Arial" w:cs="Arial"/>
          <w:b/>
          <w:color w:val="000000"/>
        </w:rPr>
        <w:t>Fertility</w:t>
      </w:r>
      <w:r w:rsidRPr="00071FD1">
        <w:rPr>
          <w:rFonts w:ascii="Arial" w:hAnsi="Arial" w:cs="Arial"/>
          <w:color w:val="000000"/>
        </w:rPr>
        <w:br/>
        <w:t>Based on the mechanism of action, the use of NSAIDs, including CELECOXIB BIOTECH, may delay or prevent rupture of ovarian follicles, which has been associated with reversible infertility in some women.</w:t>
      </w:r>
    </w:p>
    <w:p w14:paraId="735B805A" w14:textId="77777777" w:rsidR="00071FD1" w:rsidRPr="00071FD1" w:rsidRDefault="00071FD1" w:rsidP="00624057">
      <w:pPr>
        <w:widowControl w:val="0"/>
        <w:suppressAutoHyphens/>
        <w:spacing w:after="0" w:line="480" w:lineRule="auto"/>
        <w:jc w:val="both"/>
        <w:rPr>
          <w:rFonts w:ascii="Arial" w:hAnsi="Arial" w:cs="Arial"/>
          <w:lang w:val="en-GB"/>
        </w:rPr>
      </w:pPr>
    </w:p>
    <w:p w14:paraId="1857FCFA" w14:textId="77777777" w:rsidR="00071FD1" w:rsidRPr="00071FD1" w:rsidRDefault="00071FD1" w:rsidP="00624057">
      <w:pPr>
        <w:widowControl w:val="0"/>
        <w:suppressAutoHyphens/>
        <w:spacing w:after="0" w:line="480" w:lineRule="auto"/>
        <w:ind w:left="567" w:hanging="567"/>
        <w:jc w:val="both"/>
        <w:outlineLvl w:val="0"/>
        <w:rPr>
          <w:rFonts w:ascii="Arial" w:hAnsi="Arial" w:cs="Arial"/>
          <w:noProof/>
        </w:rPr>
      </w:pPr>
      <w:r w:rsidRPr="00071FD1">
        <w:rPr>
          <w:rFonts w:ascii="Arial" w:hAnsi="Arial" w:cs="Arial"/>
          <w:b/>
          <w:noProof/>
        </w:rPr>
        <w:t>4.7</w:t>
      </w:r>
      <w:r w:rsidRPr="00071FD1">
        <w:rPr>
          <w:rFonts w:ascii="Arial" w:hAnsi="Arial" w:cs="Arial"/>
          <w:b/>
          <w:noProof/>
        </w:rPr>
        <w:tab/>
        <w:t>Effects on ability to drive and use machines</w:t>
      </w:r>
    </w:p>
    <w:p w14:paraId="0290B51A" w14:textId="77777777" w:rsidR="00071FD1" w:rsidRPr="00071FD1" w:rsidRDefault="00071FD1" w:rsidP="00624057">
      <w:pPr>
        <w:pStyle w:val="CommentText"/>
        <w:widowControl w:val="0"/>
        <w:suppressAutoHyphens/>
        <w:spacing w:after="0" w:line="480" w:lineRule="auto"/>
        <w:jc w:val="both"/>
        <w:rPr>
          <w:rFonts w:ascii="Arial" w:hAnsi="Arial" w:cs="Arial"/>
          <w:noProof/>
          <w:sz w:val="22"/>
          <w:szCs w:val="22"/>
        </w:rPr>
      </w:pPr>
      <w:r w:rsidRPr="00071FD1">
        <w:rPr>
          <w:rFonts w:ascii="Arial" w:hAnsi="Arial" w:cs="Arial"/>
          <w:color w:val="000000"/>
          <w:sz w:val="22"/>
          <w:szCs w:val="22"/>
        </w:rPr>
        <w:t>Patients who experience dizziness, vertigo or somnolence (see section 4.8) while taking CELECOXIB BIOTECH should refrain from driving or operating machinery.</w:t>
      </w:r>
    </w:p>
    <w:p w14:paraId="0480555B" w14:textId="77777777" w:rsidR="00071FD1" w:rsidRPr="00071FD1" w:rsidRDefault="00071FD1" w:rsidP="00624057">
      <w:pPr>
        <w:widowControl w:val="0"/>
        <w:suppressAutoHyphens/>
        <w:spacing w:after="0" w:line="480" w:lineRule="auto"/>
        <w:ind w:left="567" w:hanging="567"/>
        <w:jc w:val="both"/>
        <w:outlineLvl w:val="0"/>
        <w:rPr>
          <w:rFonts w:ascii="Arial" w:hAnsi="Arial" w:cs="Arial"/>
          <w:b/>
          <w:noProof/>
        </w:rPr>
      </w:pPr>
    </w:p>
    <w:p w14:paraId="4A572C4C" w14:textId="77777777" w:rsidR="00071FD1" w:rsidRPr="00071FD1" w:rsidRDefault="00071FD1" w:rsidP="00624057">
      <w:pPr>
        <w:widowControl w:val="0"/>
        <w:numPr>
          <w:ilvl w:val="1"/>
          <w:numId w:val="7"/>
        </w:numPr>
        <w:suppressAutoHyphens/>
        <w:spacing w:after="0" w:line="480" w:lineRule="auto"/>
        <w:jc w:val="both"/>
        <w:outlineLvl w:val="0"/>
        <w:rPr>
          <w:rFonts w:ascii="Arial" w:hAnsi="Arial" w:cs="Arial"/>
          <w:b/>
          <w:noProof/>
        </w:rPr>
      </w:pPr>
      <w:r w:rsidRPr="00071FD1">
        <w:rPr>
          <w:rFonts w:ascii="Arial" w:hAnsi="Arial" w:cs="Arial"/>
          <w:b/>
          <w:noProof/>
        </w:rPr>
        <w:t>Undesirable effects</w:t>
      </w:r>
    </w:p>
    <w:p w14:paraId="0D4B3ED6" w14:textId="77777777" w:rsidR="00071FD1" w:rsidRPr="00071FD1" w:rsidRDefault="00071FD1" w:rsidP="00624057">
      <w:pPr>
        <w:widowControl w:val="0"/>
        <w:suppressAutoHyphens/>
        <w:spacing w:after="0" w:line="480" w:lineRule="auto"/>
        <w:jc w:val="both"/>
        <w:rPr>
          <w:rFonts w:ascii="Arial" w:hAnsi="Arial" w:cs="Arial"/>
          <w:b/>
          <w:bCs/>
          <w:i/>
          <w:iCs/>
          <w:color w:val="000000"/>
        </w:rPr>
      </w:pPr>
      <w:r w:rsidRPr="00071FD1">
        <w:rPr>
          <w:rFonts w:ascii="Arial" w:hAnsi="Arial" w:cs="Arial"/>
          <w:b/>
          <w:bCs/>
          <w:i/>
          <w:iCs/>
          <w:noProof/>
        </w:rPr>
        <w:lastRenderedPageBreak/>
        <w:t>Tabulated list of adverse reactions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8"/>
      </w:tblGrid>
      <w:tr w:rsidR="00071FD1" w:rsidRPr="00071FD1" w14:paraId="2D4B4E02" w14:textId="77777777" w:rsidTr="0098102B">
        <w:tc>
          <w:tcPr>
            <w:tcW w:w="9918" w:type="dxa"/>
          </w:tcPr>
          <w:p w14:paraId="1AB65D21" w14:textId="77777777" w:rsidR="00071FD1" w:rsidRPr="00071FD1" w:rsidRDefault="00071FD1" w:rsidP="00071FD1">
            <w:pPr>
              <w:widowControl w:val="0"/>
              <w:suppressAutoHyphens/>
              <w:spacing w:line="480" w:lineRule="auto"/>
              <w:rPr>
                <w:rFonts w:ascii="Arial" w:hAnsi="Arial" w:cs="Arial"/>
                <w:b/>
                <w:bCs/>
                <w:noProof/>
              </w:rPr>
            </w:pPr>
            <w:r w:rsidRPr="00071FD1">
              <w:rPr>
                <w:rFonts w:ascii="Arial" w:hAnsi="Arial" w:cs="Arial"/>
                <w:b/>
                <w:bCs/>
                <w:noProof/>
              </w:rPr>
              <w:t>Infections and infestations</w:t>
            </w:r>
          </w:p>
          <w:p w14:paraId="611F761B"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Frequent:</w:t>
            </w:r>
            <w:r w:rsidRPr="00071FD1">
              <w:rPr>
                <w:rFonts w:ascii="Arial" w:hAnsi="Arial" w:cs="Arial"/>
                <w:i/>
                <w:iCs/>
                <w:noProof/>
              </w:rPr>
              <w:tab/>
            </w:r>
            <w:r w:rsidRPr="00071FD1">
              <w:rPr>
                <w:rFonts w:ascii="Arial" w:hAnsi="Arial" w:cs="Arial"/>
                <w:noProof/>
              </w:rPr>
              <w:t>sinusitis, upper respiratory tract infection, pharyngitis, urinary tract infection, bronchitis</w:t>
            </w:r>
          </w:p>
          <w:p w14:paraId="0F02CFB7" w14:textId="15865A9F" w:rsidR="00071FD1" w:rsidRPr="00071FD1" w:rsidRDefault="00071FD1" w:rsidP="00071FD1">
            <w:pPr>
              <w:widowControl w:val="0"/>
              <w:suppressAutoHyphens/>
              <w:spacing w:line="480" w:lineRule="auto"/>
              <w:rPr>
                <w:rFonts w:ascii="Arial" w:hAnsi="Arial" w:cs="Arial"/>
                <w:noProof/>
              </w:rPr>
            </w:pPr>
            <w:r w:rsidRPr="00071FD1">
              <w:rPr>
                <w:rFonts w:ascii="Arial" w:hAnsi="Arial" w:cs="Arial"/>
                <w:i/>
                <w:iCs/>
                <w:noProof/>
              </w:rPr>
              <w:t>Less frequent:</w:t>
            </w:r>
            <w:r w:rsidRPr="00071FD1">
              <w:rPr>
                <w:rFonts w:ascii="Arial" w:hAnsi="Arial" w:cs="Arial"/>
                <w:i/>
                <w:iCs/>
                <w:noProof/>
              </w:rPr>
              <w:tab/>
            </w:r>
            <w:r w:rsidRPr="00071FD1">
              <w:rPr>
                <w:rFonts w:ascii="Arial" w:hAnsi="Arial" w:cs="Arial"/>
                <w:i/>
                <w:iCs/>
                <w:noProof/>
              </w:rPr>
              <w:tab/>
            </w:r>
            <w:r w:rsidRPr="00071FD1">
              <w:rPr>
                <w:rFonts w:ascii="Arial" w:hAnsi="Arial" w:cs="Arial"/>
                <w:noProof/>
              </w:rPr>
              <w:t xml:space="preserve">helicobacter infection, herpes zoster, erysipelas, bronchopneumonia, </w:t>
            </w:r>
            <w:r w:rsidRPr="00071FD1">
              <w:rPr>
                <w:rFonts w:ascii="Arial" w:hAnsi="Arial" w:cs="Arial"/>
                <w:noProof/>
              </w:rPr>
              <w:tab/>
            </w:r>
            <w:r w:rsidRPr="00071FD1">
              <w:rPr>
                <w:rFonts w:ascii="Arial" w:hAnsi="Arial" w:cs="Arial"/>
                <w:noProof/>
              </w:rPr>
              <w:tab/>
            </w:r>
            <w:r w:rsidRPr="00071FD1">
              <w:rPr>
                <w:rFonts w:ascii="Arial" w:hAnsi="Arial" w:cs="Arial"/>
                <w:noProof/>
              </w:rPr>
              <w:tab/>
            </w:r>
            <w:r w:rsidRPr="00071FD1">
              <w:rPr>
                <w:rFonts w:ascii="Arial" w:hAnsi="Arial" w:cs="Arial"/>
                <w:noProof/>
              </w:rPr>
              <w:tab/>
              <w:t>labyrinthitis, gingival infection</w:t>
            </w:r>
          </w:p>
          <w:p w14:paraId="79E75427" w14:textId="77777777" w:rsidR="00071FD1" w:rsidRPr="00071FD1" w:rsidRDefault="00071FD1" w:rsidP="00071FD1">
            <w:pPr>
              <w:widowControl w:val="0"/>
              <w:suppressAutoHyphens/>
              <w:spacing w:line="480" w:lineRule="auto"/>
              <w:rPr>
                <w:rFonts w:ascii="Arial" w:hAnsi="Arial" w:cs="Arial"/>
                <w:noProof/>
              </w:rPr>
            </w:pPr>
          </w:p>
          <w:p w14:paraId="3A94509B" w14:textId="77777777" w:rsidR="00071FD1" w:rsidRPr="00071FD1" w:rsidRDefault="00071FD1" w:rsidP="00071FD1">
            <w:pPr>
              <w:widowControl w:val="0"/>
              <w:suppressAutoHyphens/>
              <w:spacing w:line="480" w:lineRule="auto"/>
              <w:rPr>
                <w:rFonts w:ascii="Arial" w:hAnsi="Arial" w:cs="Arial"/>
                <w:b/>
                <w:bCs/>
                <w:noProof/>
              </w:rPr>
            </w:pPr>
            <w:r w:rsidRPr="00071FD1">
              <w:rPr>
                <w:rFonts w:ascii="Arial" w:hAnsi="Arial" w:cs="Arial"/>
                <w:b/>
                <w:bCs/>
                <w:noProof/>
              </w:rPr>
              <w:t>Blood and lymphatic system disorders</w:t>
            </w:r>
          </w:p>
          <w:p w14:paraId="66E52EA3"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Less frequent:</w:t>
            </w:r>
            <w:r w:rsidRPr="00071FD1">
              <w:rPr>
                <w:rFonts w:ascii="Arial" w:hAnsi="Arial" w:cs="Arial"/>
                <w:i/>
                <w:iCs/>
                <w:noProof/>
              </w:rPr>
              <w:tab/>
            </w:r>
            <w:r w:rsidRPr="00071FD1">
              <w:rPr>
                <w:rFonts w:ascii="Arial" w:hAnsi="Arial" w:cs="Arial"/>
                <w:noProof/>
              </w:rPr>
              <w:t>anaemia, leukopenia, thrombocytopenia, pancytopenia, agranulocytosis, ecchymosis</w:t>
            </w:r>
          </w:p>
          <w:p w14:paraId="013B0560" w14:textId="77777777" w:rsidR="00071FD1" w:rsidRPr="00071FD1" w:rsidRDefault="00071FD1" w:rsidP="00071FD1">
            <w:pPr>
              <w:widowControl w:val="0"/>
              <w:suppressAutoHyphens/>
              <w:spacing w:line="480" w:lineRule="auto"/>
              <w:ind w:left="2160" w:hanging="2160"/>
              <w:rPr>
                <w:rFonts w:ascii="Arial" w:hAnsi="Arial" w:cs="Arial"/>
                <w:b/>
                <w:bCs/>
                <w:noProof/>
              </w:rPr>
            </w:pPr>
          </w:p>
          <w:p w14:paraId="5049E567" w14:textId="77777777" w:rsidR="00071FD1" w:rsidRPr="00071FD1" w:rsidRDefault="00071FD1" w:rsidP="00071FD1">
            <w:pPr>
              <w:widowControl w:val="0"/>
              <w:suppressAutoHyphens/>
              <w:spacing w:line="480" w:lineRule="auto"/>
              <w:ind w:left="2160" w:hanging="2160"/>
              <w:rPr>
                <w:rFonts w:ascii="Arial" w:hAnsi="Arial" w:cs="Arial"/>
                <w:b/>
                <w:bCs/>
                <w:noProof/>
              </w:rPr>
            </w:pPr>
            <w:r w:rsidRPr="00071FD1">
              <w:rPr>
                <w:rFonts w:ascii="Arial" w:hAnsi="Arial" w:cs="Arial"/>
                <w:b/>
                <w:bCs/>
                <w:noProof/>
              </w:rPr>
              <w:t>Immune system disorders</w:t>
            </w:r>
          </w:p>
          <w:p w14:paraId="3DF27CBB"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Frequent:</w:t>
            </w:r>
            <w:r w:rsidRPr="00071FD1">
              <w:rPr>
                <w:rFonts w:ascii="Arial" w:hAnsi="Arial" w:cs="Arial"/>
                <w:i/>
                <w:iCs/>
                <w:noProof/>
              </w:rPr>
              <w:tab/>
            </w:r>
            <w:r w:rsidRPr="00071FD1">
              <w:rPr>
                <w:rFonts w:ascii="Arial" w:hAnsi="Arial" w:cs="Arial"/>
                <w:noProof/>
              </w:rPr>
              <w:t>hypersensitivity, allergy aggravated</w:t>
            </w:r>
          </w:p>
          <w:p w14:paraId="1AA7EED9"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Less frequent:</w:t>
            </w:r>
            <w:r w:rsidRPr="00071FD1">
              <w:rPr>
                <w:rFonts w:ascii="Arial" w:hAnsi="Arial" w:cs="Arial"/>
                <w:i/>
                <w:iCs/>
                <w:noProof/>
              </w:rPr>
              <w:tab/>
            </w:r>
            <w:r w:rsidRPr="00071FD1">
              <w:rPr>
                <w:rFonts w:ascii="Arial" w:hAnsi="Arial" w:cs="Arial"/>
                <w:noProof/>
              </w:rPr>
              <w:t>anaphylactic shock, anaphylactic reaction, angioedema</w:t>
            </w:r>
          </w:p>
          <w:p w14:paraId="3782B74D"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Frequency unknown:</w:t>
            </w:r>
            <w:r w:rsidRPr="00071FD1">
              <w:rPr>
                <w:rFonts w:ascii="Arial" w:hAnsi="Arial" w:cs="Arial"/>
                <w:noProof/>
              </w:rPr>
              <w:tab/>
              <w:t>anaphylaxis</w:t>
            </w:r>
          </w:p>
          <w:p w14:paraId="2CBECEDA" w14:textId="77777777" w:rsidR="00071FD1" w:rsidRPr="00071FD1" w:rsidRDefault="00071FD1" w:rsidP="00071FD1">
            <w:pPr>
              <w:widowControl w:val="0"/>
              <w:suppressAutoHyphens/>
              <w:spacing w:line="480" w:lineRule="auto"/>
              <w:ind w:left="2160" w:hanging="2160"/>
              <w:rPr>
                <w:rFonts w:ascii="Arial" w:hAnsi="Arial" w:cs="Arial"/>
                <w:b/>
                <w:bCs/>
                <w:noProof/>
              </w:rPr>
            </w:pPr>
          </w:p>
          <w:p w14:paraId="2F125EC8" w14:textId="77777777" w:rsidR="00071FD1" w:rsidRPr="00071FD1" w:rsidRDefault="00071FD1" w:rsidP="00071FD1">
            <w:pPr>
              <w:widowControl w:val="0"/>
              <w:suppressAutoHyphens/>
              <w:spacing w:line="480" w:lineRule="auto"/>
              <w:ind w:left="2160" w:hanging="2160"/>
              <w:rPr>
                <w:rFonts w:ascii="Arial" w:hAnsi="Arial" w:cs="Arial"/>
                <w:b/>
                <w:bCs/>
                <w:noProof/>
              </w:rPr>
            </w:pPr>
            <w:r w:rsidRPr="00071FD1">
              <w:rPr>
                <w:rFonts w:ascii="Arial" w:hAnsi="Arial" w:cs="Arial"/>
                <w:b/>
                <w:bCs/>
                <w:noProof/>
              </w:rPr>
              <w:t>Metabolism and nutrition disorders</w:t>
            </w:r>
          </w:p>
          <w:p w14:paraId="6ECAF379"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Frequent:</w:t>
            </w:r>
            <w:r w:rsidRPr="00071FD1">
              <w:rPr>
                <w:rFonts w:ascii="Arial" w:hAnsi="Arial" w:cs="Arial"/>
                <w:i/>
                <w:iCs/>
                <w:noProof/>
              </w:rPr>
              <w:tab/>
            </w:r>
            <w:r w:rsidRPr="00071FD1">
              <w:rPr>
                <w:rFonts w:ascii="Arial" w:hAnsi="Arial" w:cs="Arial"/>
                <w:noProof/>
              </w:rPr>
              <w:t>increased weight</w:t>
            </w:r>
          </w:p>
          <w:p w14:paraId="7AEB5A78"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Less frequent:</w:t>
            </w:r>
            <w:r w:rsidRPr="00071FD1">
              <w:rPr>
                <w:rFonts w:ascii="Arial" w:hAnsi="Arial" w:cs="Arial"/>
                <w:i/>
                <w:iCs/>
                <w:noProof/>
              </w:rPr>
              <w:tab/>
            </w:r>
            <w:r w:rsidRPr="00071FD1">
              <w:rPr>
                <w:rFonts w:ascii="Arial" w:hAnsi="Arial" w:cs="Arial"/>
                <w:noProof/>
              </w:rPr>
              <w:t>hyperkalaemia, increased blood sodium</w:t>
            </w:r>
          </w:p>
          <w:p w14:paraId="31FAB4FE" w14:textId="77777777" w:rsidR="00071FD1" w:rsidRPr="00071FD1" w:rsidRDefault="00071FD1" w:rsidP="00071FD1">
            <w:pPr>
              <w:widowControl w:val="0"/>
              <w:suppressAutoHyphens/>
              <w:spacing w:line="480" w:lineRule="auto"/>
              <w:ind w:left="2160" w:hanging="2160"/>
              <w:rPr>
                <w:rFonts w:ascii="Arial" w:hAnsi="Arial" w:cs="Arial"/>
                <w:b/>
                <w:bCs/>
                <w:noProof/>
              </w:rPr>
            </w:pPr>
          </w:p>
          <w:p w14:paraId="79FE3070" w14:textId="77777777" w:rsidR="00071FD1" w:rsidRPr="00071FD1" w:rsidRDefault="00071FD1" w:rsidP="00071FD1">
            <w:pPr>
              <w:widowControl w:val="0"/>
              <w:suppressAutoHyphens/>
              <w:spacing w:line="480" w:lineRule="auto"/>
              <w:ind w:left="2160" w:hanging="2160"/>
              <w:rPr>
                <w:rFonts w:ascii="Arial" w:hAnsi="Arial" w:cs="Arial"/>
                <w:b/>
                <w:bCs/>
                <w:noProof/>
              </w:rPr>
            </w:pPr>
            <w:r w:rsidRPr="00071FD1">
              <w:rPr>
                <w:rFonts w:ascii="Arial" w:hAnsi="Arial" w:cs="Arial"/>
                <w:b/>
                <w:bCs/>
                <w:noProof/>
              </w:rPr>
              <w:t>Psychiatric disorders</w:t>
            </w:r>
          </w:p>
          <w:p w14:paraId="2795336C"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Frequent:</w:t>
            </w:r>
            <w:r w:rsidRPr="00071FD1">
              <w:rPr>
                <w:rFonts w:ascii="Arial" w:hAnsi="Arial" w:cs="Arial"/>
                <w:i/>
                <w:iCs/>
                <w:noProof/>
              </w:rPr>
              <w:tab/>
            </w:r>
            <w:r w:rsidRPr="00071FD1">
              <w:rPr>
                <w:rFonts w:ascii="Arial" w:hAnsi="Arial" w:cs="Arial"/>
                <w:noProof/>
              </w:rPr>
              <w:t>insomnia</w:t>
            </w:r>
          </w:p>
          <w:p w14:paraId="21E27E18"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Less frequent:</w:t>
            </w:r>
            <w:r w:rsidRPr="00071FD1">
              <w:rPr>
                <w:rFonts w:ascii="Arial" w:hAnsi="Arial" w:cs="Arial"/>
                <w:i/>
                <w:iCs/>
                <w:noProof/>
              </w:rPr>
              <w:tab/>
            </w:r>
            <w:r w:rsidRPr="00071FD1">
              <w:rPr>
                <w:rFonts w:ascii="Arial" w:hAnsi="Arial" w:cs="Arial"/>
                <w:noProof/>
              </w:rPr>
              <w:t>anxiety, depression, fatigue, confusional state, hallucinations</w:t>
            </w:r>
          </w:p>
          <w:p w14:paraId="090C199E" w14:textId="77777777" w:rsidR="00071FD1" w:rsidRPr="00071FD1" w:rsidRDefault="00071FD1" w:rsidP="00071FD1">
            <w:pPr>
              <w:widowControl w:val="0"/>
              <w:suppressAutoHyphens/>
              <w:spacing w:line="480" w:lineRule="auto"/>
              <w:ind w:left="2160" w:hanging="2160"/>
              <w:rPr>
                <w:rFonts w:ascii="Arial" w:hAnsi="Arial" w:cs="Arial"/>
                <w:b/>
                <w:bCs/>
                <w:noProof/>
              </w:rPr>
            </w:pPr>
          </w:p>
          <w:p w14:paraId="303F6D09" w14:textId="77777777" w:rsidR="00071FD1" w:rsidRPr="00071FD1" w:rsidRDefault="00071FD1" w:rsidP="00071FD1">
            <w:pPr>
              <w:widowControl w:val="0"/>
              <w:suppressAutoHyphens/>
              <w:spacing w:line="480" w:lineRule="auto"/>
              <w:ind w:left="2160" w:hanging="2160"/>
              <w:rPr>
                <w:rFonts w:ascii="Arial" w:eastAsia="Times New Roman" w:hAnsi="Arial" w:cs="Arial"/>
                <w:b/>
                <w:bCs/>
                <w:lang w:val="en-GB"/>
              </w:rPr>
            </w:pPr>
            <w:r w:rsidRPr="00071FD1">
              <w:rPr>
                <w:rFonts w:ascii="Arial" w:eastAsia="Times New Roman" w:hAnsi="Arial" w:cs="Arial"/>
                <w:b/>
                <w:bCs/>
                <w:lang w:val="en-GB"/>
              </w:rPr>
              <w:t>Nervous system disorders</w:t>
            </w:r>
          </w:p>
          <w:p w14:paraId="0C46B350"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Frequent:</w:t>
            </w:r>
            <w:r w:rsidRPr="00071FD1">
              <w:rPr>
                <w:rFonts w:ascii="Arial" w:hAnsi="Arial" w:cs="Arial"/>
                <w:i/>
                <w:iCs/>
                <w:noProof/>
              </w:rPr>
              <w:tab/>
            </w:r>
            <w:r w:rsidRPr="00071FD1">
              <w:rPr>
                <w:rFonts w:ascii="Arial" w:hAnsi="Arial" w:cs="Arial"/>
                <w:noProof/>
              </w:rPr>
              <w:t>dizziness, hypertonia, headache</w:t>
            </w:r>
          </w:p>
          <w:p w14:paraId="0F59AAA7"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lastRenderedPageBreak/>
              <w:t>Frequency unknown:</w:t>
            </w:r>
            <w:r w:rsidRPr="00071FD1">
              <w:rPr>
                <w:rFonts w:ascii="Arial" w:hAnsi="Arial" w:cs="Arial"/>
                <w:noProof/>
              </w:rPr>
              <w:tab/>
              <w:t>cerebral infarction (stroke), paraesthesia, somnolence, ataxia, dysguesia, intracranial haemorrhage (including fatal intracranial haemorrhage), aseptic meningitis, epilepsy (including aggravated epilepsy), ageusia, anosmia</w:t>
            </w:r>
          </w:p>
          <w:p w14:paraId="7DF4910C" w14:textId="77777777" w:rsidR="00071FD1" w:rsidRPr="00071FD1" w:rsidRDefault="00071FD1" w:rsidP="00071FD1">
            <w:pPr>
              <w:widowControl w:val="0"/>
              <w:suppressAutoHyphens/>
              <w:spacing w:line="480" w:lineRule="auto"/>
              <w:rPr>
                <w:rFonts w:ascii="Arial" w:hAnsi="Arial" w:cs="Arial"/>
                <w:b/>
                <w:bCs/>
                <w:noProof/>
              </w:rPr>
            </w:pPr>
          </w:p>
          <w:p w14:paraId="2A6D6508" w14:textId="77777777" w:rsidR="00071FD1" w:rsidRPr="00071FD1" w:rsidRDefault="00071FD1" w:rsidP="00071FD1">
            <w:pPr>
              <w:widowControl w:val="0"/>
              <w:suppressAutoHyphens/>
              <w:spacing w:line="480" w:lineRule="auto"/>
              <w:ind w:left="2160" w:hanging="2160"/>
              <w:rPr>
                <w:rFonts w:ascii="Arial" w:eastAsia="Times New Roman" w:hAnsi="Arial" w:cs="Arial"/>
                <w:b/>
                <w:bCs/>
                <w:lang w:val="en-GB"/>
              </w:rPr>
            </w:pPr>
            <w:r w:rsidRPr="00071FD1">
              <w:rPr>
                <w:rFonts w:ascii="Arial" w:eastAsia="Times New Roman" w:hAnsi="Arial" w:cs="Arial"/>
                <w:b/>
                <w:bCs/>
                <w:lang w:val="en-GB"/>
              </w:rPr>
              <w:t>Eye disorders</w:t>
            </w:r>
          </w:p>
          <w:p w14:paraId="41C9BE7F"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Less frequent:</w:t>
            </w:r>
            <w:r w:rsidRPr="00071FD1">
              <w:rPr>
                <w:rFonts w:ascii="Arial" w:hAnsi="Arial" w:cs="Arial"/>
                <w:i/>
                <w:iCs/>
                <w:noProof/>
              </w:rPr>
              <w:tab/>
            </w:r>
            <w:r w:rsidRPr="00071FD1">
              <w:rPr>
                <w:rFonts w:ascii="Arial" w:hAnsi="Arial" w:cs="Arial"/>
                <w:noProof/>
              </w:rPr>
              <w:t>blurred vision, conjunctivitis, eye haemorrhage, retinal artery occlusion, retinal vein occlusion, vitreous floaters, conjunctival haemorrhage</w:t>
            </w:r>
          </w:p>
          <w:p w14:paraId="739DD8C3" w14:textId="77777777" w:rsidR="00071FD1" w:rsidRPr="00071FD1" w:rsidRDefault="00071FD1" w:rsidP="00071FD1">
            <w:pPr>
              <w:widowControl w:val="0"/>
              <w:suppressAutoHyphens/>
              <w:spacing w:line="480" w:lineRule="auto"/>
              <w:ind w:left="2160" w:hanging="2160"/>
              <w:rPr>
                <w:rFonts w:ascii="Arial" w:hAnsi="Arial" w:cs="Arial"/>
                <w:b/>
                <w:bCs/>
                <w:noProof/>
              </w:rPr>
            </w:pPr>
          </w:p>
          <w:p w14:paraId="0991ADC0" w14:textId="77777777" w:rsidR="00071FD1" w:rsidRPr="00071FD1" w:rsidRDefault="00071FD1" w:rsidP="00071FD1">
            <w:pPr>
              <w:widowControl w:val="0"/>
              <w:suppressAutoHyphens/>
              <w:spacing w:line="480" w:lineRule="auto"/>
              <w:ind w:left="2160" w:hanging="2160"/>
              <w:rPr>
                <w:rFonts w:ascii="Arial" w:eastAsia="Times New Roman" w:hAnsi="Arial" w:cs="Arial"/>
                <w:b/>
                <w:bCs/>
                <w:lang w:val="en-GB"/>
              </w:rPr>
            </w:pPr>
            <w:r w:rsidRPr="00071FD1">
              <w:rPr>
                <w:rFonts w:ascii="Arial" w:eastAsia="Times New Roman" w:hAnsi="Arial" w:cs="Arial"/>
                <w:b/>
                <w:bCs/>
                <w:lang w:val="en-GB"/>
              </w:rPr>
              <w:t>Ear and labyrinth disorders</w:t>
            </w:r>
          </w:p>
          <w:p w14:paraId="34C34A6F"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Less frequent:</w:t>
            </w:r>
            <w:r w:rsidRPr="00071FD1">
              <w:rPr>
                <w:rFonts w:ascii="Arial" w:hAnsi="Arial" w:cs="Arial"/>
                <w:i/>
                <w:iCs/>
                <w:noProof/>
              </w:rPr>
              <w:tab/>
            </w:r>
            <w:r w:rsidRPr="00071FD1">
              <w:rPr>
                <w:rFonts w:ascii="Arial" w:hAnsi="Arial" w:cs="Arial"/>
                <w:noProof/>
              </w:rPr>
              <w:t>tinnitus, hypoacusis, dysphonia</w:t>
            </w:r>
          </w:p>
          <w:p w14:paraId="430B5A31" w14:textId="77777777" w:rsidR="00071FD1" w:rsidRPr="00071FD1" w:rsidRDefault="00071FD1" w:rsidP="00071FD1">
            <w:pPr>
              <w:widowControl w:val="0"/>
              <w:suppressAutoHyphens/>
              <w:spacing w:line="480" w:lineRule="auto"/>
              <w:ind w:left="2160" w:hanging="2160"/>
              <w:rPr>
                <w:rFonts w:ascii="Arial" w:eastAsia="Times New Roman" w:hAnsi="Arial" w:cs="Arial"/>
                <w:b/>
                <w:bCs/>
                <w:lang w:val="en-GB"/>
              </w:rPr>
            </w:pPr>
          </w:p>
          <w:p w14:paraId="258FE9C9" w14:textId="77777777" w:rsidR="00071FD1" w:rsidRPr="00071FD1" w:rsidRDefault="00071FD1" w:rsidP="00071FD1">
            <w:pPr>
              <w:widowControl w:val="0"/>
              <w:suppressAutoHyphens/>
              <w:spacing w:line="480" w:lineRule="auto"/>
              <w:ind w:left="2160" w:hanging="2160"/>
              <w:rPr>
                <w:rFonts w:ascii="Arial" w:eastAsia="Times New Roman" w:hAnsi="Arial" w:cs="Arial"/>
                <w:b/>
                <w:bCs/>
                <w:lang w:val="en-GB"/>
              </w:rPr>
            </w:pPr>
            <w:r w:rsidRPr="00071FD1">
              <w:rPr>
                <w:rFonts w:ascii="Arial" w:eastAsia="Times New Roman" w:hAnsi="Arial" w:cs="Arial"/>
                <w:b/>
                <w:bCs/>
                <w:lang w:val="en-GB"/>
              </w:rPr>
              <w:t>Cardiac disorders</w:t>
            </w:r>
          </w:p>
          <w:p w14:paraId="1D0891A6"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Frequent:</w:t>
            </w:r>
            <w:r w:rsidRPr="00071FD1">
              <w:rPr>
                <w:rFonts w:ascii="Arial" w:hAnsi="Arial" w:cs="Arial"/>
                <w:i/>
                <w:iCs/>
                <w:noProof/>
              </w:rPr>
              <w:tab/>
            </w:r>
            <w:r w:rsidRPr="00071FD1">
              <w:rPr>
                <w:rFonts w:ascii="Arial" w:hAnsi="Arial" w:cs="Arial"/>
                <w:noProof/>
              </w:rPr>
              <w:t>myocardial infarction, angina pectoris</w:t>
            </w:r>
          </w:p>
          <w:p w14:paraId="6CC847AC"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Less frequent:</w:t>
            </w:r>
            <w:r w:rsidRPr="00071FD1">
              <w:rPr>
                <w:rFonts w:ascii="Arial" w:hAnsi="Arial" w:cs="Arial"/>
                <w:i/>
                <w:iCs/>
                <w:noProof/>
              </w:rPr>
              <w:tab/>
            </w:r>
            <w:r w:rsidRPr="00071FD1">
              <w:rPr>
                <w:rFonts w:ascii="Arial" w:hAnsi="Arial" w:cs="Arial"/>
                <w:noProof/>
              </w:rPr>
              <w:t>cardiac failure, palpitations, tachycardia, dysrhythmia</w:t>
            </w:r>
          </w:p>
          <w:p w14:paraId="5A727E6E"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Frequency unknown:</w:t>
            </w:r>
            <w:r w:rsidRPr="00071FD1">
              <w:rPr>
                <w:rFonts w:ascii="Arial" w:hAnsi="Arial" w:cs="Arial"/>
                <w:noProof/>
              </w:rPr>
              <w:tab/>
              <w:t>cardiovascular thrombotic incidents</w:t>
            </w:r>
          </w:p>
          <w:p w14:paraId="75691FFE" w14:textId="77777777" w:rsidR="00071FD1" w:rsidRPr="00071FD1" w:rsidRDefault="00071FD1" w:rsidP="00071FD1">
            <w:pPr>
              <w:widowControl w:val="0"/>
              <w:suppressAutoHyphens/>
              <w:spacing w:line="480" w:lineRule="auto"/>
              <w:ind w:left="2160" w:hanging="2160"/>
              <w:rPr>
                <w:rFonts w:ascii="Arial" w:eastAsia="Times New Roman" w:hAnsi="Arial" w:cs="Arial"/>
                <w:b/>
                <w:bCs/>
                <w:lang w:val="en-GB"/>
              </w:rPr>
            </w:pPr>
          </w:p>
          <w:p w14:paraId="5CFD51E7" w14:textId="77777777" w:rsidR="00071FD1" w:rsidRPr="00071FD1" w:rsidRDefault="00071FD1" w:rsidP="00071FD1">
            <w:pPr>
              <w:widowControl w:val="0"/>
              <w:suppressAutoHyphens/>
              <w:spacing w:line="480" w:lineRule="auto"/>
              <w:ind w:left="2160" w:hanging="2160"/>
              <w:rPr>
                <w:rFonts w:ascii="Arial" w:hAnsi="Arial" w:cs="Arial"/>
                <w:b/>
                <w:bCs/>
                <w:noProof/>
              </w:rPr>
            </w:pPr>
            <w:r w:rsidRPr="00071FD1">
              <w:rPr>
                <w:rFonts w:ascii="Arial" w:hAnsi="Arial" w:cs="Arial"/>
                <w:b/>
                <w:bCs/>
                <w:noProof/>
              </w:rPr>
              <w:t>Vascular disorders</w:t>
            </w:r>
          </w:p>
          <w:p w14:paraId="7D3BE3DB"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Frequent:</w:t>
            </w:r>
            <w:r w:rsidRPr="00071FD1">
              <w:rPr>
                <w:rFonts w:ascii="Arial" w:hAnsi="Arial" w:cs="Arial"/>
                <w:i/>
                <w:iCs/>
                <w:noProof/>
              </w:rPr>
              <w:tab/>
            </w:r>
            <w:r w:rsidRPr="00071FD1">
              <w:rPr>
                <w:rFonts w:ascii="Arial" w:hAnsi="Arial" w:cs="Arial"/>
                <w:noProof/>
              </w:rPr>
              <w:t>hypertension (including aggravated hypertension)</w:t>
            </w:r>
          </w:p>
          <w:p w14:paraId="7DA139B2"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Less frequent:</w:t>
            </w:r>
            <w:r w:rsidRPr="00071FD1">
              <w:rPr>
                <w:rFonts w:ascii="Arial" w:hAnsi="Arial" w:cs="Arial"/>
                <w:i/>
                <w:iCs/>
                <w:noProof/>
              </w:rPr>
              <w:tab/>
            </w:r>
            <w:r w:rsidRPr="00071FD1">
              <w:rPr>
                <w:rFonts w:ascii="Arial" w:hAnsi="Arial" w:cs="Arial"/>
                <w:noProof/>
              </w:rPr>
              <w:t>pulmonary embolism, flushing, vasculitis, deep vein thrombosis</w:t>
            </w:r>
          </w:p>
          <w:p w14:paraId="2D2F6CA8" w14:textId="77777777" w:rsidR="00071FD1" w:rsidRPr="00071FD1" w:rsidRDefault="00071FD1" w:rsidP="00071FD1">
            <w:pPr>
              <w:widowControl w:val="0"/>
              <w:suppressAutoHyphens/>
              <w:spacing w:line="480" w:lineRule="auto"/>
              <w:ind w:left="2160" w:hanging="2160"/>
              <w:rPr>
                <w:rFonts w:ascii="Arial" w:eastAsia="Times New Roman" w:hAnsi="Arial" w:cs="Arial"/>
                <w:b/>
                <w:bCs/>
                <w:lang w:val="en-GB"/>
              </w:rPr>
            </w:pPr>
          </w:p>
          <w:p w14:paraId="0F6840C7" w14:textId="77777777" w:rsidR="00071FD1" w:rsidRPr="00071FD1" w:rsidRDefault="00071FD1" w:rsidP="00071FD1">
            <w:pPr>
              <w:widowControl w:val="0"/>
              <w:suppressAutoHyphens/>
              <w:spacing w:line="480" w:lineRule="auto"/>
              <w:ind w:left="2160" w:hanging="2160"/>
              <w:rPr>
                <w:rFonts w:ascii="Arial" w:eastAsia="Times New Roman" w:hAnsi="Arial" w:cs="Arial"/>
                <w:b/>
                <w:bCs/>
                <w:lang w:val="en-GB"/>
              </w:rPr>
            </w:pPr>
            <w:r w:rsidRPr="00071FD1">
              <w:rPr>
                <w:rFonts w:ascii="Arial" w:eastAsia="Times New Roman" w:hAnsi="Arial" w:cs="Arial"/>
                <w:b/>
                <w:bCs/>
                <w:lang w:val="en-GB"/>
              </w:rPr>
              <w:t>Respiratory, thoracic and mediastinal disorders</w:t>
            </w:r>
          </w:p>
          <w:p w14:paraId="2D89BA4E"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Frequent:</w:t>
            </w:r>
            <w:r w:rsidRPr="00071FD1">
              <w:rPr>
                <w:rFonts w:ascii="Arial" w:hAnsi="Arial" w:cs="Arial"/>
                <w:i/>
                <w:iCs/>
                <w:noProof/>
              </w:rPr>
              <w:tab/>
            </w:r>
            <w:r w:rsidRPr="00071FD1">
              <w:rPr>
                <w:rFonts w:ascii="Arial" w:hAnsi="Arial" w:cs="Arial"/>
                <w:noProof/>
              </w:rPr>
              <w:t>rhinitis, cough, dyspnoea</w:t>
            </w:r>
          </w:p>
          <w:p w14:paraId="17BD1C07"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Less frequent:</w:t>
            </w:r>
            <w:r w:rsidRPr="00071FD1">
              <w:rPr>
                <w:rFonts w:ascii="Arial" w:hAnsi="Arial" w:cs="Arial"/>
                <w:i/>
                <w:iCs/>
                <w:noProof/>
              </w:rPr>
              <w:tab/>
            </w:r>
            <w:r w:rsidRPr="00071FD1">
              <w:rPr>
                <w:rFonts w:ascii="Arial" w:hAnsi="Arial" w:cs="Arial"/>
                <w:noProof/>
              </w:rPr>
              <w:t>bronchospasm, pneumonitis</w:t>
            </w:r>
          </w:p>
          <w:p w14:paraId="4CE8FC47" w14:textId="77777777" w:rsidR="00071FD1" w:rsidRPr="00071FD1" w:rsidRDefault="00071FD1" w:rsidP="00071FD1">
            <w:pPr>
              <w:widowControl w:val="0"/>
              <w:suppressAutoHyphens/>
              <w:spacing w:line="480" w:lineRule="auto"/>
              <w:ind w:left="2160" w:hanging="2160"/>
              <w:rPr>
                <w:rFonts w:ascii="Arial" w:eastAsia="Times New Roman" w:hAnsi="Arial" w:cs="Arial"/>
                <w:b/>
                <w:bCs/>
                <w:lang w:val="en-GB"/>
              </w:rPr>
            </w:pPr>
          </w:p>
          <w:p w14:paraId="2123116D" w14:textId="77777777" w:rsidR="00071FD1" w:rsidRPr="00071FD1" w:rsidRDefault="00071FD1" w:rsidP="00071FD1">
            <w:pPr>
              <w:widowControl w:val="0"/>
              <w:suppressAutoHyphens/>
              <w:spacing w:line="480" w:lineRule="auto"/>
              <w:ind w:left="2160" w:hanging="2160"/>
              <w:rPr>
                <w:rFonts w:ascii="Arial" w:eastAsia="Times New Roman" w:hAnsi="Arial" w:cs="Arial"/>
                <w:b/>
                <w:bCs/>
                <w:lang w:val="en-GB"/>
              </w:rPr>
            </w:pPr>
            <w:r w:rsidRPr="00071FD1">
              <w:rPr>
                <w:rFonts w:ascii="Arial" w:eastAsia="Times New Roman" w:hAnsi="Arial" w:cs="Arial"/>
                <w:b/>
                <w:bCs/>
                <w:lang w:val="en-GB"/>
              </w:rPr>
              <w:t>Gastrointestinal disorders</w:t>
            </w:r>
          </w:p>
          <w:p w14:paraId="59605013"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Frequent:</w:t>
            </w:r>
            <w:r w:rsidRPr="00071FD1">
              <w:rPr>
                <w:rFonts w:ascii="Arial" w:hAnsi="Arial" w:cs="Arial"/>
                <w:i/>
                <w:iCs/>
                <w:noProof/>
              </w:rPr>
              <w:tab/>
            </w:r>
            <w:r w:rsidRPr="00071FD1">
              <w:rPr>
                <w:rFonts w:ascii="Arial" w:hAnsi="Arial" w:cs="Arial"/>
                <w:noProof/>
              </w:rPr>
              <w:t xml:space="preserve">nausea, abdominal pain, diarrhoea, dyspepsia, flatulence, vomiting, </w:t>
            </w:r>
            <w:r w:rsidRPr="00071FD1">
              <w:rPr>
                <w:rFonts w:ascii="Arial" w:hAnsi="Arial" w:cs="Arial"/>
                <w:noProof/>
              </w:rPr>
              <w:lastRenderedPageBreak/>
              <w:t>dysphagia, irritable bowel syndrome, tooth disorder</w:t>
            </w:r>
          </w:p>
          <w:p w14:paraId="5EECBBB2"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Less frequent:</w:t>
            </w:r>
            <w:r w:rsidRPr="00071FD1">
              <w:rPr>
                <w:rFonts w:ascii="Arial" w:hAnsi="Arial" w:cs="Arial"/>
                <w:i/>
                <w:iCs/>
                <w:noProof/>
              </w:rPr>
              <w:tab/>
            </w:r>
            <w:r w:rsidRPr="00071FD1">
              <w:rPr>
                <w:rFonts w:ascii="Arial" w:hAnsi="Arial" w:cs="Arial"/>
                <w:noProof/>
              </w:rPr>
              <w:t>constipation, gastritis, stomatitis, gastrointestinal inflammation (including aggravation of gastrointestinal inflammation), eructation, gastrointestinal haemorrhage, duodenal ulcer, gastric ulcer, oesophageal ulcer, intestinal ulcer, large intestinal ulcer, intestinal perforation, oesophagitis, melaena, pancreatitis, colitis, haemorrhoidal haemorrhage, frequent bowel movements, mouth ulceration</w:t>
            </w:r>
          </w:p>
          <w:p w14:paraId="3AE990DA" w14:textId="77777777" w:rsidR="00071FD1" w:rsidRPr="00071FD1" w:rsidRDefault="00071FD1" w:rsidP="00071FD1">
            <w:pPr>
              <w:widowControl w:val="0"/>
              <w:suppressAutoHyphens/>
              <w:spacing w:line="480" w:lineRule="auto"/>
              <w:ind w:left="2160" w:hanging="2160"/>
              <w:rPr>
                <w:rFonts w:ascii="Arial" w:eastAsia="Times New Roman" w:hAnsi="Arial" w:cs="Arial"/>
                <w:b/>
                <w:bCs/>
                <w:lang w:val="en-GB"/>
              </w:rPr>
            </w:pPr>
          </w:p>
          <w:p w14:paraId="2D66D855" w14:textId="77777777" w:rsidR="00071FD1" w:rsidRPr="00071FD1" w:rsidRDefault="00071FD1" w:rsidP="00071FD1">
            <w:pPr>
              <w:widowControl w:val="0"/>
              <w:suppressAutoHyphens/>
              <w:spacing w:line="480" w:lineRule="auto"/>
              <w:ind w:left="2160" w:hanging="2160"/>
              <w:rPr>
                <w:rFonts w:ascii="Arial" w:hAnsi="Arial" w:cs="Arial"/>
                <w:b/>
                <w:bCs/>
                <w:noProof/>
              </w:rPr>
            </w:pPr>
            <w:r w:rsidRPr="00071FD1">
              <w:rPr>
                <w:rFonts w:ascii="Arial" w:hAnsi="Arial" w:cs="Arial"/>
                <w:b/>
                <w:bCs/>
                <w:noProof/>
              </w:rPr>
              <w:t>Hepatobiliary disorders</w:t>
            </w:r>
          </w:p>
          <w:p w14:paraId="5D860640"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Less frequent:</w:t>
            </w:r>
            <w:r w:rsidRPr="00071FD1">
              <w:rPr>
                <w:rFonts w:ascii="Arial" w:hAnsi="Arial" w:cs="Arial"/>
                <w:i/>
                <w:iCs/>
                <w:noProof/>
              </w:rPr>
              <w:tab/>
            </w:r>
            <w:r w:rsidRPr="00071FD1">
              <w:rPr>
                <w:rFonts w:ascii="Arial" w:hAnsi="Arial" w:cs="Arial"/>
                <w:noProof/>
              </w:rPr>
              <w:t>abnormal hepatic function, increased hepatic enzymes (including increased aspartate aminotransferase (AST) and alanine aminotransferase (ALT)), hepatitis, hepatic failure (sometimes fatal or requiring liver transplant), fulminant hepatitis (some with fatal outcome), hepatic necrosis, cholestasis, cholestatic jaundice</w:t>
            </w:r>
          </w:p>
          <w:p w14:paraId="79AAA920" w14:textId="77777777" w:rsidR="00071FD1" w:rsidRPr="00071FD1" w:rsidRDefault="00071FD1" w:rsidP="00071FD1">
            <w:pPr>
              <w:widowControl w:val="0"/>
              <w:suppressAutoHyphens/>
              <w:spacing w:line="480" w:lineRule="auto"/>
              <w:ind w:left="2160" w:hanging="2160"/>
              <w:rPr>
                <w:rFonts w:ascii="Arial" w:eastAsia="Times New Roman" w:hAnsi="Arial" w:cs="Arial"/>
                <w:b/>
                <w:bCs/>
                <w:lang w:val="en-GB"/>
              </w:rPr>
            </w:pPr>
          </w:p>
          <w:p w14:paraId="232735B3" w14:textId="77777777" w:rsidR="00071FD1" w:rsidRPr="00071FD1" w:rsidRDefault="00071FD1" w:rsidP="00071FD1">
            <w:pPr>
              <w:widowControl w:val="0"/>
              <w:suppressAutoHyphens/>
              <w:spacing w:line="480" w:lineRule="auto"/>
              <w:ind w:left="2160" w:hanging="2160"/>
              <w:rPr>
                <w:rFonts w:ascii="Arial" w:hAnsi="Arial" w:cs="Arial"/>
                <w:b/>
                <w:bCs/>
                <w:noProof/>
              </w:rPr>
            </w:pPr>
            <w:r w:rsidRPr="00071FD1">
              <w:rPr>
                <w:rFonts w:ascii="Arial" w:hAnsi="Arial" w:cs="Arial"/>
                <w:b/>
                <w:bCs/>
                <w:noProof/>
              </w:rPr>
              <w:t>Skin and subcutaneous tissue disorders</w:t>
            </w:r>
          </w:p>
          <w:p w14:paraId="3243DE48"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Frequent:</w:t>
            </w:r>
            <w:r w:rsidRPr="00071FD1">
              <w:rPr>
                <w:rFonts w:ascii="Arial" w:hAnsi="Arial" w:cs="Arial"/>
                <w:i/>
                <w:iCs/>
                <w:noProof/>
              </w:rPr>
              <w:tab/>
            </w:r>
            <w:r w:rsidRPr="00071FD1">
              <w:rPr>
                <w:rFonts w:ascii="Arial" w:hAnsi="Arial" w:cs="Arial"/>
                <w:noProof/>
              </w:rPr>
              <w:t>rash</w:t>
            </w:r>
            <w:r w:rsidRPr="00071FD1">
              <w:rPr>
                <w:rFonts w:ascii="Arial" w:hAnsi="Arial" w:cs="Arial"/>
                <w:i/>
                <w:iCs/>
                <w:noProof/>
              </w:rPr>
              <w:t xml:space="preserve">, </w:t>
            </w:r>
            <w:r w:rsidRPr="00071FD1">
              <w:rPr>
                <w:rFonts w:ascii="Arial" w:hAnsi="Arial" w:cs="Arial"/>
                <w:noProof/>
              </w:rPr>
              <w:t>pruritis (includes pruritis generalised)</w:t>
            </w:r>
          </w:p>
          <w:p w14:paraId="70B34A38"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Less frequent:</w:t>
            </w:r>
            <w:r w:rsidRPr="00071FD1">
              <w:rPr>
                <w:rFonts w:ascii="Arial" w:hAnsi="Arial" w:cs="Arial"/>
                <w:i/>
                <w:iCs/>
                <w:noProof/>
              </w:rPr>
              <w:tab/>
            </w:r>
            <w:r w:rsidRPr="00071FD1">
              <w:rPr>
                <w:rFonts w:ascii="Arial" w:hAnsi="Arial" w:cs="Arial"/>
                <w:noProof/>
              </w:rPr>
              <w:t>urticaria, ecchymosis, alopecia, photosensitivity, exfoliative dermatitis, erythema multiforme, Stevens-Johnson syndrome, toxic epidermal necrolysis, drug reaction with eosinophilia and systemic symptoms (DRESS), acute generalised exanthematous pustulosis (AGEP), bullous dermatitis, lipoma, allergic dermatitis, ganglion</w:t>
            </w:r>
          </w:p>
          <w:p w14:paraId="29332CEC" w14:textId="77777777" w:rsidR="00071FD1" w:rsidRPr="00071FD1" w:rsidRDefault="00071FD1" w:rsidP="00071FD1">
            <w:pPr>
              <w:widowControl w:val="0"/>
              <w:suppressAutoHyphens/>
              <w:spacing w:line="480" w:lineRule="auto"/>
              <w:ind w:left="2160" w:hanging="2160"/>
              <w:rPr>
                <w:rFonts w:ascii="Arial" w:eastAsia="Times New Roman" w:hAnsi="Arial" w:cs="Arial"/>
                <w:b/>
                <w:bCs/>
                <w:lang w:val="en-GB"/>
              </w:rPr>
            </w:pPr>
          </w:p>
          <w:p w14:paraId="2B4F26D6" w14:textId="77777777" w:rsidR="00071FD1" w:rsidRPr="00071FD1" w:rsidRDefault="00071FD1" w:rsidP="00071FD1">
            <w:pPr>
              <w:widowControl w:val="0"/>
              <w:suppressAutoHyphens/>
              <w:spacing w:line="480" w:lineRule="auto"/>
              <w:ind w:left="2160" w:hanging="2160"/>
              <w:rPr>
                <w:rFonts w:ascii="Arial" w:hAnsi="Arial" w:cs="Arial"/>
                <w:b/>
                <w:bCs/>
                <w:noProof/>
              </w:rPr>
            </w:pPr>
            <w:r w:rsidRPr="00071FD1">
              <w:rPr>
                <w:rFonts w:ascii="Arial" w:hAnsi="Arial" w:cs="Arial"/>
                <w:b/>
                <w:bCs/>
                <w:noProof/>
              </w:rPr>
              <w:t>Musculoskeletal and connective tissue disorders</w:t>
            </w:r>
          </w:p>
          <w:p w14:paraId="1691B610"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Frequent:</w:t>
            </w:r>
            <w:r w:rsidRPr="00071FD1">
              <w:rPr>
                <w:rFonts w:ascii="Arial" w:hAnsi="Arial" w:cs="Arial"/>
                <w:i/>
                <w:iCs/>
                <w:noProof/>
              </w:rPr>
              <w:tab/>
            </w:r>
            <w:r w:rsidRPr="00071FD1">
              <w:rPr>
                <w:rFonts w:ascii="Arial" w:hAnsi="Arial" w:cs="Arial"/>
                <w:noProof/>
              </w:rPr>
              <w:t>arthralgia</w:t>
            </w:r>
          </w:p>
          <w:p w14:paraId="6F0240E0"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Less frequent:</w:t>
            </w:r>
            <w:r w:rsidRPr="00071FD1">
              <w:rPr>
                <w:rFonts w:ascii="Arial" w:hAnsi="Arial" w:cs="Arial"/>
                <w:i/>
                <w:iCs/>
                <w:noProof/>
              </w:rPr>
              <w:tab/>
            </w:r>
            <w:r w:rsidRPr="00071FD1">
              <w:rPr>
                <w:rFonts w:ascii="Arial" w:hAnsi="Arial" w:cs="Arial"/>
                <w:noProof/>
              </w:rPr>
              <w:t>muscle spasms (leg cramps), myositis, lower limb fracture</w:t>
            </w:r>
          </w:p>
          <w:p w14:paraId="447FD300" w14:textId="77777777" w:rsidR="00071FD1" w:rsidRPr="00071FD1" w:rsidRDefault="00071FD1" w:rsidP="00071FD1">
            <w:pPr>
              <w:widowControl w:val="0"/>
              <w:suppressAutoHyphens/>
              <w:spacing w:line="480" w:lineRule="auto"/>
              <w:ind w:left="2160" w:hanging="2160"/>
              <w:rPr>
                <w:rFonts w:ascii="Arial" w:eastAsia="Times New Roman" w:hAnsi="Arial" w:cs="Arial"/>
                <w:b/>
                <w:bCs/>
                <w:lang w:val="en-GB"/>
              </w:rPr>
            </w:pPr>
          </w:p>
          <w:p w14:paraId="76CE8A21" w14:textId="77777777" w:rsidR="00071FD1" w:rsidRPr="00071FD1" w:rsidRDefault="00071FD1" w:rsidP="00071FD1">
            <w:pPr>
              <w:widowControl w:val="0"/>
              <w:suppressAutoHyphens/>
              <w:spacing w:line="480" w:lineRule="auto"/>
              <w:ind w:left="2160" w:hanging="2160"/>
              <w:rPr>
                <w:rFonts w:ascii="Arial" w:hAnsi="Arial" w:cs="Arial"/>
                <w:b/>
                <w:bCs/>
                <w:noProof/>
              </w:rPr>
            </w:pPr>
            <w:r w:rsidRPr="00071FD1">
              <w:rPr>
                <w:rFonts w:ascii="Arial" w:hAnsi="Arial" w:cs="Arial"/>
                <w:b/>
                <w:bCs/>
                <w:noProof/>
              </w:rPr>
              <w:t>Renal and urinary disorders</w:t>
            </w:r>
          </w:p>
          <w:p w14:paraId="6C95F9BD"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Less frequent:</w:t>
            </w:r>
            <w:r w:rsidRPr="00071FD1">
              <w:rPr>
                <w:rFonts w:ascii="Arial" w:hAnsi="Arial" w:cs="Arial"/>
                <w:i/>
                <w:iCs/>
                <w:noProof/>
              </w:rPr>
              <w:tab/>
            </w:r>
            <w:r w:rsidRPr="00071FD1">
              <w:rPr>
                <w:rFonts w:ascii="Arial" w:hAnsi="Arial" w:cs="Arial"/>
                <w:noProof/>
              </w:rPr>
              <w:t>increased blood creatinine, increased blood urea, acute renal failure, hyponatraemia, tubulointerstitial nephritis, nephrotic syndrome, glomerulonephritis minimal lesion, nephrolithiasis, nocturia</w:t>
            </w:r>
          </w:p>
          <w:p w14:paraId="509ABB46" w14:textId="77777777" w:rsidR="00071FD1" w:rsidRPr="00071FD1" w:rsidRDefault="00071FD1" w:rsidP="00071FD1">
            <w:pPr>
              <w:widowControl w:val="0"/>
              <w:suppressAutoHyphens/>
              <w:spacing w:line="480" w:lineRule="auto"/>
              <w:ind w:left="2160" w:hanging="2160"/>
              <w:rPr>
                <w:rFonts w:ascii="Arial" w:eastAsia="Times New Roman" w:hAnsi="Arial" w:cs="Arial"/>
                <w:b/>
                <w:bCs/>
                <w:lang w:val="en-GB"/>
              </w:rPr>
            </w:pPr>
          </w:p>
          <w:p w14:paraId="5B0F50C2" w14:textId="77777777" w:rsidR="00071FD1" w:rsidRPr="00071FD1" w:rsidRDefault="00071FD1" w:rsidP="00071FD1">
            <w:pPr>
              <w:widowControl w:val="0"/>
              <w:suppressAutoHyphens/>
              <w:spacing w:line="480" w:lineRule="auto"/>
              <w:ind w:left="2160" w:hanging="2160"/>
              <w:rPr>
                <w:rFonts w:ascii="Arial" w:hAnsi="Arial" w:cs="Arial"/>
                <w:b/>
                <w:bCs/>
                <w:noProof/>
              </w:rPr>
            </w:pPr>
            <w:r w:rsidRPr="00071FD1">
              <w:rPr>
                <w:rFonts w:ascii="Arial" w:hAnsi="Arial" w:cs="Arial"/>
                <w:b/>
                <w:bCs/>
                <w:noProof/>
              </w:rPr>
              <w:t>Reproductive system and breast disorders</w:t>
            </w:r>
          </w:p>
          <w:p w14:paraId="759A04A1"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Less frequent:</w:t>
            </w:r>
            <w:r w:rsidRPr="00071FD1">
              <w:rPr>
                <w:rFonts w:ascii="Arial" w:hAnsi="Arial" w:cs="Arial"/>
                <w:i/>
                <w:iCs/>
                <w:noProof/>
              </w:rPr>
              <w:tab/>
            </w:r>
            <w:r w:rsidRPr="00071FD1">
              <w:rPr>
                <w:rFonts w:ascii="Arial" w:hAnsi="Arial" w:cs="Arial"/>
                <w:noProof/>
              </w:rPr>
              <w:t>menstrual disorder</w:t>
            </w:r>
          </w:p>
          <w:p w14:paraId="30B092BE"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Frequency unknown:</w:t>
            </w:r>
            <w:r w:rsidRPr="00071FD1">
              <w:rPr>
                <w:rFonts w:ascii="Arial" w:hAnsi="Arial" w:cs="Arial"/>
                <w:i/>
                <w:iCs/>
                <w:noProof/>
              </w:rPr>
              <w:tab/>
            </w:r>
            <w:r w:rsidRPr="00071FD1">
              <w:rPr>
                <w:rFonts w:ascii="Arial" w:hAnsi="Arial" w:cs="Arial"/>
                <w:noProof/>
              </w:rPr>
              <w:t>female infertility (female fertility decreased), vaginal haemorrhage, breast tenderness</w:t>
            </w:r>
          </w:p>
          <w:p w14:paraId="00FA5F6A" w14:textId="77777777" w:rsidR="00071FD1" w:rsidRPr="00071FD1" w:rsidRDefault="00071FD1" w:rsidP="00071FD1">
            <w:pPr>
              <w:widowControl w:val="0"/>
              <w:suppressAutoHyphens/>
              <w:spacing w:line="480" w:lineRule="auto"/>
              <w:ind w:left="2160" w:hanging="2160"/>
              <w:rPr>
                <w:rFonts w:ascii="Arial" w:eastAsia="Times New Roman" w:hAnsi="Arial" w:cs="Arial"/>
                <w:b/>
                <w:bCs/>
                <w:lang w:val="en-GB"/>
              </w:rPr>
            </w:pPr>
          </w:p>
          <w:p w14:paraId="202B1790" w14:textId="77777777" w:rsidR="00071FD1" w:rsidRPr="00071FD1" w:rsidRDefault="00071FD1" w:rsidP="00071FD1">
            <w:pPr>
              <w:widowControl w:val="0"/>
              <w:suppressAutoHyphens/>
              <w:spacing w:line="480" w:lineRule="auto"/>
              <w:ind w:left="2160" w:hanging="2160"/>
              <w:rPr>
                <w:rFonts w:ascii="Arial" w:hAnsi="Arial" w:cs="Arial"/>
                <w:b/>
                <w:bCs/>
                <w:noProof/>
              </w:rPr>
            </w:pPr>
            <w:r w:rsidRPr="00071FD1">
              <w:rPr>
                <w:rFonts w:ascii="Arial" w:hAnsi="Arial" w:cs="Arial"/>
                <w:b/>
                <w:bCs/>
                <w:noProof/>
              </w:rPr>
              <w:t>General disorders and administration site conditions</w:t>
            </w:r>
          </w:p>
          <w:p w14:paraId="3033AFAE"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Frequent:</w:t>
            </w:r>
            <w:r w:rsidRPr="00071FD1">
              <w:rPr>
                <w:rFonts w:ascii="Arial" w:hAnsi="Arial" w:cs="Arial"/>
                <w:i/>
                <w:iCs/>
                <w:noProof/>
              </w:rPr>
              <w:tab/>
            </w:r>
            <w:r w:rsidRPr="00071FD1">
              <w:rPr>
                <w:rFonts w:ascii="Arial" w:hAnsi="Arial" w:cs="Arial"/>
                <w:noProof/>
              </w:rPr>
              <w:t>influenza-like illness, peripheral oedema/fluid retention</w:t>
            </w:r>
          </w:p>
          <w:p w14:paraId="49E76650" w14:textId="77777777" w:rsidR="00071FD1" w:rsidRPr="00071FD1" w:rsidRDefault="00071FD1" w:rsidP="00071FD1">
            <w:pPr>
              <w:widowControl w:val="0"/>
              <w:suppressAutoHyphens/>
              <w:spacing w:line="480" w:lineRule="auto"/>
              <w:ind w:left="2160" w:hanging="2160"/>
              <w:rPr>
                <w:rFonts w:ascii="Arial" w:hAnsi="Arial" w:cs="Arial"/>
                <w:noProof/>
              </w:rPr>
            </w:pPr>
            <w:r w:rsidRPr="00071FD1">
              <w:rPr>
                <w:rFonts w:ascii="Arial" w:hAnsi="Arial" w:cs="Arial"/>
                <w:i/>
                <w:iCs/>
                <w:noProof/>
              </w:rPr>
              <w:t>Less frequent:</w:t>
            </w:r>
            <w:r w:rsidRPr="00071FD1">
              <w:rPr>
                <w:rFonts w:ascii="Arial" w:hAnsi="Arial" w:cs="Arial"/>
                <w:i/>
                <w:iCs/>
                <w:noProof/>
              </w:rPr>
              <w:tab/>
            </w:r>
            <w:r w:rsidRPr="00071FD1">
              <w:rPr>
                <w:rFonts w:ascii="Arial" w:hAnsi="Arial" w:cs="Arial"/>
                <w:noProof/>
              </w:rPr>
              <w:t>face oedema, chest pain</w:t>
            </w:r>
          </w:p>
          <w:p w14:paraId="4D4CE0D1" w14:textId="77777777" w:rsidR="00071FD1" w:rsidRPr="00071FD1" w:rsidRDefault="00071FD1" w:rsidP="00071FD1">
            <w:pPr>
              <w:widowControl w:val="0"/>
              <w:suppressAutoHyphens/>
              <w:spacing w:line="480" w:lineRule="auto"/>
              <w:ind w:left="2160" w:hanging="2160"/>
              <w:rPr>
                <w:rFonts w:ascii="Arial" w:eastAsia="Times New Roman" w:hAnsi="Arial" w:cs="Arial"/>
                <w:b/>
                <w:bCs/>
                <w:lang w:val="en-GB"/>
              </w:rPr>
            </w:pPr>
          </w:p>
          <w:p w14:paraId="19599AAE" w14:textId="77777777" w:rsidR="00071FD1" w:rsidRPr="00071FD1" w:rsidRDefault="00071FD1" w:rsidP="00071FD1">
            <w:pPr>
              <w:widowControl w:val="0"/>
              <w:suppressAutoHyphens/>
              <w:spacing w:line="480" w:lineRule="auto"/>
              <w:ind w:left="2160" w:hanging="2160"/>
              <w:rPr>
                <w:rFonts w:ascii="Arial" w:hAnsi="Arial" w:cs="Arial"/>
                <w:b/>
                <w:bCs/>
                <w:noProof/>
              </w:rPr>
            </w:pPr>
            <w:r w:rsidRPr="00071FD1">
              <w:rPr>
                <w:rFonts w:ascii="Arial" w:hAnsi="Arial" w:cs="Arial"/>
                <w:b/>
                <w:bCs/>
                <w:noProof/>
              </w:rPr>
              <w:t>Injury, poisoning and procedural complications</w:t>
            </w:r>
          </w:p>
          <w:p w14:paraId="1D8FB624" w14:textId="77777777" w:rsidR="00071FD1" w:rsidRPr="00071FD1" w:rsidRDefault="00071FD1" w:rsidP="00071FD1">
            <w:pPr>
              <w:widowControl w:val="0"/>
              <w:suppressAutoHyphens/>
              <w:spacing w:line="480" w:lineRule="auto"/>
              <w:ind w:left="2160" w:hanging="2160"/>
              <w:rPr>
                <w:rFonts w:ascii="Arial" w:eastAsia="Times New Roman" w:hAnsi="Arial" w:cs="Arial"/>
                <w:b/>
                <w:bCs/>
                <w:lang w:val="en-GB"/>
              </w:rPr>
            </w:pPr>
            <w:r w:rsidRPr="00071FD1">
              <w:rPr>
                <w:rFonts w:ascii="Arial" w:hAnsi="Arial" w:cs="Arial"/>
                <w:i/>
                <w:iCs/>
                <w:noProof/>
              </w:rPr>
              <w:t>Frequent:</w:t>
            </w:r>
            <w:r w:rsidRPr="00071FD1">
              <w:rPr>
                <w:rFonts w:ascii="Arial" w:hAnsi="Arial" w:cs="Arial"/>
                <w:i/>
                <w:iCs/>
                <w:noProof/>
              </w:rPr>
              <w:tab/>
            </w:r>
            <w:r w:rsidRPr="00071FD1">
              <w:rPr>
                <w:rFonts w:ascii="Arial" w:hAnsi="Arial" w:cs="Arial"/>
                <w:noProof/>
              </w:rPr>
              <w:t>accidental injury</w:t>
            </w:r>
          </w:p>
        </w:tc>
      </w:tr>
    </w:tbl>
    <w:p w14:paraId="3CFC6EC7" w14:textId="77777777" w:rsidR="00071FD1" w:rsidRPr="00071FD1" w:rsidRDefault="00071FD1" w:rsidP="00071FD1">
      <w:pPr>
        <w:widowControl w:val="0"/>
        <w:suppressAutoHyphens/>
        <w:spacing w:after="0" w:line="480" w:lineRule="auto"/>
        <w:jc w:val="both"/>
        <w:rPr>
          <w:rFonts w:ascii="Arial" w:hAnsi="Arial" w:cs="Arial"/>
          <w:b/>
          <w:bCs/>
          <w:noProof/>
        </w:rPr>
      </w:pPr>
    </w:p>
    <w:p w14:paraId="229C4BD7" w14:textId="77777777" w:rsidR="00071FD1" w:rsidRPr="00071FD1" w:rsidRDefault="00071FD1" w:rsidP="00624057">
      <w:pPr>
        <w:widowControl w:val="0"/>
        <w:suppressAutoHyphens/>
        <w:spacing w:after="0" w:line="480" w:lineRule="auto"/>
        <w:ind w:left="2880" w:hanging="2880"/>
        <w:jc w:val="both"/>
        <w:outlineLvl w:val="0"/>
        <w:rPr>
          <w:rFonts w:ascii="Arial" w:hAnsi="Arial" w:cs="Arial"/>
          <w:b/>
          <w:bCs/>
          <w:i/>
          <w:iCs/>
          <w:noProof/>
        </w:rPr>
      </w:pPr>
      <w:r w:rsidRPr="00071FD1">
        <w:rPr>
          <w:rFonts w:ascii="Arial" w:hAnsi="Arial" w:cs="Arial"/>
          <w:b/>
          <w:bCs/>
          <w:i/>
          <w:iCs/>
          <w:noProof/>
        </w:rPr>
        <w:t>Description of selected adverse reactions</w:t>
      </w:r>
    </w:p>
    <w:p w14:paraId="61164D1F" w14:textId="77777777" w:rsidR="00071FD1" w:rsidRPr="00071FD1" w:rsidRDefault="00071FD1" w:rsidP="00624057">
      <w:pPr>
        <w:widowControl w:val="0"/>
        <w:suppressAutoHyphens/>
        <w:spacing w:after="0" w:line="480" w:lineRule="auto"/>
        <w:ind w:left="29" w:hanging="29"/>
        <w:jc w:val="both"/>
        <w:outlineLvl w:val="0"/>
        <w:rPr>
          <w:rFonts w:ascii="Arial" w:hAnsi="Arial" w:cs="Arial"/>
          <w:b/>
          <w:bCs/>
          <w:noProof/>
        </w:rPr>
      </w:pPr>
      <w:r w:rsidRPr="00071FD1">
        <w:rPr>
          <w:rFonts w:ascii="Arial" w:hAnsi="Arial" w:cs="Arial"/>
          <w:noProof/>
        </w:rPr>
        <w:t>In final data (adjudicated) from the APC and PreSAP trials in patients treated with celecoxib 400 mg daily for up to 3 years (pooled data from both trials), the excess rate over placebo for myocardial infarction was 7,6 events per 1 000 patients (less frequent) and there was no excess rate for stroke (types not differentiated) over placebo.</w:t>
      </w:r>
    </w:p>
    <w:p w14:paraId="2F998C2F" w14:textId="77777777" w:rsidR="00071FD1" w:rsidRPr="00071FD1" w:rsidRDefault="00071FD1" w:rsidP="00624057">
      <w:pPr>
        <w:widowControl w:val="0"/>
        <w:suppressAutoHyphens/>
        <w:spacing w:after="0" w:line="480" w:lineRule="auto"/>
        <w:jc w:val="both"/>
        <w:outlineLvl w:val="0"/>
        <w:rPr>
          <w:rFonts w:ascii="Arial" w:hAnsi="Arial" w:cs="Arial"/>
          <w:noProof/>
        </w:rPr>
      </w:pPr>
      <w:r w:rsidRPr="00071FD1">
        <w:rPr>
          <w:rFonts w:ascii="Arial" w:hAnsi="Arial" w:cs="Arial"/>
          <w:noProof/>
        </w:rPr>
        <w:t>Drug reaction with eosinophillia and systemic symptoms (DRESS) (see section 4.4).</w:t>
      </w:r>
    </w:p>
    <w:p w14:paraId="30A3AC76" w14:textId="77777777" w:rsidR="00071FD1" w:rsidRPr="00071FD1" w:rsidRDefault="00071FD1" w:rsidP="00624057">
      <w:pPr>
        <w:widowControl w:val="0"/>
        <w:suppressAutoHyphens/>
        <w:spacing w:after="0" w:line="480" w:lineRule="auto"/>
        <w:ind w:left="2880" w:hanging="2880"/>
        <w:jc w:val="both"/>
        <w:outlineLvl w:val="0"/>
        <w:rPr>
          <w:rFonts w:ascii="Arial" w:hAnsi="Arial" w:cs="Arial"/>
          <w:b/>
          <w:bCs/>
          <w:i/>
          <w:iCs/>
          <w:noProof/>
        </w:rPr>
      </w:pPr>
    </w:p>
    <w:p w14:paraId="121BE5FD" w14:textId="77777777" w:rsidR="00071FD1" w:rsidRPr="00071FD1" w:rsidRDefault="00071FD1" w:rsidP="00624057">
      <w:pPr>
        <w:widowControl w:val="0"/>
        <w:suppressAutoHyphens/>
        <w:spacing w:after="0" w:line="480" w:lineRule="auto"/>
        <w:jc w:val="both"/>
        <w:rPr>
          <w:rFonts w:ascii="Arial" w:hAnsi="Arial" w:cs="Arial"/>
          <w:b/>
          <w:i/>
        </w:rPr>
      </w:pPr>
      <w:r w:rsidRPr="00071FD1">
        <w:rPr>
          <w:rFonts w:ascii="Arial" w:hAnsi="Arial" w:cs="Arial"/>
          <w:b/>
          <w:i/>
        </w:rPr>
        <w:t>Reporting of suspected adverse reactions</w:t>
      </w:r>
    </w:p>
    <w:p w14:paraId="5352DA73" w14:textId="77777777" w:rsidR="00071FD1" w:rsidRPr="00071FD1" w:rsidRDefault="00071FD1" w:rsidP="00624057">
      <w:pPr>
        <w:widowControl w:val="0"/>
        <w:suppressAutoHyphens/>
        <w:autoSpaceDE w:val="0"/>
        <w:autoSpaceDN w:val="0"/>
        <w:adjustRightInd w:val="0"/>
        <w:spacing w:after="0" w:line="480" w:lineRule="auto"/>
        <w:jc w:val="both"/>
        <w:rPr>
          <w:rFonts w:ascii="Arial" w:hAnsi="Arial" w:cs="Arial"/>
        </w:rPr>
      </w:pPr>
      <w:r w:rsidRPr="00071FD1">
        <w:rPr>
          <w:rFonts w:ascii="Arial" w:hAnsi="Arial" w:cs="Arial"/>
        </w:rPr>
        <w:t>Reporting suspected adverse reactions after authorisation of</w:t>
      </w:r>
      <w:r w:rsidRPr="00071FD1">
        <w:rPr>
          <w:rFonts w:ascii="Arial" w:hAnsi="Arial" w:cs="Arial"/>
          <w:lang w:val="en-GB"/>
        </w:rPr>
        <w:t xml:space="preserve"> the medicine</w:t>
      </w:r>
      <w:r w:rsidRPr="00071FD1">
        <w:rPr>
          <w:rFonts w:ascii="Arial" w:hAnsi="Arial" w:cs="Arial"/>
        </w:rPr>
        <w:t xml:space="preserve"> is important. It allows </w:t>
      </w:r>
      <w:r w:rsidRPr="00071FD1">
        <w:rPr>
          <w:rFonts w:ascii="Arial" w:hAnsi="Arial" w:cs="Arial"/>
        </w:rPr>
        <w:lastRenderedPageBreak/>
        <w:t xml:space="preserve">continued monitoring of the benefit/risk balance of </w:t>
      </w:r>
      <w:r w:rsidRPr="00071FD1">
        <w:rPr>
          <w:rFonts w:ascii="Arial" w:hAnsi="Arial" w:cs="Arial"/>
          <w:lang w:val="en-GB"/>
        </w:rPr>
        <w:t>the medicine</w:t>
      </w:r>
      <w:r w:rsidRPr="00071FD1">
        <w:rPr>
          <w:rFonts w:ascii="Arial" w:hAnsi="Arial" w:cs="Arial"/>
        </w:rPr>
        <w:t>. Health care providers are asked to report any suspected adverse reactions via the “</w:t>
      </w:r>
      <w:r w:rsidRPr="00071FD1">
        <w:rPr>
          <w:rFonts w:ascii="Arial" w:hAnsi="Arial" w:cs="Arial"/>
          <w:b/>
          <w:bCs/>
        </w:rPr>
        <w:t>6.04 Adverse Drug Reaction Reporting Form</w:t>
      </w:r>
      <w:r w:rsidRPr="00071FD1">
        <w:rPr>
          <w:rFonts w:ascii="Arial" w:hAnsi="Arial" w:cs="Arial"/>
        </w:rPr>
        <w:t>”, found online under SAHPRA’s publications: https://www.sahpra.org.za/Publications/Index/8.</w:t>
      </w:r>
    </w:p>
    <w:p w14:paraId="2C9348D1" w14:textId="77777777" w:rsidR="00071FD1" w:rsidRPr="00071FD1" w:rsidRDefault="00071FD1" w:rsidP="00624057">
      <w:pPr>
        <w:widowControl w:val="0"/>
        <w:suppressAutoHyphens/>
        <w:spacing w:after="0" w:line="480" w:lineRule="auto"/>
        <w:jc w:val="both"/>
        <w:rPr>
          <w:rFonts w:ascii="Arial" w:eastAsia="Times New Roman" w:hAnsi="Arial" w:cs="Arial"/>
          <w:b/>
          <w:bCs/>
          <w:highlight w:val="yellow"/>
          <w:lang w:val="en-GB"/>
        </w:rPr>
      </w:pPr>
    </w:p>
    <w:p w14:paraId="295D4801" w14:textId="77777777" w:rsidR="00071FD1" w:rsidRPr="00071FD1" w:rsidRDefault="00071FD1" w:rsidP="00624057">
      <w:pPr>
        <w:widowControl w:val="0"/>
        <w:suppressAutoHyphens/>
        <w:spacing w:after="0" w:line="480" w:lineRule="auto"/>
        <w:ind w:left="567" w:hanging="567"/>
        <w:jc w:val="both"/>
        <w:outlineLvl w:val="0"/>
        <w:rPr>
          <w:rFonts w:ascii="Arial" w:hAnsi="Arial" w:cs="Arial"/>
          <w:noProof/>
        </w:rPr>
      </w:pPr>
      <w:r w:rsidRPr="00071FD1">
        <w:rPr>
          <w:rFonts w:ascii="Arial" w:hAnsi="Arial" w:cs="Arial"/>
          <w:b/>
          <w:noProof/>
        </w:rPr>
        <w:t>4.9</w:t>
      </w:r>
      <w:r w:rsidRPr="00071FD1">
        <w:rPr>
          <w:rFonts w:ascii="Arial" w:hAnsi="Arial" w:cs="Arial"/>
          <w:b/>
          <w:noProof/>
        </w:rPr>
        <w:tab/>
        <w:t>Overdose</w:t>
      </w:r>
    </w:p>
    <w:p w14:paraId="7AA00C2D" w14:textId="77777777" w:rsidR="00071FD1" w:rsidRPr="00071FD1" w:rsidRDefault="00071FD1" w:rsidP="00624057">
      <w:pPr>
        <w:widowControl w:val="0"/>
        <w:suppressAutoHyphens/>
        <w:spacing w:after="0" w:line="480" w:lineRule="auto"/>
        <w:jc w:val="both"/>
        <w:rPr>
          <w:rFonts w:ascii="Arial" w:hAnsi="Arial" w:cs="Arial"/>
          <w:noProof/>
        </w:rPr>
      </w:pPr>
      <w:r w:rsidRPr="00071FD1">
        <w:rPr>
          <w:rFonts w:ascii="Arial" w:hAnsi="Arial" w:cs="Arial"/>
        </w:rPr>
        <w:t>There is no clinical experience of overdose. Single doses up to 1 200 mg and multiple doses up to 1 200 mg twice daily have been administered to healthy persons without clinically significant adverse effects. In the event of a suspected overdose, appropriate supportive medical care should be provided. Dialysis is not likely to be an efficient method of medicine removal.</w:t>
      </w:r>
    </w:p>
    <w:p w14:paraId="690014EE" w14:textId="77777777" w:rsidR="00071FD1" w:rsidRPr="00071FD1" w:rsidRDefault="00071FD1" w:rsidP="00624057">
      <w:pPr>
        <w:widowControl w:val="0"/>
        <w:suppressAutoHyphens/>
        <w:spacing w:after="0" w:line="480" w:lineRule="auto"/>
        <w:ind w:left="567" w:hanging="567"/>
        <w:jc w:val="both"/>
        <w:outlineLvl w:val="0"/>
        <w:rPr>
          <w:rFonts w:ascii="Arial" w:hAnsi="Arial" w:cs="Arial"/>
          <w:b/>
          <w:noProof/>
        </w:rPr>
      </w:pPr>
    </w:p>
    <w:p w14:paraId="432FCE98" w14:textId="77777777" w:rsidR="00071FD1" w:rsidRPr="00071FD1" w:rsidRDefault="00071FD1" w:rsidP="00624057">
      <w:pPr>
        <w:widowControl w:val="0"/>
        <w:suppressAutoHyphens/>
        <w:spacing w:after="0" w:line="480" w:lineRule="auto"/>
        <w:ind w:left="567" w:hanging="567"/>
        <w:jc w:val="both"/>
        <w:rPr>
          <w:rFonts w:ascii="Arial" w:hAnsi="Arial" w:cs="Arial"/>
          <w:noProof/>
        </w:rPr>
      </w:pPr>
      <w:r w:rsidRPr="00071FD1">
        <w:rPr>
          <w:rFonts w:ascii="Arial" w:hAnsi="Arial" w:cs="Arial"/>
          <w:b/>
          <w:noProof/>
        </w:rPr>
        <w:t>5.</w:t>
      </w:r>
      <w:r w:rsidRPr="00071FD1">
        <w:rPr>
          <w:rFonts w:ascii="Arial" w:hAnsi="Arial" w:cs="Arial"/>
          <w:b/>
          <w:noProof/>
        </w:rPr>
        <w:tab/>
        <w:t>PHARMACOLOGICAL PROPERTIES</w:t>
      </w:r>
    </w:p>
    <w:p w14:paraId="1C1578C9" w14:textId="77777777" w:rsidR="00071FD1" w:rsidRPr="00071FD1" w:rsidRDefault="00071FD1" w:rsidP="00624057">
      <w:pPr>
        <w:widowControl w:val="0"/>
        <w:suppressAutoHyphens/>
        <w:spacing w:after="0" w:line="480" w:lineRule="auto"/>
        <w:ind w:left="567" w:hanging="567"/>
        <w:jc w:val="both"/>
        <w:outlineLvl w:val="0"/>
        <w:rPr>
          <w:rFonts w:ascii="Arial" w:hAnsi="Arial" w:cs="Arial"/>
          <w:noProof/>
        </w:rPr>
      </w:pPr>
      <w:r w:rsidRPr="00071FD1">
        <w:rPr>
          <w:rFonts w:ascii="Arial" w:hAnsi="Arial" w:cs="Arial"/>
          <w:b/>
          <w:noProof/>
        </w:rPr>
        <w:t>5.1</w:t>
      </w:r>
      <w:r w:rsidRPr="00071FD1">
        <w:rPr>
          <w:rFonts w:ascii="Arial" w:hAnsi="Arial" w:cs="Arial"/>
          <w:b/>
          <w:noProof/>
        </w:rPr>
        <w:tab/>
        <w:t>Pharmacodynamic properties</w:t>
      </w:r>
    </w:p>
    <w:p w14:paraId="7EC76925" w14:textId="77777777" w:rsidR="00071FD1" w:rsidRPr="00071FD1" w:rsidRDefault="00071FD1" w:rsidP="0098102B">
      <w:pPr>
        <w:widowControl w:val="0"/>
        <w:suppressAutoHyphens/>
        <w:spacing w:after="0" w:line="480" w:lineRule="auto"/>
        <w:rPr>
          <w:rFonts w:ascii="Arial" w:hAnsi="Arial" w:cs="Arial"/>
          <w:bCs/>
          <w:noProof/>
        </w:rPr>
      </w:pPr>
      <w:r w:rsidRPr="00071FD1">
        <w:rPr>
          <w:rFonts w:ascii="Arial" w:hAnsi="Arial" w:cs="Arial"/>
          <w:bCs/>
          <w:noProof/>
        </w:rPr>
        <w:t>Category and class: A 3.1 Antirheumatics (anti-inflammatory agents)</w:t>
      </w:r>
      <w:r w:rsidRPr="00071FD1">
        <w:rPr>
          <w:rFonts w:ascii="Arial" w:hAnsi="Arial" w:cs="Arial" w:hint="eastAsia"/>
          <w:bCs/>
          <w:noProof/>
        </w:rPr>
        <w:br/>
      </w:r>
      <w:r w:rsidRPr="00071FD1">
        <w:rPr>
          <w:rFonts w:ascii="Arial" w:hAnsi="Arial" w:cs="Arial"/>
          <w:bCs/>
          <w:noProof/>
        </w:rPr>
        <w:t>Pharmacotherapeutic group</w:t>
      </w:r>
      <w:r w:rsidRPr="00071FD1">
        <w:rPr>
          <w:rFonts w:ascii="Arial" w:hAnsi="Arial" w:cs="Arial"/>
        </w:rPr>
        <w:t>: Non-steroidal anti-inflammatory and antirheumatic drugs, NSAIDs, Coxibs</w:t>
      </w:r>
      <w:r w:rsidRPr="00071FD1">
        <w:rPr>
          <w:rFonts w:ascii="Arial" w:hAnsi="Arial" w:cs="Arial" w:hint="eastAsia"/>
          <w:bCs/>
          <w:noProof/>
        </w:rPr>
        <w:br/>
      </w:r>
      <w:r w:rsidRPr="00071FD1">
        <w:rPr>
          <w:rFonts w:ascii="Arial" w:hAnsi="Arial" w:cs="Arial"/>
          <w:bCs/>
          <w:noProof/>
        </w:rPr>
        <w:t>ATC code: M01AH01.</w:t>
      </w:r>
    </w:p>
    <w:p w14:paraId="43199E23" w14:textId="77777777" w:rsidR="00071FD1" w:rsidRPr="00071FD1" w:rsidRDefault="00071FD1" w:rsidP="00624057">
      <w:pPr>
        <w:widowControl w:val="0"/>
        <w:suppressAutoHyphens/>
        <w:spacing w:after="0" w:line="480" w:lineRule="auto"/>
        <w:jc w:val="both"/>
        <w:rPr>
          <w:rFonts w:ascii="Arial" w:hAnsi="Arial" w:cs="Arial"/>
          <w:bCs/>
          <w:noProof/>
        </w:rPr>
      </w:pPr>
    </w:p>
    <w:p w14:paraId="48D47B8E" w14:textId="77777777" w:rsidR="00071FD1" w:rsidRPr="00071FD1" w:rsidRDefault="00071FD1" w:rsidP="00624057">
      <w:pPr>
        <w:widowControl w:val="0"/>
        <w:tabs>
          <w:tab w:val="left" w:pos="284"/>
          <w:tab w:val="left" w:pos="567"/>
          <w:tab w:val="right" w:pos="9639"/>
        </w:tabs>
        <w:suppressAutoHyphens/>
        <w:spacing w:after="0" w:line="480" w:lineRule="auto"/>
        <w:jc w:val="both"/>
        <w:rPr>
          <w:rFonts w:ascii="Arial" w:hAnsi="Arial" w:cs="Arial"/>
        </w:rPr>
      </w:pPr>
      <w:bookmarkStart w:id="0" w:name="_Hlk46127597"/>
      <w:r w:rsidRPr="00071FD1">
        <w:rPr>
          <w:rFonts w:ascii="Arial" w:hAnsi="Arial" w:cs="Arial"/>
          <w:bCs/>
          <w:noProof/>
        </w:rPr>
        <w:t xml:space="preserve">Celecoxib is a specific cyclooxygenase 2 (COX-2) inhibitor (SCI). </w:t>
      </w:r>
      <w:r w:rsidRPr="00071FD1">
        <w:rPr>
          <w:rFonts w:ascii="Arial" w:hAnsi="Arial" w:cs="Arial"/>
        </w:rPr>
        <w:t>Cyclooxygenase-2 is induced in response to inflammatory stimuli. This leads to the synthesis and accumulation of inflammatory prostanoids, particularly prostaglandin E2, causing inflammation, oedema and pain.</w:t>
      </w:r>
      <w:r w:rsidRPr="00071FD1">
        <w:rPr>
          <w:rFonts w:ascii="Arial" w:hAnsi="Arial" w:cs="Arial"/>
        </w:rPr>
        <w:tab/>
      </w:r>
    </w:p>
    <w:p w14:paraId="1A94E46F" w14:textId="77777777" w:rsidR="00071FD1" w:rsidRPr="00071FD1" w:rsidRDefault="00071FD1" w:rsidP="00624057">
      <w:pPr>
        <w:widowControl w:val="0"/>
        <w:tabs>
          <w:tab w:val="left" w:pos="284"/>
          <w:tab w:val="left" w:pos="567"/>
          <w:tab w:val="right" w:pos="9639"/>
        </w:tabs>
        <w:suppressAutoHyphens/>
        <w:spacing w:after="0" w:line="480" w:lineRule="auto"/>
        <w:jc w:val="both"/>
        <w:rPr>
          <w:rFonts w:ascii="Arial" w:hAnsi="Arial" w:cs="Arial"/>
        </w:rPr>
      </w:pPr>
      <w:r w:rsidRPr="00071FD1">
        <w:rPr>
          <w:rFonts w:ascii="Arial" w:hAnsi="Arial" w:cs="Arial"/>
        </w:rPr>
        <w:t>Celecoxib acts as an anti-inflammatory, analgesic and anti-pyretic medicine by blocking the production of inflammatory prostanoids via COX-2 inhibition.</w:t>
      </w:r>
      <w:r w:rsidRPr="00071FD1">
        <w:rPr>
          <w:rFonts w:ascii="Arial" w:hAnsi="Arial" w:cs="Arial"/>
        </w:rPr>
        <w:tab/>
      </w:r>
    </w:p>
    <w:p w14:paraId="5D0C34BD" w14:textId="77777777" w:rsidR="00071FD1" w:rsidRPr="00071FD1" w:rsidRDefault="00071FD1" w:rsidP="00624057">
      <w:pPr>
        <w:widowControl w:val="0"/>
        <w:suppressAutoHyphens/>
        <w:spacing w:after="0" w:line="480" w:lineRule="auto"/>
        <w:jc w:val="both"/>
        <w:rPr>
          <w:rFonts w:ascii="Arial" w:hAnsi="Arial" w:cs="Arial"/>
          <w:bCs/>
          <w:noProof/>
        </w:rPr>
      </w:pPr>
      <w:r w:rsidRPr="00071FD1">
        <w:rPr>
          <w:rFonts w:ascii="Arial" w:hAnsi="Arial" w:cs="Arial"/>
        </w:rPr>
        <w:t>Celecoxib has a very low affinity for the constitutively expressed cyclooxygenase -1 enzyme (COX-1).</w:t>
      </w:r>
      <w:bookmarkEnd w:id="0"/>
    </w:p>
    <w:p w14:paraId="38501C44" w14:textId="77777777" w:rsidR="00071FD1" w:rsidRPr="00071FD1" w:rsidRDefault="00071FD1" w:rsidP="00624057">
      <w:pPr>
        <w:widowControl w:val="0"/>
        <w:suppressAutoHyphens/>
        <w:spacing w:after="0" w:line="480" w:lineRule="auto"/>
        <w:jc w:val="both"/>
        <w:rPr>
          <w:rFonts w:ascii="Arial" w:hAnsi="Arial" w:cs="Arial"/>
          <w:bCs/>
          <w:noProof/>
          <w:highlight w:val="yellow"/>
        </w:rPr>
      </w:pPr>
    </w:p>
    <w:p w14:paraId="74591BDD" w14:textId="77777777" w:rsidR="00071FD1" w:rsidRPr="00071FD1" w:rsidRDefault="00071FD1" w:rsidP="00624057">
      <w:pPr>
        <w:widowControl w:val="0"/>
        <w:suppressAutoHyphens/>
        <w:spacing w:after="0" w:line="480" w:lineRule="auto"/>
        <w:ind w:left="567" w:hanging="567"/>
        <w:jc w:val="both"/>
        <w:outlineLvl w:val="0"/>
        <w:rPr>
          <w:rFonts w:ascii="Arial" w:hAnsi="Arial" w:cs="Arial"/>
          <w:b/>
          <w:noProof/>
        </w:rPr>
      </w:pPr>
      <w:r w:rsidRPr="00071FD1">
        <w:rPr>
          <w:rFonts w:ascii="Arial" w:hAnsi="Arial" w:cs="Arial"/>
          <w:b/>
          <w:noProof/>
        </w:rPr>
        <w:t>5.2</w:t>
      </w:r>
      <w:r w:rsidRPr="00071FD1">
        <w:rPr>
          <w:rFonts w:ascii="Arial" w:hAnsi="Arial" w:cs="Arial"/>
          <w:b/>
          <w:noProof/>
        </w:rPr>
        <w:tab/>
        <w:t>Pharmacokinetic properties</w:t>
      </w:r>
    </w:p>
    <w:p w14:paraId="198EF236" w14:textId="77777777" w:rsidR="00071FD1" w:rsidRPr="00071FD1" w:rsidRDefault="00071FD1" w:rsidP="00624057">
      <w:pPr>
        <w:widowControl w:val="0"/>
        <w:suppressAutoHyphens/>
        <w:spacing w:after="0" w:line="480" w:lineRule="auto"/>
        <w:jc w:val="both"/>
        <w:rPr>
          <w:rFonts w:ascii="Arial" w:hAnsi="Arial" w:cs="Arial"/>
          <w:b/>
          <w:i/>
          <w:noProof/>
        </w:rPr>
      </w:pPr>
      <w:r w:rsidRPr="00071FD1">
        <w:rPr>
          <w:rFonts w:ascii="Arial" w:hAnsi="Arial" w:cs="Arial"/>
          <w:b/>
          <w:i/>
          <w:noProof/>
        </w:rPr>
        <w:t>Absorption</w:t>
      </w:r>
    </w:p>
    <w:p w14:paraId="1BEEBE16" w14:textId="713C0170" w:rsidR="00071FD1" w:rsidRPr="00071FD1" w:rsidRDefault="00071FD1" w:rsidP="00624057">
      <w:pPr>
        <w:widowControl w:val="0"/>
        <w:tabs>
          <w:tab w:val="left" w:pos="284"/>
          <w:tab w:val="left" w:pos="567"/>
          <w:tab w:val="right" w:pos="9639"/>
        </w:tabs>
        <w:suppressAutoHyphens/>
        <w:spacing w:after="0" w:line="480" w:lineRule="auto"/>
        <w:jc w:val="both"/>
        <w:rPr>
          <w:rFonts w:ascii="Arial" w:hAnsi="Arial" w:cs="Arial"/>
        </w:rPr>
      </w:pPr>
      <w:r w:rsidRPr="00071FD1">
        <w:rPr>
          <w:rFonts w:ascii="Arial" w:hAnsi="Arial" w:cs="Arial"/>
        </w:rPr>
        <w:t xml:space="preserve">When given under fasting conditions celecoxib reaches peak plasma concentrations after approximately 2 </w:t>
      </w:r>
      <w:r w:rsidR="0098102B">
        <w:rPr>
          <w:rFonts w:ascii="Arial" w:hAnsi="Arial" w:cs="Arial"/>
        </w:rPr>
        <w:t>-</w:t>
      </w:r>
      <w:r w:rsidRPr="00071FD1">
        <w:rPr>
          <w:rFonts w:ascii="Arial" w:hAnsi="Arial" w:cs="Arial"/>
        </w:rPr>
        <w:t xml:space="preserve"> 3 hours.  </w:t>
      </w:r>
      <w:r w:rsidRPr="00071FD1">
        <w:rPr>
          <w:rFonts w:ascii="Arial" w:hAnsi="Arial" w:cs="Arial"/>
        </w:rPr>
        <w:tab/>
      </w:r>
    </w:p>
    <w:p w14:paraId="30FF1BDF" w14:textId="77777777" w:rsidR="00071FD1" w:rsidRPr="00071FD1" w:rsidRDefault="00071FD1" w:rsidP="00624057">
      <w:pPr>
        <w:widowControl w:val="0"/>
        <w:tabs>
          <w:tab w:val="left" w:pos="284"/>
          <w:tab w:val="left" w:pos="567"/>
          <w:tab w:val="right" w:pos="9639"/>
        </w:tabs>
        <w:suppressAutoHyphens/>
        <w:spacing w:after="0" w:line="480" w:lineRule="auto"/>
        <w:jc w:val="both"/>
        <w:rPr>
          <w:rFonts w:ascii="Arial" w:hAnsi="Arial" w:cs="Arial"/>
        </w:rPr>
      </w:pPr>
      <w:r w:rsidRPr="00071FD1">
        <w:rPr>
          <w:rFonts w:ascii="Arial" w:hAnsi="Arial" w:cs="Arial"/>
        </w:rPr>
        <w:lastRenderedPageBreak/>
        <w:t xml:space="preserve">Celecoxib exhibits linear and dose proportional pharmacokinetics over the therapeutic dose range. </w:t>
      </w:r>
      <w:r w:rsidRPr="00071FD1">
        <w:rPr>
          <w:rFonts w:ascii="Arial" w:hAnsi="Arial" w:cs="Arial"/>
        </w:rPr>
        <w:tab/>
      </w:r>
    </w:p>
    <w:p w14:paraId="45DD1799" w14:textId="77777777" w:rsidR="00071FD1" w:rsidRPr="00071FD1" w:rsidRDefault="00071FD1" w:rsidP="00624057">
      <w:pPr>
        <w:widowControl w:val="0"/>
        <w:tabs>
          <w:tab w:val="left" w:pos="284"/>
          <w:tab w:val="left" w:pos="567"/>
          <w:tab w:val="right" w:pos="9639"/>
        </w:tabs>
        <w:suppressAutoHyphens/>
        <w:spacing w:after="0" w:line="480" w:lineRule="auto"/>
        <w:jc w:val="both"/>
        <w:rPr>
          <w:rFonts w:ascii="Arial" w:hAnsi="Arial" w:cs="Arial"/>
        </w:rPr>
      </w:pPr>
      <w:r w:rsidRPr="00071FD1">
        <w:rPr>
          <w:rFonts w:ascii="Arial" w:hAnsi="Arial" w:cs="Arial"/>
        </w:rPr>
        <w:t xml:space="preserve">Plasma protein binding is concentration independent and is about 97 % at therapeutic plasma concentrations and the medicine is not preferentially bound to erythrocytes in the blood. </w:t>
      </w:r>
      <w:r w:rsidRPr="00071FD1">
        <w:rPr>
          <w:rFonts w:ascii="Arial" w:hAnsi="Arial" w:cs="Arial"/>
        </w:rPr>
        <w:tab/>
      </w:r>
    </w:p>
    <w:p w14:paraId="4DDF1D66" w14:textId="77777777" w:rsidR="00071FD1" w:rsidRPr="00071FD1" w:rsidRDefault="00071FD1" w:rsidP="00624057">
      <w:pPr>
        <w:widowControl w:val="0"/>
        <w:suppressAutoHyphens/>
        <w:spacing w:after="0" w:line="480" w:lineRule="auto"/>
        <w:jc w:val="both"/>
        <w:rPr>
          <w:rFonts w:ascii="Arial" w:hAnsi="Arial" w:cs="Arial"/>
          <w:bCs/>
          <w:noProof/>
        </w:rPr>
      </w:pPr>
      <w:r w:rsidRPr="00071FD1">
        <w:rPr>
          <w:rFonts w:ascii="Arial" w:hAnsi="Arial" w:cs="Arial"/>
        </w:rPr>
        <w:t>Taking a dose with food (a high fat meal) delays absorption, resulting in a T</w:t>
      </w:r>
      <w:r w:rsidRPr="00071FD1">
        <w:rPr>
          <w:rFonts w:ascii="Arial" w:hAnsi="Arial" w:cs="Arial"/>
          <w:vertAlign w:val="subscript"/>
        </w:rPr>
        <w:t xml:space="preserve">max </w:t>
      </w:r>
      <w:r w:rsidRPr="00071FD1">
        <w:rPr>
          <w:rFonts w:ascii="Arial" w:hAnsi="Arial" w:cs="Arial"/>
        </w:rPr>
        <w:t>of about 4 hours, and increases bioavailability by about 20 %.</w:t>
      </w:r>
    </w:p>
    <w:p w14:paraId="0377C393" w14:textId="77777777" w:rsidR="00071FD1" w:rsidRPr="00071FD1" w:rsidRDefault="00071FD1" w:rsidP="00624057">
      <w:pPr>
        <w:widowControl w:val="0"/>
        <w:suppressAutoHyphens/>
        <w:spacing w:after="0" w:line="480" w:lineRule="auto"/>
        <w:jc w:val="both"/>
        <w:rPr>
          <w:rFonts w:ascii="Arial" w:hAnsi="Arial" w:cs="Arial"/>
          <w:bCs/>
          <w:noProof/>
        </w:rPr>
      </w:pPr>
    </w:p>
    <w:p w14:paraId="24969900" w14:textId="77777777" w:rsidR="00071FD1" w:rsidRPr="00071FD1" w:rsidRDefault="00071FD1" w:rsidP="00624057">
      <w:pPr>
        <w:widowControl w:val="0"/>
        <w:suppressAutoHyphens/>
        <w:spacing w:after="0" w:line="480" w:lineRule="auto"/>
        <w:jc w:val="both"/>
        <w:rPr>
          <w:rFonts w:ascii="Arial" w:hAnsi="Arial" w:cs="Arial"/>
          <w:b/>
          <w:bCs/>
          <w:i/>
          <w:noProof/>
        </w:rPr>
      </w:pPr>
      <w:r w:rsidRPr="00071FD1">
        <w:rPr>
          <w:rFonts w:ascii="Arial" w:hAnsi="Arial" w:cs="Arial"/>
          <w:b/>
          <w:bCs/>
          <w:i/>
          <w:noProof/>
        </w:rPr>
        <w:t>Biotransformation</w:t>
      </w:r>
    </w:p>
    <w:p w14:paraId="40784A20" w14:textId="77777777" w:rsidR="00071FD1" w:rsidRPr="00071FD1" w:rsidRDefault="00071FD1" w:rsidP="00624057">
      <w:pPr>
        <w:widowControl w:val="0"/>
        <w:suppressAutoHyphens/>
        <w:spacing w:after="0" w:line="480" w:lineRule="auto"/>
        <w:jc w:val="both"/>
        <w:rPr>
          <w:rFonts w:ascii="Arial" w:hAnsi="Arial" w:cs="Arial"/>
          <w:iCs/>
          <w:noProof/>
        </w:rPr>
      </w:pPr>
      <w:r w:rsidRPr="00071FD1">
        <w:rPr>
          <w:rFonts w:ascii="Arial" w:hAnsi="Arial" w:cs="Arial"/>
        </w:rPr>
        <w:t>Celecoxib is metabolised in the liver by hydroxylation, oxidation and some glucuronidation. It was demonstrated that celecoxib is predominantly metabolised by cytochrome P450 CYP2C9. Pharmacological activity resides in the parent medicine. The main metabolites found in the circulation have no detectable COX-1 or COX-2 inhibitory activity.</w:t>
      </w:r>
    </w:p>
    <w:p w14:paraId="61C07F25" w14:textId="77777777" w:rsidR="00071FD1" w:rsidRPr="00071FD1" w:rsidRDefault="00071FD1" w:rsidP="00624057">
      <w:pPr>
        <w:widowControl w:val="0"/>
        <w:suppressAutoHyphens/>
        <w:spacing w:after="0" w:line="480" w:lineRule="auto"/>
        <w:jc w:val="both"/>
        <w:rPr>
          <w:rFonts w:ascii="Arial" w:hAnsi="Arial" w:cs="Arial"/>
          <w:i/>
          <w:noProof/>
        </w:rPr>
      </w:pPr>
    </w:p>
    <w:p w14:paraId="30DAA042" w14:textId="77777777" w:rsidR="00071FD1" w:rsidRPr="00071FD1" w:rsidRDefault="00071FD1" w:rsidP="00624057">
      <w:pPr>
        <w:widowControl w:val="0"/>
        <w:suppressAutoHyphens/>
        <w:spacing w:after="0" w:line="480" w:lineRule="auto"/>
        <w:jc w:val="both"/>
        <w:rPr>
          <w:rFonts w:ascii="Arial" w:hAnsi="Arial" w:cs="Arial"/>
          <w:b/>
          <w:i/>
          <w:noProof/>
        </w:rPr>
      </w:pPr>
      <w:r w:rsidRPr="00071FD1">
        <w:rPr>
          <w:rFonts w:ascii="Arial" w:hAnsi="Arial" w:cs="Arial"/>
          <w:b/>
          <w:i/>
          <w:noProof/>
        </w:rPr>
        <w:t>Elimination</w:t>
      </w:r>
    </w:p>
    <w:p w14:paraId="4E42DA71" w14:textId="551FE6D9" w:rsidR="00071FD1" w:rsidRPr="00071FD1" w:rsidRDefault="00071FD1" w:rsidP="00624057">
      <w:pPr>
        <w:widowControl w:val="0"/>
        <w:tabs>
          <w:tab w:val="left" w:pos="284"/>
          <w:tab w:val="left" w:pos="567"/>
          <w:tab w:val="right" w:pos="9639"/>
        </w:tabs>
        <w:suppressAutoHyphens/>
        <w:spacing w:after="0" w:line="480" w:lineRule="auto"/>
        <w:jc w:val="both"/>
        <w:rPr>
          <w:rFonts w:ascii="Arial" w:hAnsi="Arial" w:cs="Arial"/>
        </w:rPr>
      </w:pPr>
      <w:r w:rsidRPr="00071FD1">
        <w:rPr>
          <w:rFonts w:ascii="Arial" w:hAnsi="Arial" w:cs="Arial"/>
        </w:rPr>
        <w:t xml:space="preserve">Celecoxib is mainly eliminated by hepatic metabolism with less than 1 % of the dose excreted unchanged in urine. After multiple dosing, the elimination half-life is 8 </w:t>
      </w:r>
      <w:r w:rsidR="0098102B">
        <w:rPr>
          <w:rFonts w:ascii="Arial" w:hAnsi="Arial" w:cs="Arial"/>
        </w:rPr>
        <w:t>-</w:t>
      </w:r>
      <w:r w:rsidRPr="00071FD1">
        <w:rPr>
          <w:rFonts w:ascii="Arial" w:hAnsi="Arial" w:cs="Arial"/>
        </w:rPr>
        <w:t xml:space="preserve"> 12 hours and the rate of clearance about 500 mL/min. With multiple dosing steady state plasma concentrations are reached before day 5.    </w:t>
      </w:r>
      <w:r w:rsidRPr="00071FD1">
        <w:rPr>
          <w:rFonts w:ascii="Arial" w:hAnsi="Arial" w:cs="Arial"/>
        </w:rPr>
        <w:tab/>
      </w:r>
    </w:p>
    <w:p w14:paraId="75C3126A" w14:textId="1D3A093B" w:rsidR="00071FD1" w:rsidRPr="00071FD1" w:rsidRDefault="00071FD1" w:rsidP="00624057">
      <w:pPr>
        <w:widowControl w:val="0"/>
        <w:suppressAutoHyphens/>
        <w:spacing w:after="0" w:line="480" w:lineRule="auto"/>
        <w:jc w:val="both"/>
        <w:rPr>
          <w:rFonts w:ascii="Arial" w:hAnsi="Arial" w:cs="Arial"/>
          <w:bCs/>
          <w:noProof/>
          <w:highlight w:val="yellow"/>
        </w:rPr>
      </w:pPr>
      <w:r w:rsidRPr="00071FD1">
        <w:rPr>
          <w:rFonts w:ascii="Arial" w:hAnsi="Arial" w:cs="Arial"/>
        </w:rPr>
        <w:t>Variability among patients on the main pharmacokinetic parameters (AUC, C</w:t>
      </w:r>
      <w:r w:rsidRPr="00071FD1">
        <w:rPr>
          <w:rFonts w:ascii="Arial" w:hAnsi="Arial" w:cs="Arial"/>
          <w:vertAlign w:val="subscript"/>
        </w:rPr>
        <w:t>max</w:t>
      </w:r>
      <w:r w:rsidRPr="00071FD1">
        <w:rPr>
          <w:rFonts w:ascii="Arial" w:hAnsi="Arial" w:cs="Arial"/>
        </w:rPr>
        <w:t>, elimination half-life) is about 30 %. The mean steady state volume of distribution is about 500 L/70 kg in young healthy adults after a single 200 mg dose, indicating wide distribution of celecoxib into the tissues. Pre-clinical studies indicate that celecoxib crosses the blood/</w:t>
      </w:r>
      <w:r w:rsidR="0098102B">
        <w:rPr>
          <w:rFonts w:ascii="Arial" w:hAnsi="Arial" w:cs="Arial"/>
        </w:rPr>
        <w:t xml:space="preserve"> </w:t>
      </w:r>
      <w:r w:rsidRPr="00071FD1">
        <w:rPr>
          <w:rFonts w:ascii="Arial" w:hAnsi="Arial" w:cs="Arial"/>
        </w:rPr>
        <w:t>brain barrier.</w:t>
      </w:r>
    </w:p>
    <w:p w14:paraId="57A665E4" w14:textId="77777777" w:rsidR="00071FD1" w:rsidRPr="00071FD1" w:rsidRDefault="00071FD1" w:rsidP="00624057">
      <w:pPr>
        <w:widowControl w:val="0"/>
        <w:suppressAutoHyphens/>
        <w:spacing w:after="0" w:line="480" w:lineRule="auto"/>
        <w:jc w:val="both"/>
        <w:rPr>
          <w:rFonts w:ascii="Arial" w:hAnsi="Arial" w:cs="Arial"/>
          <w:bCs/>
          <w:noProof/>
          <w:highlight w:val="yellow"/>
        </w:rPr>
      </w:pPr>
    </w:p>
    <w:p w14:paraId="259FBF8F" w14:textId="77777777" w:rsidR="00071FD1" w:rsidRPr="00071FD1" w:rsidRDefault="00071FD1" w:rsidP="00624057">
      <w:pPr>
        <w:widowControl w:val="0"/>
        <w:suppressAutoHyphens/>
        <w:spacing w:after="0" w:line="480" w:lineRule="auto"/>
        <w:jc w:val="both"/>
        <w:rPr>
          <w:rFonts w:ascii="Arial" w:hAnsi="Arial" w:cs="Arial"/>
          <w:b/>
          <w:i/>
          <w:iCs/>
          <w:noProof/>
        </w:rPr>
      </w:pPr>
      <w:r w:rsidRPr="00071FD1">
        <w:rPr>
          <w:rFonts w:ascii="Arial" w:hAnsi="Arial" w:cs="Arial"/>
          <w:b/>
          <w:i/>
          <w:iCs/>
          <w:noProof/>
        </w:rPr>
        <w:t>Special populations</w:t>
      </w:r>
    </w:p>
    <w:p w14:paraId="7C84A1B8" w14:textId="77777777" w:rsidR="00071FD1" w:rsidRPr="00071FD1" w:rsidRDefault="00071FD1" w:rsidP="00624057">
      <w:pPr>
        <w:widowControl w:val="0"/>
        <w:suppressAutoHyphens/>
        <w:spacing w:after="0" w:line="480" w:lineRule="auto"/>
        <w:jc w:val="both"/>
        <w:rPr>
          <w:rFonts w:ascii="Arial" w:hAnsi="Arial" w:cs="Arial"/>
          <w:bCs/>
          <w:i/>
          <w:iCs/>
          <w:noProof/>
        </w:rPr>
      </w:pPr>
      <w:r w:rsidRPr="00071FD1">
        <w:rPr>
          <w:rFonts w:ascii="Arial" w:hAnsi="Arial" w:cs="Arial"/>
          <w:bCs/>
          <w:i/>
          <w:iCs/>
          <w:noProof/>
        </w:rPr>
        <w:t>Hepatic impairment</w:t>
      </w:r>
    </w:p>
    <w:p w14:paraId="073D08B5" w14:textId="77777777" w:rsidR="00071FD1" w:rsidRPr="00071FD1" w:rsidRDefault="00071FD1" w:rsidP="00624057">
      <w:pPr>
        <w:widowControl w:val="0"/>
        <w:suppressAutoHyphens/>
        <w:spacing w:after="0" w:line="480" w:lineRule="auto"/>
        <w:jc w:val="both"/>
        <w:rPr>
          <w:rFonts w:ascii="Arial" w:hAnsi="Arial" w:cs="Arial"/>
          <w:bCs/>
          <w:noProof/>
        </w:rPr>
      </w:pPr>
      <w:r w:rsidRPr="00071FD1">
        <w:rPr>
          <w:rFonts w:ascii="Arial" w:hAnsi="Arial" w:cs="Arial"/>
          <w:bCs/>
          <w:noProof/>
        </w:rPr>
        <w:t xml:space="preserve">Plasma concentrations of celecoxib in patients with mild hepatic impairment are not significantly different from those of age and sex matched controls. In patients with moderate hepatic impairment celecoxib plasma concentrations are about twice those of matched controls. Patients with severe hepatic impairment have not been studied but can be expected to show accumulation of parent substance, as </w:t>
      </w:r>
      <w:r w:rsidRPr="00071FD1">
        <w:rPr>
          <w:rFonts w:ascii="Arial" w:hAnsi="Arial" w:cs="Arial"/>
          <w:bCs/>
          <w:noProof/>
        </w:rPr>
        <w:lastRenderedPageBreak/>
        <w:t xml:space="preserve">the main route of metabolism is via the liver. </w:t>
      </w:r>
    </w:p>
    <w:p w14:paraId="4B83BAC8" w14:textId="77777777" w:rsidR="00071FD1" w:rsidRPr="00071FD1" w:rsidRDefault="00071FD1" w:rsidP="00624057">
      <w:pPr>
        <w:widowControl w:val="0"/>
        <w:suppressAutoHyphens/>
        <w:spacing w:after="0" w:line="480" w:lineRule="auto"/>
        <w:jc w:val="both"/>
        <w:rPr>
          <w:rFonts w:ascii="Arial" w:hAnsi="Arial" w:cs="Arial"/>
          <w:bCs/>
          <w:i/>
          <w:iCs/>
          <w:noProof/>
        </w:rPr>
      </w:pPr>
    </w:p>
    <w:p w14:paraId="17A158E2" w14:textId="77777777" w:rsidR="00071FD1" w:rsidRPr="00071FD1" w:rsidRDefault="00071FD1" w:rsidP="00624057">
      <w:pPr>
        <w:widowControl w:val="0"/>
        <w:suppressAutoHyphens/>
        <w:spacing w:after="0" w:line="480" w:lineRule="auto"/>
        <w:jc w:val="both"/>
        <w:rPr>
          <w:rFonts w:ascii="Arial" w:hAnsi="Arial" w:cs="Arial"/>
          <w:bCs/>
          <w:noProof/>
        </w:rPr>
      </w:pPr>
      <w:r w:rsidRPr="00071FD1">
        <w:rPr>
          <w:rFonts w:ascii="Arial" w:hAnsi="Arial" w:cs="Arial"/>
          <w:bCs/>
          <w:i/>
          <w:iCs/>
          <w:noProof/>
        </w:rPr>
        <w:t>Renal impairment</w:t>
      </w:r>
    </w:p>
    <w:p w14:paraId="23DBA1DB" w14:textId="2A414673" w:rsidR="00071FD1" w:rsidRPr="00071FD1" w:rsidRDefault="00071FD1" w:rsidP="00624057">
      <w:pPr>
        <w:widowControl w:val="0"/>
        <w:suppressAutoHyphens/>
        <w:spacing w:after="0" w:line="480" w:lineRule="auto"/>
        <w:jc w:val="both"/>
        <w:rPr>
          <w:rFonts w:ascii="Arial" w:hAnsi="Arial" w:cs="Arial"/>
          <w:bCs/>
          <w:noProof/>
        </w:rPr>
      </w:pPr>
      <w:r w:rsidRPr="00071FD1">
        <w:rPr>
          <w:rFonts w:ascii="Arial" w:hAnsi="Arial" w:cs="Arial"/>
          <w:bCs/>
          <w:noProof/>
        </w:rPr>
        <w:t>In elderly volunteers with age-related reductions in glomerular filtration rate (GFR) (mean GFR &gt; 65 mL/min per 1,73 m</w:t>
      </w:r>
      <w:r w:rsidRPr="00071FD1">
        <w:rPr>
          <w:rFonts w:ascii="Arial" w:hAnsi="Arial" w:cs="Arial"/>
          <w:bCs/>
          <w:noProof/>
          <w:vertAlign w:val="superscript"/>
        </w:rPr>
        <w:t>2</w:t>
      </w:r>
      <w:r w:rsidRPr="00071FD1">
        <w:rPr>
          <w:rFonts w:ascii="Arial" w:hAnsi="Arial" w:cs="Arial"/>
          <w:bCs/>
          <w:noProof/>
        </w:rPr>
        <w:t xml:space="preserve">) and in patients with chronic stable renal insufficiency (GFR 35 </w:t>
      </w:r>
      <w:r w:rsidR="0098102B">
        <w:rPr>
          <w:rFonts w:ascii="Arial" w:hAnsi="Arial" w:cs="Arial"/>
          <w:bCs/>
          <w:noProof/>
        </w:rPr>
        <w:t>-</w:t>
      </w:r>
      <w:r w:rsidRPr="00071FD1">
        <w:rPr>
          <w:rFonts w:ascii="Arial" w:hAnsi="Arial" w:cs="Arial"/>
          <w:bCs/>
          <w:noProof/>
        </w:rPr>
        <w:t xml:space="preserve"> 60 mL/min</w:t>
      </w:r>
      <w:r w:rsidRPr="00071FD1">
        <w:rPr>
          <w:rFonts w:ascii="Arial" w:hAnsi="Arial" w:cs="Arial"/>
          <w:b/>
          <w:noProof/>
        </w:rPr>
        <w:t xml:space="preserve"> </w:t>
      </w:r>
      <w:r w:rsidRPr="00071FD1">
        <w:rPr>
          <w:rFonts w:ascii="Arial" w:hAnsi="Arial" w:cs="Arial"/>
          <w:bCs/>
          <w:noProof/>
        </w:rPr>
        <w:t>per 1,73 m</w:t>
      </w:r>
      <w:r w:rsidRPr="00071FD1">
        <w:rPr>
          <w:rFonts w:ascii="Arial" w:hAnsi="Arial" w:cs="Arial"/>
          <w:bCs/>
          <w:noProof/>
          <w:vertAlign w:val="superscript"/>
        </w:rPr>
        <w:t>2</w:t>
      </w:r>
      <w:r w:rsidRPr="00071FD1">
        <w:rPr>
          <w:rFonts w:ascii="Arial" w:hAnsi="Arial" w:cs="Arial"/>
          <w:bCs/>
          <w:noProof/>
        </w:rPr>
        <w:t>), celecoxib pharmacokinetics were comparable to those seen in patients with normal renal function. No significant relationship was found between serum creatinine (or creatinine clearance) and celecoxib clearance.</w:t>
      </w:r>
    </w:p>
    <w:p w14:paraId="3BDD1A89" w14:textId="77777777" w:rsidR="00071FD1" w:rsidRPr="00071FD1" w:rsidRDefault="00071FD1" w:rsidP="00624057">
      <w:pPr>
        <w:widowControl w:val="0"/>
        <w:suppressAutoHyphens/>
        <w:spacing w:after="0" w:line="480" w:lineRule="auto"/>
        <w:jc w:val="both"/>
        <w:rPr>
          <w:rFonts w:ascii="Arial" w:hAnsi="Arial" w:cs="Arial"/>
          <w:bCs/>
          <w:noProof/>
        </w:rPr>
      </w:pPr>
    </w:p>
    <w:p w14:paraId="2C4FDAA7" w14:textId="77777777" w:rsidR="00071FD1" w:rsidRPr="00071FD1" w:rsidRDefault="00071FD1" w:rsidP="00624057">
      <w:pPr>
        <w:widowControl w:val="0"/>
        <w:suppressAutoHyphens/>
        <w:spacing w:after="0" w:line="480" w:lineRule="auto"/>
        <w:jc w:val="both"/>
        <w:rPr>
          <w:rFonts w:ascii="Arial" w:hAnsi="Arial" w:cs="Arial"/>
          <w:bCs/>
          <w:i/>
          <w:iCs/>
          <w:noProof/>
        </w:rPr>
      </w:pPr>
      <w:r w:rsidRPr="00071FD1">
        <w:rPr>
          <w:rFonts w:ascii="Arial" w:hAnsi="Arial" w:cs="Arial"/>
          <w:bCs/>
          <w:i/>
          <w:iCs/>
          <w:noProof/>
        </w:rPr>
        <w:t>Renal effects</w:t>
      </w:r>
    </w:p>
    <w:p w14:paraId="0E840D31" w14:textId="77777777" w:rsidR="00071FD1" w:rsidRPr="00071FD1" w:rsidRDefault="00071FD1" w:rsidP="00624057">
      <w:pPr>
        <w:widowControl w:val="0"/>
        <w:suppressAutoHyphens/>
        <w:spacing w:after="0" w:line="480" w:lineRule="auto"/>
        <w:jc w:val="both"/>
        <w:rPr>
          <w:rFonts w:ascii="Arial" w:hAnsi="Arial" w:cs="Arial"/>
          <w:bCs/>
          <w:i/>
          <w:iCs/>
          <w:noProof/>
        </w:rPr>
      </w:pPr>
      <w:r w:rsidRPr="00071FD1">
        <w:rPr>
          <w:rFonts w:ascii="Arial" w:hAnsi="Arial" w:cs="Arial"/>
          <w:bCs/>
          <w:noProof/>
        </w:rPr>
        <w:t>The relative roles of COX-1 and COX-2 in renal physiology are not clear.  CELECOXIB BIOTECH reduces the urinary excretion of PGE</w:t>
      </w:r>
      <w:r w:rsidRPr="00071FD1">
        <w:rPr>
          <w:rFonts w:ascii="Arial" w:hAnsi="Arial" w:cs="Arial"/>
          <w:bCs/>
          <w:noProof/>
          <w:vertAlign w:val="subscript"/>
        </w:rPr>
        <w:t>2</w:t>
      </w:r>
      <w:r w:rsidRPr="00071FD1">
        <w:rPr>
          <w:rFonts w:ascii="Arial" w:hAnsi="Arial" w:cs="Arial"/>
          <w:bCs/>
          <w:noProof/>
        </w:rPr>
        <w:t xml:space="preserve"> and 6-keto-PGF1</w:t>
      </w:r>
      <w:r w:rsidRPr="00071FD1">
        <w:rPr>
          <w:rFonts w:ascii="Arial" w:hAnsi="Arial" w:cs="Arial"/>
          <w:bCs/>
          <w:noProof/>
        </w:rPr>
        <w:fldChar w:fldCharType="begin"/>
      </w:r>
      <w:r w:rsidRPr="00071FD1">
        <w:rPr>
          <w:rFonts w:ascii="Arial" w:hAnsi="Arial" w:cs="Arial"/>
          <w:bCs/>
          <w:noProof/>
        </w:rPr>
        <w:instrText>symbol 181 \f "Symbol" \s 11</w:instrText>
      </w:r>
      <w:r w:rsidRPr="00071FD1">
        <w:rPr>
          <w:rFonts w:ascii="Arial" w:hAnsi="Arial" w:cs="Arial"/>
          <w:bCs/>
          <w:noProof/>
        </w:rPr>
        <w:fldChar w:fldCharType="end"/>
      </w:r>
      <w:r w:rsidRPr="00071FD1">
        <w:rPr>
          <w:rFonts w:ascii="Arial" w:hAnsi="Arial" w:cs="Arial"/>
          <w:bCs/>
          <w:noProof/>
        </w:rPr>
        <w:t xml:space="preserve"> (a prostacyclin metabolite) but leaves serum thromboxane B</w:t>
      </w:r>
      <w:r w:rsidRPr="00071FD1">
        <w:rPr>
          <w:rFonts w:ascii="Arial" w:hAnsi="Arial" w:cs="Arial"/>
          <w:bCs/>
          <w:noProof/>
          <w:vertAlign w:val="subscript"/>
        </w:rPr>
        <w:t xml:space="preserve">2 </w:t>
      </w:r>
      <w:r w:rsidRPr="00071FD1">
        <w:rPr>
          <w:rFonts w:ascii="Arial" w:hAnsi="Arial" w:cs="Arial"/>
          <w:bCs/>
          <w:noProof/>
        </w:rPr>
        <w:t>(TXB</w:t>
      </w:r>
      <w:r w:rsidRPr="00071FD1">
        <w:rPr>
          <w:rFonts w:ascii="Arial" w:hAnsi="Arial" w:cs="Arial"/>
          <w:bCs/>
          <w:noProof/>
          <w:vertAlign w:val="subscript"/>
        </w:rPr>
        <w:t>2</w:t>
      </w:r>
      <w:r w:rsidRPr="00071FD1">
        <w:rPr>
          <w:rFonts w:ascii="Arial" w:hAnsi="Arial" w:cs="Arial"/>
          <w:bCs/>
          <w:noProof/>
        </w:rPr>
        <w:t>) and urinary excretion of 11-dehydro-TXB</w:t>
      </w:r>
      <w:r w:rsidRPr="00071FD1">
        <w:rPr>
          <w:rFonts w:ascii="Arial" w:hAnsi="Arial" w:cs="Arial"/>
          <w:bCs/>
          <w:noProof/>
          <w:vertAlign w:val="subscript"/>
        </w:rPr>
        <w:t>2</w:t>
      </w:r>
      <w:r w:rsidRPr="00071FD1">
        <w:rPr>
          <w:rFonts w:ascii="Arial" w:hAnsi="Arial" w:cs="Arial"/>
          <w:bCs/>
          <w:noProof/>
        </w:rPr>
        <w:t>, a thromboxane metabolite (both COX-1 products) unaffected.  Specific studies have shown that CELECOXIB BIOTECH produces no decrease in GFR in the elderly or those with chronic renal insufficiency. These studies have also shown transient reductions in fractional excretion of sodium.</w:t>
      </w:r>
    </w:p>
    <w:p w14:paraId="7AFAC014" w14:textId="77777777" w:rsidR="00071FD1" w:rsidRPr="00071FD1" w:rsidRDefault="00071FD1" w:rsidP="00624057">
      <w:pPr>
        <w:widowControl w:val="0"/>
        <w:suppressAutoHyphens/>
        <w:spacing w:after="0" w:line="480" w:lineRule="auto"/>
        <w:jc w:val="both"/>
        <w:rPr>
          <w:rFonts w:ascii="Arial" w:hAnsi="Arial" w:cs="Arial"/>
          <w:bCs/>
          <w:i/>
          <w:iCs/>
          <w:noProof/>
        </w:rPr>
      </w:pPr>
    </w:p>
    <w:p w14:paraId="00A7B0B6" w14:textId="77777777" w:rsidR="00071FD1" w:rsidRPr="00071FD1" w:rsidRDefault="00071FD1" w:rsidP="00624057">
      <w:pPr>
        <w:widowControl w:val="0"/>
        <w:suppressAutoHyphens/>
        <w:spacing w:after="0" w:line="480" w:lineRule="auto"/>
        <w:jc w:val="both"/>
        <w:rPr>
          <w:rFonts w:ascii="Arial" w:hAnsi="Arial" w:cs="Arial"/>
          <w:bCs/>
          <w:i/>
          <w:iCs/>
          <w:noProof/>
        </w:rPr>
      </w:pPr>
      <w:r w:rsidRPr="00071FD1">
        <w:rPr>
          <w:rFonts w:ascii="Arial" w:hAnsi="Arial" w:cs="Arial"/>
          <w:bCs/>
          <w:i/>
          <w:iCs/>
          <w:noProof/>
        </w:rPr>
        <w:t>Elderly patients 65 years and older</w:t>
      </w:r>
    </w:p>
    <w:p w14:paraId="3C32E9E5" w14:textId="77777777" w:rsidR="00071FD1" w:rsidRPr="00071FD1" w:rsidRDefault="00071FD1" w:rsidP="00624057">
      <w:pPr>
        <w:widowControl w:val="0"/>
        <w:suppressAutoHyphens/>
        <w:spacing w:after="0" w:line="480" w:lineRule="auto"/>
        <w:jc w:val="both"/>
        <w:rPr>
          <w:rFonts w:ascii="Arial" w:hAnsi="Arial" w:cs="Arial"/>
          <w:bCs/>
          <w:noProof/>
        </w:rPr>
      </w:pPr>
      <w:r w:rsidRPr="00071FD1">
        <w:rPr>
          <w:rFonts w:ascii="Arial" w:hAnsi="Arial" w:cs="Arial"/>
          <w:bCs/>
          <w:noProof/>
        </w:rPr>
        <w:t>In the population &gt; 65 years there is a two-fold increase in mean C</w:t>
      </w:r>
      <w:r w:rsidRPr="00071FD1">
        <w:rPr>
          <w:rFonts w:ascii="Arial" w:hAnsi="Arial" w:cs="Arial"/>
          <w:bCs/>
          <w:noProof/>
          <w:vertAlign w:val="subscript"/>
        </w:rPr>
        <w:t>max</w:t>
      </w:r>
      <w:r w:rsidRPr="00071FD1">
        <w:rPr>
          <w:rFonts w:ascii="Arial" w:hAnsi="Arial" w:cs="Arial"/>
          <w:bCs/>
          <w:noProof/>
        </w:rPr>
        <w:t xml:space="preserve"> and AUC for celecoxib. This is a predominantly weight-related rather than age-related change. Celecoxib levels are higher in lower weight individuals and therefore higher in the elderly population who are generally of lower mean weight than the younger population. Elderly females therefore tend to have slightly higher celecoxib plasma concentrations than elderly males.</w:t>
      </w:r>
    </w:p>
    <w:p w14:paraId="0843BD61" w14:textId="77777777" w:rsidR="00071FD1" w:rsidRPr="00071FD1" w:rsidRDefault="00071FD1" w:rsidP="00624057">
      <w:pPr>
        <w:widowControl w:val="0"/>
        <w:suppressAutoHyphens/>
        <w:spacing w:after="0" w:line="480" w:lineRule="auto"/>
        <w:jc w:val="both"/>
        <w:rPr>
          <w:rFonts w:ascii="Arial" w:hAnsi="Arial" w:cs="Arial"/>
          <w:bCs/>
          <w:noProof/>
        </w:rPr>
      </w:pPr>
    </w:p>
    <w:p w14:paraId="29C4E03F" w14:textId="77777777" w:rsidR="00071FD1" w:rsidRPr="00071FD1" w:rsidRDefault="00071FD1" w:rsidP="00624057">
      <w:pPr>
        <w:widowControl w:val="0"/>
        <w:suppressAutoHyphens/>
        <w:spacing w:after="0" w:line="480" w:lineRule="auto"/>
        <w:jc w:val="both"/>
        <w:rPr>
          <w:rFonts w:ascii="Arial" w:hAnsi="Arial" w:cs="Arial"/>
          <w:bCs/>
          <w:i/>
          <w:iCs/>
          <w:noProof/>
        </w:rPr>
      </w:pPr>
      <w:r w:rsidRPr="00071FD1">
        <w:rPr>
          <w:rFonts w:ascii="Arial" w:hAnsi="Arial" w:cs="Arial"/>
          <w:bCs/>
          <w:i/>
          <w:iCs/>
          <w:noProof/>
        </w:rPr>
        <w:t xml:space="preserve">Children </w:t>
      </w:r>
    </w:p>
    <w:p w14:paraId="00DB9899" w14:textId="77777777" w:rsidR="00071FD1" w:rsidRPr="00071FD1" w:rsidRDefault="00071FD1" w:rsidP="00624057">
      <w:pPr>
        <w:widowControl w:val="0"/>
        <w:suppressAutoHyphens/>
        <w:spacing w:after="0" w:line="480" w:lineRule="auto"/>
        <w:jc w:val="both"/>
        <w:rPr>
          <w:rFonts w:ascii="Arial" w:hAnsi="Arial" w:cs="Arial"/>
          <w:bCs/>
          <w:i/>
          <w:iCs/>
          <w:noProof/>
        </w:rPr>
      </w:pPr>
      <w:r w:rsidRPr="00071FD1">
        <w:rPr>
          <w:rFonts w:ascii="Arial" w:hAnsi="Arial" w:cs="Arial"/>
          <w:bCs/>
          <w:noProof/>
        </w:rPr>
        <w:t>Celecoxib has not been studied in patients under 18 years old.</w:t>
      </w:r>
    </w:p>
    <w:p w14:paraId="0379D28B" w14:textId="77777777" w:rsidR="00071FD1" w:rsidRPr="00071FD1" w:rsidRDefault="00071FD1" w:rsidP="00624057">
      <w:pPr>
        <w:widowControl w:val="0"/>
        <w:suppressAutoHyphens/>
        <w:spacing w:after="0" w:line="480" w:lineRule="auto"/>
        <w:jc w:val="both"/>
        <w:rPr>
          <w:rFonts w:ascii="Arial" w:hAnsi="Arial" w:cs="Arial"/>
          <w:bCs/>
          <w:i/>
          <w:iCs/>
          <w:noProof/>
        </w:rPr>
      </w:pPr>
    </w:p>
    <w:p w14:paraId="738ED15F" w14:textId="77777777" w:rsidR="00071FD1" w:rsidRPr="00071FD1" w:rsidRDefault="00071FD1" w:rsidP="00624057">
      <w:pPr>
        <w:widowControl w:val="0"/>
        <w:suppressAutoHyphens/>
        <w:spacing w:after="0" w:line="480" w:lineRule="auto"/>
        <w:ind w:left="567" w:hanging="567"/>
        <w:jc w:val="both"/>
        <w:rPr>
          <w:rFonts w:ascii="Arial" w:hAnsi="Arial" w:cs="Arial"/>
          <w:b/>
          <w:noProof/>
        </w:rPr>
      </w:pPr>
      <w:r w:rsidRPr="00071FD1">
        <w:rPr>
          <w:rFonts w:ascii="Arial" w:hAnsi="Arial" w:cs="Arial"/>
          <w:b/>
          <w:noProof/>
        </w:rPr>
        <w:lastRenderedPageBreak/>
        <w:t>6.</w:t>
      </w:r>
      <w:r w:rsidRPr="00071FD1">
        <w:rPr>
          <w:rFonts w:ascii="Arial" w:hAnsi="Arial" w:cs="Arial"/>
          <w:b/>
          <w:noProof/>
        </w:rPr>
        <w:tab/>
        <w:t>PHARMACEUTICAL PARTICULARS</w:t>
      </w:r>
    </w:p>
    <w:p w14:paraId="49031BA9" w14:textId="77777777" w:rsidR="00071FD1" w:rsidRPr="00071FD1" w:rsidRDefault="00071FD1" w:rsidP="00624057">
      <w:pPr>
        <w:widowControl w:val="0"/>
        <w:suppressAutoHyphens/>
        <w:spacing w:after="0" w:line="480" w:lineRule="auto"/>
        <w:jc w:val="both"/>
        <w:rPr>
          <w:rFonts w:ascii="Arial" w:hAnsi="Arial" w:cs="Arial"/>
          <w:noProof/>
        </w:rPr>
      </w:pPr>
      <w:r w:rsidRPr="00071FD1">
        <w:rPr>
          <w:rFonts w:ascii="Arial" w:hAnsi="Arial" w:cs="Arial"/>
          <w:b/>
          <w:noProof/>
        </w:rPr>
        <w:t>6.1</w:t>
      </w:r>
      <w:r w:rsidRPr="00071FD1">
        <w:rPr>
          <w:rFonts w:ascii="Arial" w:hAnsi="Arial" w:cs="Arial"/>
          <w:b/>
          <w:noProof/>
        </w:rPr>
        <w:tab/>
        <w:t>List of excipients</w:t>
      </w:r>
      <w:r w:rsidRPr="00071FD1">
        <w:rPr>
          <w:rFonts w:ascii="Arial" w:hAnsi="Arial" w:cs="Arial"/>
          <w:noProof/>
        </w:rPr>
        <w:t xml:space="preserve"> </w:t>
      </w:r>
    </w:p>
    <w:p w14:paraId="1748FD6F" w14:textId="77777777" w:rsidR="00071FD1" w:rsidRPr="00071FD1" w:rsidRDefault="00071FD1" w:rsidP="00624057">
      <w:pPr>
        <w:widowControl w:val="0"/>
        <w:suppressAutoHyphens/>
        <w:spacing w:after="0" w:line="480" w:lineRule="auto"/>
        <w:jc w:val="both"/>
        <w:rPr>
          <w:rFonts w:ascii="Arial" w:hAnsi="Arial" w:cs="Arial"/>
          <w:b/>
          <w:bCs/>
          <w:i/>
          <w:iCs/>
        </w:rPr>
      </w:pPr>
      <w:r w:rsidRPr="00071FD1">
        <w:rPr>
          <w:rFonts w:ascii="Arial" w:hAnsi="Arial" w:cs="Arial"/>
          <w:b/>
          <w:bCs/>
          <w:i/>
          <w:iCs/>
        </w:rPr>
        <w:t>Capsule content:</w:t>
      </w:r>
    </w:p>
    <w:p w14:paraId="662F5966" w14:textId="77777777" w:rsidR="00071FD1" w:rsidRPr="00071FD1" w:rsidRDefault="00071FD1" w:rsidP="00624057">
      <w:pPr>
        <w:widowControl w:val="0"/>
        <w:suppressAutoHyphens/>
        <w:spacing w:after="0" w:line="480" w:lineRule="auto"/>
        <w:jc w:val="both"/>
        <w:rPr>
          <w:rFonts w:ascii="Arial" w:hAnsi="Arial" w:cs="Arial"/>
        </w:rPr>
      </w:pPr>
      <w:r w:rsidRPr="00071FD1">
        <w:rPr>
          <w:rFonts w:ascii="Arial" w:hAnsi="Arial" w:cs="Arial"/>
        </w:rPr>
        <w:t>Croscarmellose sodium</w:t>
      </w:r>
    </w:p>
    <w:p w14:paraId="4185823C" w14:textId="77777777" w:rsidR="00071FD1" w:rsidRPr="00071FD1" w:rsidRDefault="00071FD1" w:rsidP="00624057">
      <w:pPr>
        <w:widowControl w:val="0"/>
        <w:suppressAutoHyphens/>
        <w:spacing w:after="0" w:line="480" w:lineRule="auto"/>
        <w:jc w:val="both"/>
        <w:rPr>
          <w:rFonts w:ascii="Arial" w:hAnsi="Arial" w:cs="Arial"/>
        </w:rPr>
      </w:pPr>
      <w:r w:rsidRPr="00071FD1">
        <w:rPr>
          <w:rFonts w:ascii="Arial" w:hAnsi="Arial" w:cs="Arial"/>
        </w:rPr>
        <w:t>Lactose monohydrate</w:t>
      </w:r>
    </w:p>
    <w:p w14:paraId="39E20C04" w14:textId="77777777" w:rsidR="00071FD1" w:rsidRPr="00071FD1" w:rsidRDefault="00071FD1" w:rsidP="00624057">
      <w:pPr>
        <w:widowControl w:val="0"/>
        <w:suppressAutoHyphens/>
        <w:spacing w:after="0" w:line="480" w:lineRule="auto"/>
        <w:jc w:val="both"/>
        <w:rPr>
          <w:rFonts w:ascii="Arial" w:hAnsi="Arial" w:cs="Arial"/>
        </w:rPr>
      </w:pPr>
      <w:r w:rsidRPr="00071FD1">
        <w:rPr>
          <w:rFonts w:ascii="Arial" w:hAnsi="Arial" w:cs="Arial"/>
        </w:rPr>
        <w:t>Magnesium stearate (E572)</w:t>
      </w:r>
    </w:p>
    <w:p w14:paraId="2FF3D596" w14:textId="77777777" w:rsidR="00071FD1" w:rsidRPr="00071FD1" w:rsidRDefault="00071FD1" w:rsidP="00624057">
      <w:pPr>
        <w:widowControl w:val="0"/>
        <w:suppressAutoHyphens/>
        <w:spacing w:after="0" w:line="480" w:lineRule="auto"/>
        <w:jc w:val="both"/>
        <w:rPr>
          <w:rFonts w:ascii="Arial" w:hAnsi="Arial" w:cs="Arial"/>
        </w:rPr>
      </w:pPr>
      <w:r w:rsidRPr="00071FD1">
        <w:rPr>
          <w:rFonts w:ascii="Arial" w:hAnsi="Arial" w:cs="Arial"/>
        </w:rPr>
        <w:t>Povidone (E1201)</w:t>
      </w:r>
    </w:p>
    <w:p w14:paraId="3855B70E" w14:textId="77777777" w:rsidR="00071FD1" w:rsidRPr="00071FD1" w:rsidRDefault="00071FD1" w:rsidP="00624057">
      <w:pPr>
        <w:widowControl w:val="0"/>
        <w:suppressAutoHyphens/>
        <w:spacing w:after="0" w:line="480" w:lineRule="auto"/>
        <w:jc w:val="both"/>
        <w:rPr>
          <w:rFonts w:ascii="Arial" w:hAnsi="Arial" w:cs="Arial"/>
        </w:rPr>
      </w:pPr>
      <w:r w:rsidRPr="00071FD1">
        <w:rPr>
          <w:rFonts w:ascii="Arial" w:hAnsi="Arial" w:cs="Arial"/>
        </w:rPr>
        <w:t>Sodium lauryl sulfate</w:t>
      </w:r>
    </w:p>
    <w:p w14:paraId="4B5C6C93" w14:textId="77777777" w:rsidR="00071FD1" w:rsidRPr="00071FD1" w:rsidRDefault="00071FD1" w:rsidP="00624057">
      <w:pPr>
        <w:widowControl w:val="0"/>
        <w:suppressAutoHyphens/>
        <w:spacing w:after="0" w:line="480" w:lineRule="auto"/>
        <w:jc w:val="both"/>
        <w:rPr>
          <w:rFonts w:ascii="Arial" w:hAnsi="Arial" w:cs="Arial"/>
        </w:rPr>
      </w:pPr>
    </w:p>
    <w:p w14:paraId="33BE3119" w14:textId="77777777" w:rsidR="00071FD1" w:rsidRPr="00071FD1" w:rsidRDefault="00071FD1" w:rsidP="00624057">
      <w:pPr>
        <w:widowControl w:val="0"/>
        <w:suppressAutoHyphens/>
        <w:spacing w:after="0" w:line="480" w:lineRule="auto"/>
        <w:jc w:val="both"/>
        <w:rPr>
          <w:rFonts w:ascii="Arial" w:hAnsi="Arial" w:cs="Arial"/>
          <w:b/>
          <w:bCs/>
          <w:i/>
          <w:iCs/>
        </w:rPr>
      </w:pPr>
      <w:r w:rsidRPr="00071FD1">
        <w:rPr>
          <w:rFonts w:ascii="Arial" w:hAnsi="Arial" w:cs="Arial"/>
          <w:b/>
          <w:bCs/>
          <w:i/>
          <w:iCs/>
        </w:rPr>
        <w:t>Capsule shell:</w:t>
      </w:r>
    </w:p>
    <w:p w14:paraId="226E62ED" w14:textId="0B4EA387" w:rsidR="00071FD1" w:rsidRPr="00071FD1" w:rsidRDefault="0098102B" w:rsidP="00624057">
      <w:pPr>
        <w:widowControl w:val="0"/>
        <w:suppressAutoHyphens/>
        <w:spacing w:after="0" w:line="480" w:lineRule="auto"/>
        <w:jc w:val="both"/>
        <w:rPr>
          <w:rFonts w:ascii="Arial" w:hAnsi="Arial" w:cs="Arial"/>
        </w:rPr>
      </w:pPr>
      <w:r w:rsidRPr="00071FD1">
        <w:rPr>
          <w:rFonts w:ascii="Arial" w:hAnsi="Arial" w:cs="Arial"/>
        </w:rPr>
        <w:t>Gelatine</w:t>
      </w:r>
      <w:r w:rsidR="00071FD1" w:rsidRPr="00071FD1">
        <w:rPr>
          <w:rFonts w:ascii="Arial" w:hAnsi="Arial" w:cs="Arial"/>
        </w:rPr>
        <w:t xml:space="preserve"> </w:t>
      </w:r>
    </w:p>
    <w:p w14:paraId="7FD5E593" w14:textId="77777777" w:rsidR="00071FD1" w:rsidRPr="00071FD1" w:rsidRDefault="00071FD1" w:rsidP="00624057">
      <w:pPr>
        <w:widowControl w:val="0"/>
        <w:suppressAutoHyphens/>
        <w:spacing w:after="0" w:line="480" w:lineRule="auto"/>
        <w:jc w:val="both"/>
        <w:rPr>
          <w:rFonts w:ascii="Arial" w:hAnsi="Arial" w:cs="Arial"/>
        </w:rPr>
      </w:pPr>
      <w:r w:rsidRPr="00071FD1">
        <w:rPr>
          <w:rFonts w:ascii="Arial" w:hAnsi="Arial" w:cs="Arial"/>
        </w:rPr>
        <w:t>Titanium dioxide (E171)</w:t>
      </w:r>
    </w:p>
    <w:p w14:paraId="4BD5438B" w14:textId="77777777" w:rsidR="00071FD1" w:rsidRPr="00071FD1" w:rsidRDefault="00071FD1" w:rsidP="00624057">
      <w:pPr>
        <w:widowControl w:val="0"/>
        <w:suppressAutoHyphens/>
        <w:spacing w:after="0" w:line="480" w:lineRule="auto"/>
        <w:jc w:val="both"/>
        <w:rPr>
          <w:rFonts w:ascii="Arial" w:hAnsi="Arial" w:cs="Arial"/>
        </w:rPr>
      </w:pPr>
    </w:p>
    <w:p w14:paraId="4F8D112C" w14:textId="77777777" w:rsidR="00071FD1" w:rsidRPr="00071FD1" w:rsidRDefault="00071FD1" w:rsidP="00624057">
      <w:pPr>
        <w:widowControl w:val="0"/>
        <w:suppressAutoHyphens/>
        <w:spacing w:after="0" w:line="480" w:lineRule="auto"/>
        <w:jc w:val="both"/>
        <w:rPr>
          <w:rFonts w:ascii="Arial" w:hAnsi="Arial" w:cs="Arial"/>
          <w:b/>
          <w:bCs/>
          <w:i/>
          <w:iCs/>
        </w:rPr>
      </w:pPr>
      <w:r w:rsidRPr="00071FD1">
        <w:rPr>
          <w:rFonts w:ascii="Arial" w:hAnsi="Arial" w:cs="Arial"/>
          <w:b/>
          <w:bCs/>
          <w:i/>
          <w:iCs/>
        </w:rPr>
        <w:t>Printing ink:</w:t>
      </w:r>
    </w:p>
    <w:p w14:paraId="71D8B17A" w14:textId="77777777" w:rsidR="00071FD1" w:rsidRPr="00071FD1" w:rsidRDefault="00071FD1" w:rsidP="00624057">
      <w:pPr>
        <w:widowControl w:val="0"/>
        <w:suppressAutoHyphens/>
        <w:spacing w:after="0" w:line="480" w:lineRule="auto"/>
        <w:jc w:val="both"/>
        <w:rPr>
          <w:rFonts w:ascii="Arial" w:hAnsi="Arial" w:cs="Arial"/>
          <w:i/>
          <w:iCs/>
        </w:rPr>
      </w:pPr>
      <w:r w:rsidRPr="00071FD1">
        <w:rPr>
          <w:rFonts w:ascii="Arial" w:hAnsi="Arial" w:cs="Arial"/>
          <w:i/>
          <w:iCs/>
        </w:rPr>
        <w:t>CELECOXIB 100 BIOTECH:</w:t>
      </w:r>
    </w:p>
    <w:p w14:paraId="211D9620" w14:textId="64FED6CE" w:rsidR="00071FD1" w:rsidRPr="00071FD1" w:rsidRDefault="00071FD1" w:rsidP="00624057">
      <w:pPr>
        <w:widowControl w:val="0"/>
        <w:suppressAutoHyphens/>
        <w:spacing w:after="0" w:line="480" w:lineRule="auto"/>
        <w:jc w:val="both"/>
        <w:rPr>
          <w:rFonts w:ascii="Arial" w:hAnsi="Arial" w:cs="Arial"/>
        </w:rPr>
      </w:pPr>
      <w:r w:rsidRPr="00071FD1">
        <w:rPr>
          <w:rFonts w:ascii="Arial" w:hAnsi="Arial" w:cs="Arial"/>
        </w:rPr>
        <w:t xml:space="preserve">FD&amp;C blue </w:t>
      </w:r>
      <w:r w:rsidR="0098102B" w:rsidRPr="00071FD1">
        <w:rPr>
          <w:rFonts w:ascii="Arial" w:hAnsi="Arial" w:cs="Arial"/>
        </w:rPr>
        <w:t>No. 1 Aluminium Lake</w:t>
      </w:r>
      <w:r w:rsidRPr="00071FD1">
        <w:rPr>
          <w:rFonts w:ascii="Arial" w:hAnsi="Arial" w:cs="Arial"/>
        </w:rPr>
        <w:t xml:space="preserve"> (E132)</w:t>
      </w:r>
    </w:p>
    <w:p w14:paraId="07150665" w14:textId="77777777" w:rsidR="00071FD1" w:rsidRPr="00071FD1" w:rsidRDefault="00071FD1" w:rsidP="00624057">
      <w:pPr>
        <w:widowControl w:val="0"/>
        <w:suppressAutoHyphens/>
        <w:spacing w:after="0" w:line="480" w:lineRule="auto"/>
        <w:jc w:val="both"/>
        <w:rPr>
          <w:rFonts w:ascii="Arial" w:hAnsi="Arial" w:cs="Arial"/>
        </w:rPr>
      </w:pPr>
      <w:r w:rsidRPr="00071FD1">
        <w:rPr>
          <w:rFonts w:ascii="Arial" w:hAnsi="Arial" w:cs="Arial"/>
        </w:rPr>
        <w:t>Propylene glycol (E1520)</w:t>
      </w:r>
    </w:p>
    <w:p w14:paraId="4CA31015" w14:textId="77777777" w:rsidR="00071FD1" w:rsidRPr="00071FD1" w:rsidRDefault="00071FD1" w:rsidP="00624057">
      <w:pPr>
        <w:widowControl w:val="0"/>
        <w:suppressAutoHyphens/>
        <w:spacing w:after="0" w:line="480" w:lineRule="auto"/>
        <w:jc w:val="both"/>
        <w:rPr>
          <w:rFonts w:ascii="Arial" w:hAnsi="Arial" w:cs="Arial"/>
        </w:rPr>
      </w:pPr>
      <w:r w:rsidRPr="00071FD1">
        <w:rPr>
          <w:rFonts w:ascii="Arial" w:hAnsi="Arial" w:cs="Arial"/>
        </w:rPr>
        <w:t xml:space="preserve">Shellac </w:t>
      </w:r>
    </w:p>
    <w:p w14:paraId="26ACC2BB" w14:textId="77777777" w:rsidR="00071FD1" w:rsidRPr="00071FD1" w:rsidRDefault="00071FD1" w:rsidP="00624057">
      <w:pPr>
        <w:widowControl w:val="0"/>
        <w:suppressAutoHyphens/>
        <w:spacing w:after="0" w:line="480" w:lineRule="auto"/>
        <w:jc w:val="both"/>
        <w:rPr>
          <w:rFonts w:ascii="Arial" w:hAnsi="Arial" w:cs="Arial"/>
        </w:rPr>
      </w:pPr>
    </w:p>
    <w:p w14:paraId="4CB75640" w14:textId="77777777" w:rsidR="00071FD1" w:rsidRPr="00071FD1" w:rsidRDefault="00071FD1" w:rsidP="00624057">
      <w:pPr>
        <w:widowControl w:val="0"/>
        <w:suppressAutoHyphens/>
        <w:spacing w:after="0" w:line="480" w:lineRule="auto"/>
        <w:jc w:val="both"/>
        <w:rPr>
          <w:rFonts w:ascii="Arial" w:hAnsi="Arial" w:cs="Arial"/>
          <w:i/>
          <w:iCs/>
        </w:rPr>
      </w:pPr>
      <w:r w:rsidRPr="00071FD1">
        <w:rPr>
          <w:rFonts w:ascii="Arial" w:hAnsi="Arial" w:cs="Arial"/>
          <w:i/>
          <w:iCs/>
        </w:rPr>
        <w:t>CELECOXIB 200 BIOTECH:</w:t>
      </w:r>
    </w:p>
    <w:p w14:paraId="3074B8AE" w14:textId="77777777" w:rsidR="00071FD1" w:rsidRPr="00071FD1" w:rsidRDefault="00071FD1" w:rsidP="00624057">
      <w:pPr>
        <w:widowControl w:val="0"/>
        <w:suppressAutoHyphens/>
        <w:spacing w:after="0" w:line="480" w:lineRule="auto"/>
        <w:jc w:val="both"/>
        <w:rPr>
          <w:rFonts w:ascii="Arial" w:hAnsi="Arial" w:cs="Arial"/>
        </w:rPr>
      </w:pPr>
      <w:r w:rsidRPr="00071FD1">
        <w:rPr>
          <w:rFonts w:ascii="Arial" w:hAnsi="Arial" w:cs="Arial"/>
        </w:rPr>
        <w:t>Propylene glycol (E1520)</w:t>
      </w:r>
    </w:p>
    <w:p w14:paraId="08DDC67A" w14:textId="77777777" w:rsidR="00071FD1" w:rsidRPr="00071FD1" w:rsidRDefault="00071FD1" w:rsidP="00624057">
      <w:pPr>
        <w:widowControl w:val="0"/>
        <w:suppressAutoHyphens/>
        <w:spacing w:after="0" w:line="480" w:lineRule="auto"/>
        <w:jc w:val="both"/>
        <w:rPr>
          <w:rFonts w:ascii="Arial" w:hAnsi="Arial" w:cs="Arial"/>
        </w:rPr>
      </w:pPr>
      <w:r w:rsidRPr="00071FD1">
        <w:rPr>
          <w:rFonts w:ascii="Arial" w:hAnsi="Arial" w:cs="Arial"/>
        </w:rPr>
        <w:t>Shellac</w:t>
      </w:r>
    </w:p>
    <w:p w14:paraId="3F13F2F0" w14:textId="77777777" w:rsidR="00071FD1" w:rsidRPr="00071FD1" w:rsidRDefault="00071FD1" w:rsidP="00624057">
      <w:pPr>
        <w:widowControl w:val="0"/>
        <w:suppressAutoHyphens/>
        <w:spacing w:after="0" w:line="480" w:lineRule="auto"/>
        <w:jc w:val="both"/>
        <w:rPr>
          <w:rFonts w:ascii="Arial" w:hAnsi="Arial" w:cs="Arial"/>
        </w:rPr>
      </w:pPr>
      <w:r w:rsidRPr="00071FD1">
        <w:rPr>
          <w:rFonts w:ascii="Arial" w:hAnsi="Arial" w:cs="Arial"/>
        </w:rPr>
        <w:t>Iron oxide yellow (E172).</w:t>
      </w:r>
    </w:p>
    <w:p w14:paraId="7B5BB900" w14:textId="77777777" w:rsidR="00071FD1" w:rsidRPr="00071FD1" w:rsidRDefault="00071FD1" w:rsidP="00624057">
      <w:pPr>
        <w:widowControl w:val="0"/>
        <w:suppressAutoHyphens/>
        <w:spacing w:after="0" w:line="480" w:lineRule="auto"/>
        <w:jc w:val="both"/>
        <w:rPr>
          <w:rFonts w:ascii="Arial" w:eastAsia="Times New Roman" w:hAnsi="Arial" w:cs="Arial"/>
          <w:b/>
          <w:bCs/>
          <w:lang w:val="en-GB"/>
        </w:rPr>
      </w:pPr>
    </w:p>
    <w:p w14:paraId="08D530B6" w14:textId="77777777" w:rsidR="00071FD1" w:rsidRPr="00071FD1" w:rsidRDefault="00071FD1" w:rsidP="00624057">
      <w:pPr>
        <w:widowControl w:val="0"/>
        <w:suppressAutoHyphens/>
        <w:spacing w:after="0" w:line="480" w:lineRule="auto"/>
        <w:ind w:left="567" w:hanging="567"/>
        <w:jc w:val="both"/>
        <w:outlineLvl w:val="0"/>
        <w:rPr>
          <w:rFonts w:ascii="Arial" w:hAnsi="Arial" w:cs="Arial"/>
          <w:noProof/>
        </w:rPr>
      </w:pPr>
      <w:r w:rsidRPr="00071FD1">
        <w:rPr>
          <w:rFonts w:ascii="Arial" w:hAnsi="Arial" w:cs="Arial"/>
          <w:b/>
          <w:noProof/>
        </w:rPr>
        <w:t>6.2</w:t>
      </w:r>
      <w:r w:rsidRPr="00071FD1">
        <w:rPr>
          <w:rFonts w:ascii="Arial" w:hAnsi="Arial" w:cs="Arial"/>
          <w:b/>
          <w:noProof/>
        </w:rPr>
        <w:tab/>
        <w:t>Incompatibilities</w:t>
      </w:r>
    </w:p>
    <w:p w14:paraId="75BA6565" w14:textId="77777777" w:rsidR="00071FD1" w:rsidRPr="00071FD1" w:rsidRDefault="00071FD1" w:rsidP="00624057">
      <w:pPr>
        <w:widowControl w:val="0"/>
        <w:suppressAutoHyphens/>
        <w:spacing w:after="0" w:line="480" w:lineRule="auto"/>
        <w:jc w:val="both"/>
        <w:rPr>
          <w:rFonts w:ascii="Arial" w:hAnsi="Arial" w:cs="Arial"/>
          <w:noProof/>
        </w:rPr>
      </w:pPr>
      <w:r w:rsidRPr="00071FD1">
        <w:rPr>
          <w:rFonts w:ascii="Arial" w:hAnsi="Arial" w:cs="Arial"/>
          <w:noProof/>
        </w:rPr>
        <w:t>Not applicable.</w:t>
      </w:r>
    </w:p>
    <w:p w14:paraId="0AD0C523" w14:textId="77777777" w:rsidR="00071FD1" w:rsidRPr="00071FD1" w:rsidRDefault="00071FD1" w:rsidP="00624057">
      <w:pPr>
        <w:widowControl w:val="0"/>
        <w:suppressAutoHyphens/>
        <w:spacing w:after="0" w:line="480" w:lineRule="auto"/>
        <w:jc w:val="both"/>
        <w:rPr>
          <w:rFonts w:ascii="Arial" w:hAnsi="Arial" w:cs="Arial"/>
          <w:b/>
          <w:bCs/>
          <w:lang w:val="en-GB"/>
        </w:rPr>
      </w:pPr>
    </w:p>
    <w:p w14:paraId="0627837F" w14:textId="77777777" w:rsidR="00071FD1" w:rsidRPr="00071FD1" w:rsidRDefault="00071FD1" w:rsidP="00624057">
      <w:pPr>
        <w:widowControl w:val="0"/>
        <w:suppressAutoHyphens/>
        <w:spacing w:after="0" w:line="480" w:lineRule="auto"/>
        <w:ind w:left="567" w:hanging="567"/>
        <w:jc w:val="both"/>
        <w:outlineLvl w:val="0"/>
        <w:rPr>
          <w:rFonts w:ascii="Arial" w:hAnsi="Arial" w:cs="Arial"/>
          <w:noProof/>
        </w:rPr>
      </w:pPr>
      <w:r w:rsidRPr="00071FD1">
        <w:rPr>
          <w:rFonts w:ascii="Arial" w:hAnsi="Arial" w:cs="Arial"/>
          <w:b/>
          <w:noProof/>
        </w:rPr>
        <w:lastRenderedPageBreak/>
        <w:t>6.3</w:t>
      </w:r>
      <w:r w:rsidRPr="00071FD1">
        <w:rPr>
          <w:rFonts w:ascii="Arial" w:hAnsi="Arial" w:cs="Arial"/>
          <w:b/>
          <w:noProof/>
        </w:rPr>
        <w:tab/>
        <w:t>Shelf life</w:t>
      </w:r>
    </w:p>
    <w:p w14:paraId="34EC3FF5" w14:textId="77777777" w:rsidR="00071FD1" w:rsidRPr="00071FD1" w:rsidRDefault="00071FD1" w:rsidP="00624057">
      <w:pPr>
        <w:widowControl w:val="0"/>
        <w:suppressAutoHyphens/>
        <w:spacing w:after="0" w:line="480" w:lineRule="auto"/>
        <w:jc w:val="both"/>
        <w:rPr>
          <w:rFonts w:ascii="Arial" w:hAnsi="Arial" w:cs="Arial"/>
        </w:rPr>
      </w:pPr>
      <w:r w:rsidRPr="00071FD1">
        <w:rPr>
          <w:rFonts w:ascii="Arial" w:hAnsi="Arial" w:cs="Arial"/>
        </w:rPr>
        <w:t>3 years.</w:t>
      </w:r>
    </w:p>
    <w:p w14:paraId="665E62E8" w14:textId="77777777" w:rsidR="00071FD1" w:rsidRPr="00071FD1" w:rsidRDefault="00071FD1" w:rsidP="00624057">
      <w:pPr>
        <w:widowControl w:val="0"/>
        <w:suppressAutoHyphens/>
        <w:spacing w:after="0" w:line="480" w:lineRule="auto"/>
        <w:ind w:left="567" w:hanging="567"/>
        <w:jc w:val="both"/>
        <w:outlineLvl w:val="0"/>
        <w:rPr>
          <w:rFonts w:ascii="Arial" w:hAnsi="Arial" w:cs="Arial"/>
          <w:b/>
          <w:noProof/>
        </w:rPr>
      </w:pPr>
    </w:p>
    <w:p w14:paraId="4E05545E" w14:textId="77777777" w:rsidR="00071FD1" w:rsidRPr="00071FD1" w:rsidRDefault="00071FD1" w:rsidP="00624057">
      <w:pPr>
        <w:widowControl w:val="0"/>
        <w:suppressAutoHyphens/>
        <w:spacing w:after="0" w:line="480" w:lineRule="auto"/>
        <w:ind w:left="567" w:hanging="567"/>
        <w:jc w:val="both"/>
        <w:outlineLvl w:val="0"/>
        <w:rPr>
          <w:rFonts w:ascii="Arial" w:hAnsi="Arial" w:cs="Arial"/>
          <w:noProof/>
        </w:rPr>
      </w:pPr>
      <w:r w:rsidRPr="00071FD1">
        <w:rPr>
          <w:rFonts w:ascii="Arial" w:hAnsi="Arial" w:cs="Arial"/>
          <w:b/>
          <w:noProof/>
        </w:rPr>
        <w:t>6.4</w:t>
      </w:r>
      <w:r w:rsidRPr="00071FD1">
        <w:rPr>
          <w:rFonts w:ascii="Arial" w:hAnsi="Arial" w:cs="Arial"/>
          <w:b/>
          <w:noProof/>
        </w:rPr>
        <w:tab/>
        <w:t>Special precautions for storage</w:t>
      </w:r>
    </w:p>
    <w:p w14:paraId="3D827E2E" w14:textId="77777777" w:rsidR="00071FD1" w:rsidRPr="00071FD1" w:rsidRDefault="00071FD1" w:rsidP="00624057">
      <w:pPr>
        <w:widowControl w:val="0"/>
        <w:suppressAutoHyphens/>
        <w:spacing w:after="0" w:line="480" w:lineRule="auto"/>
        <w:jc w:val="both"/>
        <w:rPr>
          <w:rFonts w:ascii="Arial" w:hAnsi="Arial" w:cs="Arial"/>
          <w:noProof/>
        </w:rPr>
      </w:pPr>
      <w:r w:rsidRPr="00071FD1">
        <w:rPr>
          <w:rFonts w:ascii="Arial" w:hAnsi="Arial" w:cs="Arial"/>
          <w:lang w:val="en-GB"/>
        </w:rPr>
        <w:t>Store at or below 25 °C.</w:t>
      </w:r>
    </w:p>
    <w:p w14:paraId="522F70FE" w14:textId="77777777" w:rsidR="00071FD1" w:rsidRPr="00071FD1" w:rsidRDefault="00071FD1" w:rsidP="00624057">
      <w:pPr>
        <w:widowControl w:val="0"/>
        <w:suppressAutoHyphens/>
        <w:spacing w:after="0" w:line="480" w:lineRule="auto"/>
        <w:jc w:val="both"/>
        <w:rPr>
          <w:rFonts w:ascii="Arial" w:hAnsi="Arial" w:cs="Arial"/>
          <w:noProof/>
        </w:rPr>
      </w:pPr>
      <w:r w:rsidRPr="00071FD1">
        <w:rPr>
          <w:rFonts w:ascii="Arial" w:hAnsi="Arial" w:cs="Arial"/>
          <w:noProof/>
        </w:rPr>
        <w:t xml:space="preserve">Keep the blister strips in the outer carton until required for use. </w:t>
      </w:r>
    </w:p>
    <w:p w14:paraId="010EA8A7" w14:textId="77777777" w:rsidR="00071FD1" w:rsidRPr="00071FD1" w:rsidRDefault="00071FD1" w:rsidP="00624057">
      <w:pPr>
        <w:widowControl w:val="0"/>
        <w:suppressAutoHyphens/>
        <w:spacing w:after="0" w:line="480" w:lineRule="auto"/>
        <w:ind w:left="567" w:hanging="567"/>
        <w:jc w:val="both"/>
        <w:outlineLvl w:val="0"/>
        <w:rPr>
          <w:rFonts w:ascii="Arial" w:hAnsi="Arial" w:cs="Arial"/>
          <w:b/>
          <w:noProof/>
        </w:rPr>
      </w:pPr>
    </w:p>
    <w:p w14:paraId="2A68C31F" w14:textId="77777777" w:rsidR="00071FD1" w:rsidRPr="00071FD1" w:rsidRDefault="00071FD1" w:rsidP="00624057">
      <w:pPr>
        <w:widowControl w:val="0"/>
        <w:numPr>
          <w:ilvl w:val="1"/>
          <w:numId w:val="8"/>
        </w:numPr>
        <w:suppressAutoHyphens/>
        <w:spacing w:after="0" w:line="480" w:lineRule="auto"/>
        <w:jc w:val="both"/>
        <w:outlineLvl w:val="0"/>
        <w:rPr>
          <w:rFonts w:ascii="Arial" w:hAnsi="Arial" w:cs="Arial"/>
          <w:b/>
          <w:noProof/>
        </w:rPr>
      </w:pPr>
      <w:r w:rsidRPr="00071FD1">
        <w:rPr>
          <w:rFonts w:ascii="Arial" w:hAnsi="Arial" w:cs="Arial"/>
          <w:b/>
          <w:noProof/>
        </w:rPr>
        <w:t>Nature and contents of container</w:t>
      </w:r>
    </w:p>
    <w:p w14:paraId="10123570" w14:textId="77777777" w:rsidR="00071FD1" w:rsidRPr="00071FD1" w:rsidRDefault="00071FD1" w:rsidP="00624057">
      <w:pPr>
        <w:widowControl w:val="0"/>
        <w:suppressAutoHyphens/>
        <w:spacing w:after="0" w:line="480" w:lineRule="auto"/>
        <w:jc w:val="both"/>
        <w:rPr>
          <w:rFonts w:ascii="Arial" w:hAnsi="Arial" w:cs="Arial"/>
          <w:noProof/>
        </w:rPr>
      </w:pPr>
      <w:r w:rsidRPr="00071FD1">
        <w:rPr>
          <w:rFonts w:ascii="Arial" w:hAnsi="Arial" w:cs="Arial"/>
          <w:noProof/>
        </w:rPr>
        <w:t xml:space="preserve">Transparent PVC/PE/PVDC and silver aluminium foil blister strips placed in an outer carton. </w:t>
      </w:r>
    </w:p>
    <w:p w14:paraId="2598B902" w14:textId="1F839639" w:rsidR="00071FD1" w:rsidRPr="00071FD1" w:rsidRDefault="00071FD1" w:rsidP="00624057">
      <w:pPr>
        <w:widowControl w:val="0"/>
        <w:suppressAutoHyphens/>
        <w:spacing w:after="0" w:line="480" w:lineRule="auto"/>
        <w:jc w:val="both"/>
        <w:rPr>
          <w:rFonts w:ascii="Arial" w:hAnsi="Arial" w:cs="Arial"/>
          <w:noProof/>
        </w:rPr>
      </w:pPr>
      <w:r w:rsidRPr="00071FD1">
        <w:rPr>
          <w:rFonts w:ascii="Arial" w:hAnsi="Arial" w:cs="Arial"/>
        </w:rPr>
        <w:t>Silver aluminium/</w:t>
      </w:r>
      <w:r w:rsidR="0098102B">
        <w:rPr>
          <w:rFonts w:ascii="Arial" w:hAnsi="Arial" w:cs="Arial"/>
        </w:rPr>
        <w:t xml:space="preserve"> </w:t>
      </w:r>
      <w:r w:rsidRPr="00071FD1">
        <w:rPr>
          <w:rFonts w:ascii="Arial" w:hAnsi="Arial" w:cs="Arial"/>
        </w:rPr>
        <w:t xml:space="preserve">aluminium </w:t>
      </w:r>
      <w:r w:rsidRPr="00071FD1">
        <w:rPr>
          <w:rFonts w:ascii="Arial" w:hAnsi="Arial" w:cs="Arial"/>
          <w:noProof/>
        </w:rPr>
        <w:t xml:space="preserve">blister strips placed in an outer carton. </w:t>
      </w:r>
    </w:p>
    <w:p w14:paraId="6EFE3D1B" w14:textId="77777777" w:rsidR="00071FD1" w:rsidRPr="00071FD1" w:rsidRDefault="00071FD1" w:rsidP="00624057">
      <w:pPr>
        <w:widowControl w:val="0"/>
        <w:suppressAutoHyphens/>
        <w:spacing w:after="0" w:line="480" w:lineRule="auto"/>
        <w:jc w:val="both"/>
        <w:rPr>
          <w:rFonts w:ascii="Arial" w:hAnsi="Arial" w:cs="Arial"/>
          <w:lang w:val="en-GB"/>
        </w:rPr>
      </w:pPr>
      <w:r w:rsidRPr="00071FD1">
        <w:rPr>
          <w:rFonts w:ascii="Arial" w:hAnsi="Arial" w:cs="Arial"/>
          <w:lang w:val="en-GB"/>
        </w:rPr>
        <w:t xml:space="preserve">Pack sizes: </w:t>
      </w:r>
    </w:p>
    <w:p w14:paraId="2A7B1FEC" w14:textId="77777777" w:rsidR="00071FD1" w:rsidRPr="00071FD1" w:rsidRDefault="00071FD1" w:rsidP="00624057">
      <w:pPr>
        <w:widowControl w:val="0"/>
        <w:suppressAutoHyphens/>
        <w:spacing w:after="0" w:line="480" w:lineRule="auto"/>
        <w:jc w:val="both"/>
        <w:rPr>
          <w:rFonts w:ascii="Arial" w:hAnsi="Arial" w:cs="Arial"/>
          <w:lang w:val="en-GB"/>
        </w:rPr>
      </w:pPr>
      <w:r w:rsidRPr="00071FD1">
        <w:rPr>
          <w:rFonts w:ascii="Arial" w:hAnsi="Arial" w:cs="Arial"/>
          <w:lang w:val="en-GB"/>
        </w:rPr>
        <w:t>CELECOXIB 100 BIOTECH:</w:t>
      </w:r>
      <w:r w:rsidRPr="00071FD1">
        <w:rPr>
          <w:rFonts w:ascii="Arial" w:hAnsi="Arial" w:cs="Arial"/>
          <w:bCs/>
          <w:noProof/>
        </w:rPr>
        <w:t xml:space="preserve"> </w:t>
      </w:r>
      <w:r w:rsidRPr="00071FD1">
        <w:rPr>
          <w:rFonts w:ascii="Arial" w:hAnsi="Arial" w:cs="Arial"/>
          <w:lang w:val="en-GB"/>
        </w:rPr>
        <w:t>60 capsules</w:t>
      </w:r>
    </w:p>
    <w:p w14:paraId="50845A34" w14:textId="77777777" w:rsidR="00071FD1" w:rsidRPr="00071FD1" w:rsidRDefault="00071FD1" w:rsidP="00624057">
      <w:pPr>
        <w:widowControl w:val="0"/>
        <w:suppressAutoHyphens/>
        <w:spacing w:after="0" w:line="480" w:lineRule="auto"/>
        <w:jc w:val="both"/>
        <w:rPr>
          <w:rFonts w:ascii="Arial" w:hAnsi="Arial" w:cs="Arial"/>
          <w:lang w:val="en-GB"/>
        </w:rPr>
      </w:pPr>
      <w:r w:rsidRPr="00071FD1">
        <w:rPr>
          <w:rFonts w:ascii="Arial" w:hAnsi="Arial" w:cs="Arial"/>
          <w:lang w:val="en-GB"/>
        </w:rPr>
        <w:t xml:space="preserve">CELECOXIB 200 BIOTECH: 10, 15 or 30 capsules. </w:t>
      </w:r>
    </w:p>
    <w:p w14:paraId="008562F2" w14:textId="77777777" w:rsidR="00071FD1" w:rsidRPr="00071FD1" w:rsidRDefault="00071FD1" w:rsidP="00624057">
      <w:pPr>
        <w:widowControl w:val="0"/>
        <w:suppressAutoHyphens/>
        <w:spacing w:after="0" w:line="480" w:lineRule="auto"/>
        <w:jc w:val="both"/>
        <w:outlineLvl w:val="0"/>
        <w:rPr>
          <w:rFonts w:ascii="Arial" w:hAnsi="Arial" w:cs="Arial"/>
          <w:b/>
          <w:noProof/>
        </w:rPr>
      </w:pPr>
    </w:p>
    <w:p w14:paraId="1831A087" w14:textId="77777777" w:rsidR="00071FD1" w:rsidRPr="00071FD1" w:rsidRDefault="00071FD1" w:rsidP="00624057">
      <w:pPr>
        <w:widowControl w:val="0"/>
        <w:suppressAutoHyphens/>
        <w:spacing w:after="0" w:line="480" w:lineRule="auto"/>
        <w:ind w:left="567" w:hanging="567"/>
        <w:jc w:val="both"/>
        <w:outlineLvl w:val="0"/>
        <w:rPr>
          <w:rFonts w:ascii="Arial" w:hAnsi="Arial" w:cs="Arial"/>
          <w:noProof/>
        </w:rPr>
      </w:pPr>
      <w:bookmarkStart w:id="1" w:name="OLE_LINK1"/>
      <w:r w:rsidRPr="00071FD1">
        <w:rPr>
          <w:rFonts w:ascii="Arial" w:hAnsi="Arial" w:cs="Arial"/>
          <w:b/>
          <w:noProof/>
        </w:rPr>
        <w:t>6.6</w:t>
      </w:r>
      <w:r w:rsidRPr="00071FD1">
        <w:rPr>
          <w:rFonts w:ascii="Arial" w:hAnsi="Arial" w:cs="Arial"/>
          <w:b/>
          <w:noProof/>
        </w:rPr>
        <w:tab/>
        <w:t>Special precautions for disposal and other handling</w:t>
      </w:r>
    </w:p>
    <w:bookmarkEnd w:id="1"/>
    <w:p w14:paraId="42E820E1" w14:textId="77777777" w:rsidR="00071FD1" w:rsidRPr="00071FD1" w:rsidRDefault="00071FD1" w:rsidP="00624057">
      <w:pPr>
        <w:widowControl w:val="0"/>
        <w:suppressAutoHyphens/>
        <w:spacing w:after="0" w:line="480" w:lineRule="auto"/>
        <w:jc w:val="both"/>
        <w:rPr>
          <w:rFonts w:ascii="Arial" w:hAnsi="Arial" w:cs="Arial"/>
          <w:lang w:val="en-GB"/>
        </w:rPr>
      </w:pPr>
      <w:r w:rsidRPr="00071FD1">
        <w:rPr>
          <w:rFonts w:ascii="Arial" w:hAnsi="Arial" w:cs="Arial"/>
          <w:lang w:val="en-GB"/>
        </w:rPr>
        <w:t>Any unused medicine or waste material should be disposed of in accordance with local requirements.</w:t>
      </w:r>
    </w:p>
    <w:p w14:paraId="5E4221CE" w14:textId="77777777" w:rsidR="00071FD1" w:rsidRPr="00071FD1" w:rsidRDefault="00071FD1" w:rsidP="00624057">
      <w:pPr>
        <w:widowControl w:val="0"/>
        <w:suppressAutoHyphens/>
        <w:spacing w:after="0" w:line="480" w:lineRule="auto"/>
        <w:ind w:left="567" w:hanging="567"/>
        <w:jc w:val="both"/>
        <w:outlineLvl w:val="0"/>
        <w:rPr>
          <w:rFonts w:ascii="Arial" w:hAnsi="Arial" w:cs="Arial"/>
          <w:b/>
          <w:noProof/>
        </w:rPr>
      </w:pPr>
    </w:p>
    <w:p w14:paraId="2A17B7B3" w14:textId="77777777" w:rsidR="00071FD1" w:rsidRPr="00071FD1" w:rsidRDefault="00071FD1" w:rsidP="00624057">
      <w:pPr>
        <w:widowControl w:val="0"/>
        <w:suppressAutoHyphens/>
        <w:spacing w:after="0" w:line="480" w:lineRule="auto"/>
        <w:ind w:left="567" w:hanging="567"/>
        <w:jc w:val="both"/>
        <w:rPr>
          <w:rFonts w:ascii="Arial" w:hAnsi="Arial" w:cs="Arial"/>
          <w:b/>
          <w:noProof/>
        </w:rPr>
      </w:pPr>
      <w:r w:rsidRPr="00071FD1">
        <w:rPr>
          <w:rFonts w:ascii="Arial" w:hAnsi="Arial" w:cs="Arial"/>
          <w:b/>
          <w:noProof/>
        </w:rPr>
        <w:t>7.</w:t>
      </w:r>
      <w:r w:rsidRPr="00071FD1">
        <w:rPr>
          <w:rFonts w:ascii="Arial" w:hAnsi="Arial" w:cs="Arial"/>
          <w:b/>
          <w:noProof/>
        </w:rPr>
        <w:tab/>
        <w:t>HOLDER OF CERTIFICATE OF REGISTRATION</w:t>
      </w:r>
    </w:p>
    <w:p w14:paraId="6AEF1C07" w14:textId="77777777" w:rsidR="00071FD1" w:rsidRPr="00071FD1" w:rsidRDefault="00071FD1" w:rsidP="00624057">
      <w:pPr>
        <w:widowControl w:val="0"/>
        <w:suppressAutoHyphens/>
        <w:spacing w:after="0" w:line="480" w:lineRule="auto"/>
        <w:jc w:val="both"/>
        <w:rPr>
          <w:rFonts w:ascii="Arial" w:hAnsi="Arial" w:cs="Arial"/>
          <w:bCs/>
          <w:color w:val="000000"/>
        </w:rPr>
      </w:pPr>
      <w:r w:rsidRPr="00071FD1">
        <w:rPr>
          <w:rFonts w:ascii="Arial" w:hAnsi="Arial" w:cs="Arial"/>
          <w:bCs/>
          <w:color w:val="000000"/>
        </w:rPr>
        <w:t>Biotech Laboratories (Pty) Ltd</w:t>
      </w:r>
    </w:p>
    <w:p w14:paraId="721315C0" w14:textId="7B9D8C98" w:rsidR="00071FD1" w:rsidRPr="00071FD1" w:rsidRDefault="00071FD1" w:rsidP="00624057">
      <w:pPr>
        <w:widowControl w:val="0"/>
        <w:suppressAutoHyphens/>
        <w:spacing w:after="0" w:line="480" w:lineRule="auto"/>
        <w:jc w:val="both"/>
        <w:rPr>
          <w:rFonts w:ascii="Arial" w:hAnsi="Arial" w:cs="Arial"/>
          <w:bCs/>
          <w:color w:val="000000"/>
        </w:rPr>
      </w:pPr>
      <w:r w:rsidRPr="00071FD1">
        <w:rPr>
          <w:rFonts w:ascii="Arial" w:hAnsi="Arial" w:cs="Arial"/>
          <w:bCs/>
          <w:color w:val="000000"/>
        </w:rPr>
        <w:t xml:space="preserve">Ground floor, Block K West, Central </w:t>
      </w:r>
      <w:r w:rsidR="00624057">
        <w:rPr>
          <w:rFonts w:ascii="Arial" w:hAnsi="Arial" w:cs="Arial"/>
          <w:bCs/>
          <w:color w:val="000000"/>
        </w:rPr>
        <w:t>P</w:t>
      </w:r>
      <w:r w:rsidRPr="00071FD1">
        <w:rPr>
          <w:rFonts w:ascii="Arial" w:hAnsi="Arial" w:cs="Arial"/>
          <w:bCs/>
          <w:color w:val="000000"/>
        </w:rPr>
        <w:t xml:space="preserve">ark </w:t>
      </w:r>
    </w:p>
    <w:p w14:paraId="61366574" w14:textId="77777777" w:rsidR="00071FD1" w:rsidRPr="00071FD1" w:rsidRDefault="00071FD1" w:rsidP="00624057">
      <w:pPr>
        <w:widowControl w:val="0"/>
        <w:suppressAutoHyphens/>
        <w:spacing w:after="0" w:line="480" w:lineRule="auto"/>
        <w:jc w:val="both"/>
        <w:rPr>
          <w:rFonts w:ascii="Arial" w:hAnsi="Arial" w:cs="Arial"/>
          <w:bCs/>
          <w:color w:val="000000"/>
        </w:rPr>
      </w:pPr>
      <w:r w:rsidRPr="00071FD1">
        <w:rPr>
          <w:rFonts w:ascii="Arial" w:hAnsi="Arial" w:cs="Arial"/>
          <w:bCs/>
          <w:color w:val="000000"/>
        </w:rPr>
        <w:t>400 16</w:t>
      </w:r>
      <w:r w:rsidRPr="00071FD1">
        <w:rPr>
          <w:rFonts w:ascii="Arial" w:hAnsi="Arial" w:cs="Arial"/>
          <w:bCs/>
          <w:color w:val="000000"/>
          <w:vertAlign w:val="superscript"/>
        </w:rPr>
        <w:t>th</w:t>
      </w:r>
      <w:r w:rsidRPr="00071FD1">
        <w:rPr>
          <w:rFonts w:ascii="Arial" w:hAnsi="Arial" w:cs="Arial"/>
          <w:bCs/>
          <w:color w:val="000000"/>
        </w:rPr>
        <w:t xml:space="preserve"> Road, Randjespark </w:t>
      </w:r>
    </w:p>
    <w:p w14:paraId="7EDEF2F8" w14:textId="77777777" w:rsidR="00071FD1" w:rsidRPr="00071FD1" w:rsidRDefault="00071FD1" w:rsidP="00624057">
      <w:pPr>
        <w:widowControl w:val="0"/>
        <w:suppressAutoHyphens/>
        <w:spacing w:after="0" w:line="480" w:lineRule="auto"/>
        <w:jc w:val="both"/>
        <w:rPr>
          <w:rFonts w:ascii="Arial" w:hAnsi="Arial" w:cs="Arial"/>
          <w:bCs/>
          <w:color w:val="000000"/>
        </w:rPr>
      </w:pPr>
      <w:r w:rsidRPr="00071FD1">
        <w:rPr>
          <w:rFonts w:ascii="Arial" w:hAnsi="Arial" w:cs="Arial"/>
          <w:bCs/>
          <w:color w:val="000000"/>
        </w:rPr>
        <w:t>Halfway House</w:t>
      </w:r>
    </w:p>
    <w:p w14:paraId="4A1C2082" w14:textId="77777777" w:rsidR="00071FD1" w:rsidRPr="00071FD1" w:rsidRDefault="00071FD1" w:rsidP="00624057">
      <w:pPr>
        <w:widowControl w:val="0"/>
        <w:suppressAutoHyphens/>
        <w:spacing w:after="0" w:line="480" w:lineRule="auto"/>
        <w:jc w:val="both"/>
        <w:rPr>
          <w:rFonts w:ascii="Arial" w:hAnsi="Arial" w:cs="Arial"/>
          <w:bCs/>
          <w:color w:val="000000"/>
        </w:rPr>
      </w:pPr>
      <w:r w:rsidRPr="00071FD1">
        <w:rPr>
          <w:rFonts w:ascii="Arial" w:hAnsi="Arial" w:cs="Arial"/>
          <w:bCs/>
          <w:color w:val="000000"/>
        </w:rPr>
        <w:t>Midrand 1685</w:t>
      </w:r>
    </w:p>
    <w:p w14:paraId="3418045A" w14:textId="77777777" w:rsidR="00071FD1" w:rsidRPr="00071FD1" w:rsidRDefault="00071FD1" w:rsidP="00624057">
      <w:pPr>
        <w:widowControl w:val="0"/>
        <w:suppressAutoHyphens/>
        <w:spacing w:after="0" w:line="480" w:lineRule="auto"/>
        <w:ind w:left="567" w:hanging="567"/>
        <w:jc w:val="both"/>
        <w:rPr>
          <w:rFonts w:ascii="Arial" w:hAnsi="Arial" w:cs="Arial"/>
          <w:b/>
          <w:noProof/>
        </w:rPr>
      </w:pPr>
    </w:p>
    <w:p w14:paraId="186BC478" w14:textId="77777777" w:rsidR="00071FD1" w:rsidRPr="00071FD1" w:rsidRDefault="00071FD1" w:rsidP="00624057">
      <w:pPr>
        <w:widowControl w:val="0"/>
        <w:suppressAutoHyphens/>
        <w:spacing w:after="0" w:line="480" w:lineRule="auto"/>
        <w:ind w:left="567" w:hanging="567"/>
        <w:jc w:val="both"/>
        <w:rPr>
          <w:rFonts w:ascii="Arial" w:hAnsi="Arial" w:cs="Arial"/>
          <w:b/>
          <w:noProof/>
        </w:rPr>
      </w:pPr>
      <w:r w:rsidRPr="00071FD1">
        <w:rPr>
          <w:rFonts w:ascii="Arial" w:hAnsi="Arial" w:cs="Arial"/>
          <w:b/>
          <w:noProof/>
        </w:rPr>
        <w:t>8.</w:t>
      </w:r>
      <w:r w:rsidRPr="00071FD1">
        <w:rPr>
          <w:rFonts w:ascii="Arial" w:hAnsi="Arial" w:cs="Arial"/>
          <w:b/>
          <w:noProof/>
        </w:rPr>
        <w:tab/>
        <w:t>REGISTRATION NUMBERS</w:t>
      </w:r>
    </w:p>
    <w:p w14:paraId="795CE5EA" w14:textId="77777777" w:rsidR="00071FD1" w:rsidRPr="00071FD1" w:rsidRDefault="00071FD1" w:rsidP="00624057">
      <w:pPr>
        <w:widowControl w:val="0"/>
        <w:spacing w:after="0" w:line="480" w:lineRule="auto"/>
        <w:jc w:val="both"/>
        <w:rPr>
          <w:rFonts w:ascii="Arial" w:hAnsi="Arial" w:cs="Arial"/>
          <w:noProof/>
        </w:rPr>
      </w:pPr>
      <w:r w:rsidRPr="00071FD1">
        <w:rPr>
          <w:rFonts w:ascii="Arial" w:hAnsi="Arial" w:cs="Arial"/>
        </w:rPr>
        <w:t xml:space="preserve">CELECOXIB 100 BIOTECH: </w:t>
      </w:r>
      <w:r w:rsidRPr="00071FD1">
        <w:rPr>
          <w:rFonts w:ascii="Arial" w:hAnsi="Arial" w:cs="Arial"/>
          <w:noProof/>
        </w:rPr>
        <w:t>50/3.1/0438</w:t>
      </w:r>
    </w:p>
    <w:p w14:paraId="7BED364B" w14:textId="77777777" w:rsidR="00071FD1" w:rsidRPr="00071FD1" w:rsidRDefault="00071FD1" w:rsidP="00624057">
      <w:pPr>
        <w:widowControl w:val="0"/>
        <w:suppressAutoHyphens/>
        <w:spacing w:after="0" w:line="480" w:lineRule="auto"/>
        <w:jc w:val="both"/>
        <w:rPr>
          <w:rFonts w:ascii="Arial" w:hAnsi="Arial" w:cs="Arial"/>
          <w:noProof/>
          <w:lang w:val="fr-CH"/>
        </w:rPr>
      </w:pPr>
      <w:r w:rsidRPr="00071FD1">
        <w:rPr>
          <w:rFonts w:ascii="Arial" w:hAnsi="Arial" w:cs="Arial"/>
        </w:rPr>
        <w:t>CELECOXIB 200 BIOTECH:</w:t>
      </w:r>
      <w:r w:rsidRPr="00071FD1">
        <w:rPr>
          <w:rFonts w:ascii="Arial" w:hAnsi="Arial" w:cs="Arial"/>
          <w:i/>
          <w:iCs/>
        </w:rPr>
        <w:t xml:space="preserve"> </w:t>
      </w:r>
      <w:r w:rsidRPr="00071FD1">
        <w:rPr>
          <w:rFonts w:ascii="Arial" w:hAnsi="Arial" w:cs="Arial"/>
          <w:noProof/>
          <w:lang w:val="en-GB"/>
        </w:rPr>
        <w:t>50/3.1/0439</w:t>
      </w:r>
    </w:p>
    <w:p w14:paraId="5648D7DA" w14:textId="77777777" w:rsidR="00071FD1" w:rsidRPr="00071FD1" w:rsidRDefault="00071FD1" w:rsidP="00624057">
      <w:pPr>
        <w:widowControl w:val="0"/>
        <w:suppressAutoHyphens/>
        <w:spacing w:after="0" w:line="480" w:lineRule="auto"/>
        <w:jc w:val="both"/>
        <w:rPr>
          <w:rFonts w:ascii="Arial" w:hAnsi="Arial" w:cs="Arial"/>
          <w:b/>
          <w:noProof/>
        </w:rPr>
      </w:pPr>
    </w:p>
    <w:p w14:paraId="438DA2BB" w14:textId="77777777" w:rsidR="00071FD1" w:rsidRPr="00071FD1" w:rsidRDefault="00071FD1" w:rsidP="00624057">
      <w:pPr>
        <w:widowControl w:val="0"/>
        <w:suppressAutoHyphens/>
        <w:spacing w:after="0" w:line="480" w:lineRule="auto"/>
        <w:ind w:left="567" w:hanging="567"/>
        <w:jc w:val="both"/>
        <w:rPr>
          <w:rFonts w:ascii="Arial" w:hAnsi="Arial" w:cs="Arial"/>
          <w:noProof/>
        </w:rPr>
      </w:pPr>
      <w:r w:rsidRPr="00071FD1">
        <w:rPr>
          <w:rFonts w:ascii="Arial" w:hAnsi="Arial" w:cs="Arial"/>
          <w:b/>
          <w:noProof/>
        </w:rPr>
        <w:t>9.</w:t>
      </w:r>
      <w:r w:rsidRPr="00071FD1">
        <w:rPr>
          <w:rFonts w:ascii="Arial" w:hAnsi="Arial" w:cs="Arial"/>
          <w:b/>
          <w:noProof/>
        </w:rPr>
        <w:tab/>
        <w:t>DATE OF FIRST AUTHORISATION/RENEWAL OF THE AUTHORISATION</w:t>
      </w:r>
    </w:p>
    <w:p w14:paraId="2BA8C64A" w14:textId="77777777" w:rsidR="00071FD1" w:rsidRPr="00071FD1" w:rsidRDefault="00071FD1" w:rsidP="00624057">
      <w:pPr>
        <w:widowControl w:val="0"/>
        <w:spacing w:after="0" w:line="480" w:lineRule="auto"/>
        <w:jc w:val="both"/>
        <w:rPr>
          <w:rFonts w:ascii="Arial" w:hAnsi="Arial" w:cs="Arial"/>
          <w:shd w:val="clear" w:color="auto" w:fill="FFFFFF"/>
        </w:rPr>
      </w:pPr>
      <w:r w:rsidRPr="00071FD1">
        <w:rPr>
          <w:rFonts w:ascii="Arial" w:hAnsi="Arial" w:cs="Arial"/>
          <w:b/>
          <w:bCs/>
          <w:shd w:val="clear" w:color="auto" w:fill="FFFFFF"/>
        </w:rPr>
        <w:t>Date of registration:</w:t>
      </w:r>
      <w:r w:rsidRPr="00071FD1">
        <w:rPr>
          <w:rFonts w:ascii="Arial" w:hAnsi="Arial" w:cs="Arial"/>
          <w:shd w:val="clear" w:color="auto" w:fill="FFFFFF"/>
        </w:rPr>
        <w:t xml:space="preserve"> 21 September 2021.</w:t>
      </w:r>
    </w:p>
    <w:p w14:paraId="04CBBD02" w14:textId="77777777" w:rsidR="00071FD1" w:rsidRPr="00071FD1" w:rsidRDefault="00071FD1" w:rsidP="00624057">
      <w:pPr>
        <w:widowControl w:val="0"/>
        <w:suppressAutoHyphens/>
        <w:spacing w:after="0" w:line="480" w:lineRule="auto"/>
        <w:jc w:val="both"/>
        <w:rPr>
          <w:rFonts w:ascii="Arial" w:hAnsi="Arial" w:cs="Arial"/>
          <w:b/>
          <w:i/>
          <w:lang w:val="en-GB"/>
        </w:rPr>
      </w:pPr>
    </w:p>
    <w:p w14:paraId="171EAB14" w14:textId="77777777" w:rsidR="00071FD1" w:rsidRPr="00071FD1" w:rsidRDefault="00071FD1" w:rsidP="00624057">
      <w:pPr>
        <w:widowControl w:val="0"/>
        <w:suppressAutoHyphens/>
        <w:spacing w:after="0" w:line="480" w:lineRule="auto"/>
        <w:ind w:left="567" w:hanging="567"/>
        <w:jc w:val="both"/>
        <w:rPr>
          <w:rFonts w:ascii="Arial" w:hAnsi="Arial" w:cs="Arial"/>
          <w:b/>
          <w:noProof/>
        </w:rPr>
      </w:pPr>
      <w:r w:rsidRPr="00071FD1">
        <w:rPr>
          <w:rFonts w:ascii="Arial" w:hAnsi="Arial" w:cs="Arial"/>
          <w:b/>
          <w:noProof/>
        </w:rPr>
        <w:t>10.</w:t>
      </w:r>
      <w:r w:rsidRPr="00071FD1">
        <w:rPr>
          <w:rFonts w:ascii="Arial" w:hAnsi="Arial" w:cs="Arial"/>
          <w:b/>
          <w:noProof/>
        </w:rPr>
        <w:tab/>
        <w:t>DATE OF REVISION OF THE TEXT</w:t>
      </w:r>
    </w:p>
    <w:p w14:paraId="0E95DE55" w14:textId="632C68DA" w:rsidR="00071FD1" w:rsidRPr="00071FD1" w:rsidRDefault="00624057" w:rsidP="00624057">
      <w:pPr>
        <w:widowControl w:val="0"/>
        <w:suppressAutoHyphens/>
        <w:spacing w:after="0" w:line="480" w:lineRule="auto"/>
        <w:ind w:left="567" w:hanging="567"/>
        <w:jc w:val="both"/>
        <w:rPr>
          <w:rFonts w:ascii="Arial" w:hAnsi="Arial" w:cs="Arial"/>
          <w:bCs/>
          <w:noProof/>
        </w:rPr>
      </w:pPr>
      <w:r>
        <w:rPr>
          <w:rFonts w:ascii="Arial" w:hAnsi="Arial" w:cs="Arial"/>
          <w:bCs/>
          <w:noProof/>
        </w:rPr>
        <w:t>13 July 2023.</w:t>
      </w:r>
    </w:p>
    <w:p w14:paraId="23B682DC" w14:textId="77777777" w:rsidR="00A379C2" w:rsidRPr="00071FD1" w:rsidRDefault="00A379C2" w:rsidP="00624057">
      <w:pPr>
        <w:widowControl w:val="0"/>
        <w:suppressAutoHyphens/>
        <w:jc w:val="both"/>
        <w:rPr>
          <w:rFonts w:ascii="Arial" w:hAnsi="Arial" w:cs="Arial"/>
          <w:lang w:val="en-GB"/>
        </w:rPr>
      </w:pPr>
    </w:p>
    <w:sectPr w:rsidR="00A379C2" w:rsidRPr="00071FD1" w:rsidSect="009A1FA8">
      <w:headerReference w:type="even" r:id="rId8"/>
      <w:headerReference w:type="default" r:id="rId9"/>
      <w:footerReference w:type="even" r:id="rId10"/>
      <w:footerReference w:type="default" r:id="rId11"/>
      <w:headerReference w:type="first" r:id="rId12"/>
      <w:footerReference w:type="first" r:id="rId13"/>
      <w:pgSz w:w="11906" w:h="16838" w:code="9"/>
      <w:pgMar w:top="1134" w:right="566" w:bottom="1134" w:left="124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2A3D3" w14:textId="77777777" w:rsidR="00A422C5" w:rsidRDefault="00A422C5" w:rsidP="003E6572">
      <w:pPr>
        <w:spacing w:after="0" w:line="240" w:lineRule="auto"/>
      </w:pPr>
      <w:r>
        <w:separator/>
      </w:r>
    </w:p>
  </w:endnote>
  <w:endnote w:type="continuationSeparator" w:id="0">
    <w:p w14:paraId="5DCE6E0F" w14:textId="77777777" w:rsidR="00A422C5" w:rsidRDefault="00A422C5" w:rsidP="003E6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400B" w14:textId="77777777" w:rsidR="00FE69E1" w:rsidRDefault="00FE6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79C3" w14:textId="3DDE0F5C" w:rsidR="005F4A96" w:rsidRDefault="009A1FA8" w:rsidP="005F4A96">
    <w:pPr>
      <w:tabs>
        <w:tab w:val="left" w:pos="1608"/>
        <w:tab w:val="center" w:pos="4513"/>
        <w:tab w:val="right" w:pos="9923"/>
      </w:tabs>
      <w:spacing w:after="0" w:line="240" w:lineRule="auto"/>
      <w:ind w:right="127"/>
      <w:rPr>
        <w:rFonts w:ascii="Arial" w:hAnsi="Arial" w:cs="Arial"/>
        <w:sz w:val="18"/>
        <w:szCs w:val="18"/>
      </w:rPr>
    </w:pPr>
    <w:r>
      <w:rPr>
        <w:noProof/>
      </w:rPr>
      <w:drawing>
        <wp:anchor distT="0" distB="0" distL="114300" distR="114300" simplePos="0" relativeHeight="251658240" behindDoc="1" locked="0" layoutInCell="1" allowOverlap="1" wp14:anchorId="2EC467AF" wp14:editId="4FBDF891">
          <wp:simplePos x="0" y="0"/>
          <wp:positionH relativeFrom="column">
            <wp:posOffset>5799455</wp:posOffset>
          </wp:positionH>
          <wp:positionV relativeFrom="paragraph">
            <wp:posOffset>22225</wp:posOffset>
          </wp:positionV>
          <wp:extent cx="353695" cy="298450"/>
          <wp:effectExtent l="0" t="0" r="825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695" cy="298450"/>
                  </a:xfrm>
                  <a:prstGeom prst="rect">
                    <a:avLst/>
                  </a:prstGeom>
                  <a:noFill/>
                </pic:spPr>
              </pic:pic>
            </a:graphicData>
          </a:graphic>
          <wp14:sizeRelH relativeFrom="page">
            <wp14:pctWidth>0</wp14:pctWidth>
          </wp14:sizeRelH>
          <wp14:sizeRelV relativeFrom="page">
            <wp14:pctHeight>0</wp14:pctHeight>
          </wp14:sizeRelV>
        </wp:anchor>
      </w:drawing>
    </w:r>
  </w:p>
  <w:p w14:paraId="0E4F2B59" w14:textId="1228AF69" w:rsidR="005F4A96" w:rsidRPr="0094073C" w:rsidRDefault="005F4A96" w:rsidP="005F4A96">
    <w:pPr>
      <w:tabs>
        <w:tab w:val="left" w:pos="1608"/>
        <w:tab w:val="center" w:pos="4513"/>
        <w:tab w:val="right" w:pos="9498"/>
      </w:tabs>
      <w:spacing w:after="0" w:line="240" w:lineRule="auto"/>
      <w:ind w:right="127"/>
      <w:rPr>
        <w:rFonts w:ascii="Arial" w:hAnsi="Arial" w:cs="Arial"/>
        <w:sz w:val="18"/>
        <w:szCs w:val="18"/>
      </w:rPr>
    </w:pPr>
    <w:r w:rsidRPr="0094073C">
      <w:rPr>
        <w:rFonts w:ascii="Arial" w:hAnsi="Arial" w:cs="Arial"/>
        <w:sz w:val="18"/>
        <w:szCs w:val="18"/>
      </w:rPr>
      <w:tab/>
    </w:r>
    <w:r>
      <w:rPr>
        <w:rFonts w:ascii="Arial" w:hAnsi="Arial" w:cs="Arial"/>
        <w:sz w:val="18"/>
        <w:szCs w:val="18"/>
      </w:rPr>
      <w:tab/>
    </w:r>
    <w:r w:rsidRPr="0094073C">
      <w:rPr>
        <w:rFonts w:ascii="Arial" w:hAnsi="Arial" w:cs="Arial"/>
        <w:sz w:val="18"/>
        <w:szCs w:val="18"/>
      </w:rPr>
      <w:tab/>
      <w:t>Signed:</w:t>
    </w:r>
    <w:r w:rsidRPr="0094073C">
      <w:t xml:space="preserve"> ____</w:t>
    </w:r>
  </w:p>
  <w:p w14:paraId="5770BE07" w14:textId="70B08F0B" w:rsidR="00A422C5" w:rsidRPr="005F4A96" w:rsidRDefault="005F4A96" w:rsidP="005F4A96">
    <w:pPr>
      <w:tabs>
        <w:tab w:val="center" w:pos="4513"/>
        <w:tab w:val="right" w:pos="9923"/>
      </w:tabs>
      <w:spacing w:before="120" w:after="0" w:line="240" w:lineRule="auto"/>
      <w:ind w:right="127"/>
      <w:jc w:val="right"/>
      <w:rPr>
        <w:rFonts w:ascii="Arial" w:hAnsi="Arial" w:cs="Arial"/>
        <w:sz w:val="18"/>
        <w:szCs w:val="18"/>
      </w:rPr>
    </w:pPr>
    <w:r w:rsidRPr="0094073C">
      <w:rPr>
        <w:rFonts w:ascii="Arial" w:hAnsi="Arial" w:cs="Arial"/>
        <w:sz w:val="18"/>
        <w:szCs w:val="18"/>
      </w:rPr>
      <w:t xml:space="preserve">Page </w:t>
    </w:r>
    <w:r w:rsidRPr="0094073C">
      <w:rPr>
        <w:rFonts w:ascii="Arial" w:hAnsi="Arial" w:cs="Arial"/>
        <w:sz w:val="18"/>
        <w:szCs w:val="18"/>
      </w:rPr>
      <w:fldChar w:fldCharType="begin"/>
    </w:r>
    <w:r w:rsidRPr="0094073C">
      <w:rPr>
        <w:rFonts w:ascii="Arial" w:hAnsi="Arial" w:cs="Arial"/>
        <w:sz w:val="18"/>
        <w:szCs w:val="18"/>
      </w:rPr>
      <w:instrText xml:space="preserve"> PAGE  \* Arabic  \* MERGEFORMAT </w:instrText>
    </w:r>
    <w:r w:rsidRPr="0094073C">
      <w:rPr>
        <w:rFonts w:ascii="Arial" w:hAnsi="Arial" w:cs="Arial"/>
        <w:sz w:val="18"/>
        <w:szCs w:val="18"/>
      </w:rPr>
      <w:fldChar w:fldCharType="separate"/>
    </w:r>
    <w:r>
      <w:rPr>
        <w:rFonts w:ascii="Arial" w:hAnsi="Arial" w:cs="Arial"/>
        <w:sz w:val="18"/>
        <w:szCs w:val="18"/>
      </w:rPr>
      <w:t>22</w:t>
    </w:r>
    <w:r w:rsidRPr="0094073C">
      <w:rPr>
        <w:rFonts w:ascii="Arial" w:hAnsi="Arial" w:cs="Arial"/>
        <w:sz w:val="18"/>
        <w:szCs w:val="18"/>
      </w:rPr>
      <w:fldChar w:fldCharType="end"/>
    </w:r>
    <w:r w:rsidRPr="0094073C">
      <w:rPr>
        <w:rFonts w:ascii="Arial" w:hAnsi="Arial" w:cs="Arial"/>
        <w:sz w:val="18"/>
        <w:szCs w:val="18"/>
      </w:rPr>
      <w:t xml:space="preserve"> of </w:t>
    </w:r>
    <w:r w:rsidRPr="0094073C">
      <w:rPr>
        <w:rFonts w:ascii="Arial" w:hAnsi="Arial" w:cs="Arial"/>
        <w:sz w:val="18"/>
        <w:szCs w:val="18"/>
      </w:rPr>
      <w:fldChar w:fldCharType="begin"/>
    </w:r>
    <w:r w:rsidRPr="0094073C">
      <w:rPr>
        <w:rFonts w:ascii="Arial" w:hAnsi="Arial" w:cs="Arial"/>
        <w:sz w:val="18"/>
        <w:szCs w:val="18"/>
      </w:rPr>
      <w:instrText xml:space="preserve"> NUMPAGES  \* Arabic  \* MERGEFORMAT </w:instrText>
    </w:r>
    <w:r w:rsidRPr="0094073C">
      <w:rPr>
        <w:rFonts w:ascii="Arial" w:hAnsi="Arial" w:cs="Arial"/>
        <w:sz w:val="18"/>
        <w:szCs w:val="18"/>
      </w:rPr>
      <w:fldChar w:fldCharType="separate"/>
    </w:r>
    <w:r>
      <w:rPr>
        <w:rFonts w:ascii="Arial" w:hAnsi="Arial" w:cs="Arial"/>
        <w:sz w:val="18"/>
        <w:szCs w:val="18"/>
      </w:rPr>
      <w:t>23</w:t>
    </w:r>
    <w:r w:rsidRPr="0094073C">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EDD7" w14:textId="77777777" w:rsidR="00FE69E1" w:rsidRDefault="00FE6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58C6E" w14:textId="77777777" w:rsidR="00A422C5" w:rsidRDefault="00A422C5" w:rsidP="003E6572">
      <w:pPr>
        <w:spacing w:after="0" w:line="240" w:lineRule="auto"/>
      </w:pPr>
      <w:r>
        <w:separator/>
      </w:r>
    </w:p>
  </w:footnote>
  <w:footnote w:type="continuationSeparator" w:id="0">
    <w:p w14:paraId="03837B5C" w14:textId="77777777" w:rsidR="00A422C5" w:rsidRDefault="00A422C5" w:rsidP="003E6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D14D" w14:textId="77777777" w:rsidR="00FE69E1" w:rsidRDefault="00FE6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2750" w14:textId="77777777" w:rsidR="008269D5" w:rsidRPr="00E13304" w:rsidRDefault="008269D5" w:rsidP="009A1FA8">
    <w:pPr>
      <w:pStyle w:val="Header"/>
      <w:tabs>
        <w:tab w:val="clear" w:pos="9026"/>
        <w:tab w:val="right" w:pos="10065"/>
      </w:tabs>
      <w:ind w:right="27"/>
      <w:rPr>
        <w:rFonts w:ascii="Arial" w:hAnsi="Arial" w:cs="Arial"/>
        <w:sz w:val="18"/>
        <w:szCs w:val="18"/>
      </w:rPr>
    </w:pPr>
    <w:bookmarkStart w:id="2" w:name="_Hlk46738923"/>
    <w:bookmarkStart w:id="3" w:name="_Hlk132184874"/>
    <w:bookmarkStart w:id="4" w:name="_Hlk45119689"/>
    <w:r w:rsidRPr="00E13304">
      <w:rPr>
        <w:rFonts w:ascii="Arial" w:hAnsi="Arial" w:cs="Arial"/>
        <w:sz w:val="18"/>
        <w:szCs w:val="18"/>
      </w:rPr>
      <w:t>Biotech Laboratories (Pty) Ltd</w:t>
    </w:r>
    <w:r w:rsidRPr="00E13304">
      <w:rPr>
        <w:rFonts w:ascii="Arial" w:hAnsi="Arial" w:cs="Arial"/>
        <w:sz w:val="18"/>
        <w:szCs w:val="18"/>
      </w:rPr>
      <w:tab/>
    </w:r>
    <w:r w:rsidRPr="00E13304">
      <w:rPr>
        <w:rFonts w:ascii="Arial" w:hAnsi="Arial" w:cs="Arial"/>
        <w:sz w:val="18"/>
        <w:szCs w:val="18"/>
      </w:rPr>
      <w:tab/>
      <w:t>hard capsules</w:t>
    </w:r>
  </w:p>
  <w:p w14:paraId="0973E6C8" w14:textId="525FF2D1" w:rsidR="008269D5" w:rsidRPr="00E13304" w:rsidRDefault="008269D5" w:rsidP="009A1FA8">
    <w:pPr>
      <w:pStyle w:val="Header"/>
      <w:tabs>
        <w:tab w:val="clear" w:pos="9026"/>
        <w:tab w:val="right" w:pos="10065"/>
      </w:tabs>
      <w:rPr>
        <w:rFonts w:ascii="Arial" w:hAnsi="Arial" w:cs="Arial"/>
        <w:sz w:val="18"/>
        <w:szCs w:val="18"/>
      </w:rPr>
    </w:pPr>
    <w:r w:rsidRPr="00E13304">
      <w:rPr>
        <w:rFonts w:ascii="Arial" w:hAnsi="Arial" w:cs="Arial"/>
        <w:sz w:val="18"/>
        <w:szCs w:val="18"/>
      </w:rPr>
      <w:tab/>
    </w:r>
    <w:r w:rsidRPr="00E13304">
      <w:rPr>
        <w:rFonts w:ascii="Arial" w:hAnsi="Arial" w:cs="Arial"/>
        <w:sz w:val="18"/>
        <w:szCs w:val="18"/>
      </w:rPr>
      <w:tab/>
      <w:t>100 mg / 200 mg celecoxib</w:t>
    </w:r>
  </w:p>
  <w:bookmarkEnd w:id="2"/>
  <w:p w14:paraId="3E693B68" w14:textId="55F57A43" w:rsidR="008269D5" w:rsidRPr="002076D5" w:rsidRDefault="008269D5" w:rsidP="008269D5">
    <w:pPr>
      <w:pBdr>
        <w:bottom w:val="single" w:sz="4" w:space="1" w:color="auto"/>
      </w:pBdr>
      <w:tabs>
        <w:tab w:val="center" w:pos="3969"/>
        <w:tab w:val="center" w:pos="4513"/>
        <w:tab w:val="right" w:pos="9781"/>
      </w:tabs>
      <w:spacing w:after="0" w:line="276" w:lineRule="auto"/>
      <w:ind w:right="29" w:hanging="153"/>
      <w:jc w:val="right"/>
      <w:rPr>
        <w:rFonts w:ascii="Arial" w:eastAsia="Calibri" w:hAnsi="Arial" w:cs="Arial"/>
        <w:sz w:val="18"/>
        <w:szCs w:val="18"/>
      </w:rPr>
    </w:pPr>
    <w:r w:rsidRPr="002076D5">
      <w:rPr>
        <w:rFonts w:ascii="Arial" w:eastAsia="Calibri" w:hAnsi="Arial" w:cs="Arial"/>
        <w:b/>
        <w:sz w:val="18"/>
        <w:szCs w:val="18"/>
      </w:rPr>
      <w:t>Date of submission:</w:t>
    </w:r>
    <w:r w:rsidRPr="002076D5">
      <w:rPr>
        <w:rFonts w:ascii="Arial" w:eastAsia="Calibri" w:hAnsi="Arial" w:cs="Arial"/>
        <w:sz w:val="18"/>
        <w:szCs w:val="18"/>
      </w:rPr>
      <w:t xml:space="preserve"> </w:t>
    </w:r>
    <w:r w:rsidR="000470CB">
      <w:rPr>
        <w:rFonts w:ascii="Arial" w:eastAsia="Calibri" w:hAnsi="Arial" w:cs="Arial"/>
        <w:sz w:val="18"/>
        <w:szCs w:val="18"/>
      </w:rPr>
      <w:t>02.06.2023</w:t>
    </w:r>
  </w:p>
  <w:p w14:paraId="5C0A2E86" w14:textId="5F56F0B2" w:rsidR="00A422C5" w:rsidRPr="008269D5" w:rsidRDefault="008269D5" w:rsidP="008269D5">
    <w:pPr>
      <w:pBdr>
        <w:bottom w:val="single" w:sz="4" w:space="1" w:color="auto"/>
      </w:pBdr>
      <w:tabs>
        <w:tab w:val="center" w:pos="3969"/>
        <w:tab w:val="center" w:pos="4513"/>
        <w:tab w:val="right" w:pos="9356"/>
      </w:tabs>
      <w:spacing w:after="0" w:line="276" w:lineRule="auto"/>
      <w:ind w:left="-154" w:right="29" w:firstLine="1"/>
      <w:rPr>
        <w:rFonts w:ascii="Arial" w:eastAsia="Calibri" w:hAnsi="Arial" w:cs="Arial"/>
        <w:bCs/>
        <w:sz w:val="18"/>
        <w:szCs w:val="18"/>
      </w:rPr>
    </w:pPr>
    <w:bookmarkStart w:id="5" w:name="_Hlk486492026"/>
    <w:bookmarkStart w:id="6" w:name="_Hlk486492025"/>
    <w:bookmarkStart w:id="7" w:name="_Hlk486492024"/>
    <w:bookmarkStart w:id="8" w:name="_Hlk486492023"/>
    <w:bookmarkStart w:id="9" w:name="_Hlk132184852"/>
    <w:bookmarkEnd w:id="3"/>
    <w:r w:rsidRPr="00E13304">
      <w:rPr>
        <w:rFonts w:ascii="Arial" w:eastAsia="Calibri" w:hAnsi="Arial" w:cs="Arial"/>
        <w:b/>
        <w:sz w:val="18"/>
        <w:szCs w:val="18"/>
      </w:rPr>
      <w:t xml:space="preserve">This </w:t>
    </w:r>
    <w:r w:rsidR="0050709C">
      <w:rPr>
        <w:rFonts w:ascii="Arial" w:eastAsia="Calibri" w:hAnsi="Arial" w:cs="Arial"/>
        <w:b/>
        <w:sz w:val="18"/>
        <w:szCs w:val="18"/>
      </w:rPr>
      <w:t>submission</w:t>
    </w:r>
    <w:r w:rsidRPr="00E13304">
      <w:rPr>
        <w:rFonts w:ascii="Arial" w:eastAsia="Calibri" w:hAnsi="Arial" w:cs="Arial"/>
        <w:b/>
        <w:sz w:val="18"/>
        <w:szCs w:val="18"/>
      </w:rPr>
      <w:t>:</w:t>
    </w:r>
    <w:bookmarkEnd w:id="5"/>
    <w:bookmarkEnd w:id="6"/>
    <w:bookmarkEnd w:id="7"/>
    <w:bookmarkEnd w:id="8"/>
    <w:r w:rsidRPr="00E13304">
      <w:rPr>
        <w:rFonts w:ascii="Arial" w:eastAsia="Calibri" w:hAnsi="Arial" w:cs="Arial"/>
        <w:b/>
        <w:sz w:val="18"/>
        <w:szCs w:val="18"/>
      </w:rPr>
      <w:t xml:space="preserve"> </w:t>
    </w:r>
    <w:bookmarkStart w:id="10" w:name="_Hlk129868377"/>
    <w:r w:rsidRPr="00E13304">
      <w:rPr>
        <w:rFonts w:ascii="Arial" w:eastAsia="Calibri" w:hAnsi="Arial" w:cs="Arial"/>
        <w:bCs/>
        <w:sz w:val="18"/>
        <w:szCs w:val="18"/>
      </w:rPr>
      <w:t>Response to PVC recommendation (</w:t>
    </w:r>
    <w:r>
      <w:rPr>
        <w:rFonts w:ascii="Arial" w:eastAsia="Calibri" w:hAnsi="Arial" w:cs="Arial"/>
        <w:bCs/>
        <w:sz w:val="18"/>
        <w:szCs w:val="18"/>
      </w:rPr>
      <w:t>28/03</w:t>
    </w:r>
    <w:r w:rsidRPr="00E13304">
      <w:rPr>
        <w:rFonts w:ascii="Arial" w:eastAsia="Calibri" w:hAnsi="Arial" w:cs="Arial"/>
        <w:bCs/>
        <w:sz w:val="18"/>
        <w:szCs w:val="18"/>
      </w:rPr>
      <w:t xml:space="preserve">/2023) Re: </w:t>
    </w:r>
    <w:r>
      <w:rPr>
        <w:rFonts w:ascii="Arial" w:eastAsia="Calibri" w:hAnsi="Arial" w:cs="Arial"/>
        <w:bCs/>
        <w:sz w:val="18"/>
        <w:szCs w:val="18"/>
      </w:rPr>
      <w:t>NSAIDs</w:t>
    </w:r>
    <w:r w:rsidRPr="00E13304">
      <w:rPr>
        <w:rFonts w:ascii="Arial" w:eastAsia="Calibri" w:hAnsi="Arial" w:cs="Arial"/>
        <w:bCs/>
        <w:sz w:val="18"/>
        <w:szCs w:val="18"/>
      </w:rPr>
      <w:t xml:space="preserve"> – </w:t>
    </w:r>
    <w:bookmarkEnd w:id="10"/>
    <w:r w:rsidRPr="00E13304">
      <w:rPr>
        <w:rFonts w:ascii="Arial" w:eastAsia="Calibri" w:hAnsi="Arial" w:cs="Arial"/>
        <w:bCs/>
        <w:sz w:val="18"/>
        <w:szCs w:val="18"/>
      </w:rPr>
      <w:t>Risk of renal tubular acidosis and hypokalaemia</w:t>
    </w:r>
    <w:bookmarkEnd w:id="9"/>
    <w:r w:rsidR="00505A68" w:rsidRPr="004813D1">
      <w:rPr>
        <w:rFonts w:ascii="Arial" w:hAnsi="Arial" w:cs="Arial"/>
        <w:sz w:val="20"/>
        <w:szCs w:val="20"/>
      </w:rPr>
      <w:tab/>
      <w:t xml:space="preserve"> </w:t>
    </w:r>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4458" w14:textId="77777777" w:rsidR="00FE69E1" w:rsidRDefault="00FE6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70F7A"/>
    <w:multiLevelType w:val="hybridMultilevel"/>
    <w:tmpl w:val="F5C63A5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1B1643B5"/>
    <w:multiLevelType w:val="hybridMultilevel"/>
    <w:tmpl w:val="60E6F37C"/>
    <w:lvl w:ilvl="0" w:tplc="97F876CE">
      <w:start w:val="1"/>
      <w:numFmt w:val="bullet"/>
      <w:lvlText w:val=""/>
      <w:lvlJc w:val="left"/>
      <w:pPr>
        <w:ind w:left="720" w:hanging="360"/>
      </w:pPr>
      <w:rPr>
        <w:rFonts w:ascii="Symbol" w:hAnsi="Symbol" w:hint="default"/>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0C5629F"/>
    <w:multiLevelType w:val="multilevel"/>
    <w:tmpl w:val="848677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621702"/>
    <w:multiLevelType w:val="hybridMultilevel"/>
    <w:tmpl w:val="308EFCCA"/>
    <w:lvl w:ilvl="0" w:tplc="08A86FB0">
      <w:start w:val="16"/>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5" w15:restartNumberingAfterBreak="0">
    <w:nsid w:val="2DF95C1D"/>
    <w:multiLevelType w:val="hybridMultilevel"/>
    <w:tmpl w:val="B9CAF61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3564036A"/>
    <w:multiLevelType w:val="hybridMultilevel"/>
    <w:tmpl w:val="1B4EF02E"/>
    <w:lvl w:ilvl="0" w:tplc="AE080844">
      <w:start w:val="1"/>
      <w:numFmt w:val="bullet"/>
      <w:lvlText w:val=""/>
      <w:lvlJc w:val="left"/>
      <w:pPr>
        <w:ind w:left="360" w:hanging="360"/>
      </w:pPr>
      <w:rPr>
        <w:rFonts w:ascii="Symbol" w:hAnsi="Symbol" w:hint="default"/>
        <w:sz w:val="16"/>
        <w:szCs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1080E25"/>
    <w:multiLevelType w:val="multilevel"/>
    <w:tmpl w:val="B7A0FCC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14772B5"/>
    <w:multiLevelType w:val="multilevel"/>
    <w:tmpl w:val="D89A2384"/>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1AA65DA"/>
    <w:multiLevelType w:val="hybridMultilevel"/>
    <w:tmpl w:val="834EC59A"/>
    <w:lvl w:ilvl="0" w:tplc="2C24BF0E">
      <w:start w:val="1"/>
      <w:numFmt w:val="bullet"/>
      <w:lvlText w:val=""/>
      <w:lvlJc w:val="left"/>
      <w:pPr>
        <w:ind w:left="720" w:hanging="360"/>
      </w:pPr>
      <w:rPr>
        <w:rFonts w:ascii="Symbol" w:hAnsi="Symbol" w:hint="default"/>
        <w:sz w:val="16"/>
        <w:szCs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2B64C3E"/>
    <w:multiLevelType w:val="hybridMultilevel"/>
    <w:tmpl w:val="73D2B4B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5505608B"/>
    <w:multiLevelType w:val="hybridMultilevel"/>
    <w:tmpl w:val="068C9B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A0714F8"/>
    <w:multiLevelType w:val="hybridMultilevel"/>
    <w:tmpl w:val="6A44493C"/>
    <w:lvl w:ilvl="0" w:tplc="171E1C22">
      <w:start w:val="1"/>
      <w:numFmt w:val="bullet"/>
      <w:lvlText w:val=""/>
      <w:lvlJc w:val="left"/>
      <w:pPr>
        <w:ind w:left="360" w:hanging="360"/>
      </w:pPr>
      <w:rPr>
        <w:rFonts w:ascii="Symbol" w:hAnsi="Symbol" w:hint="default"/>
        <w:sz w:val="16"/>
        <w:szCs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640D23EE"/>
    <w:multiLevelType w:val="hybridMultilevel"/>
    <w:tmpl w:val="89B68A34"/>
    <w:lvl w:ilvl="0" w:tplc="84808C14">
      <w:start w:val="1"/>
      <w:numFmt w:val="bullet"/>
      <w:lvlText w:val=""/>
      <w:lvlJc w:val="left"/>
      <w:pPr>
        <w:ind w:left="720" w:hanging="360"/>
      </w:pPr>
      <w:rPr>
        <w:rFonts w:ascii="Symbol" w:hAnsi="Symbol" w:hint="default"/>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42770FD"/>
    <w:multiLevelType w:val="hybridMultilevel"/>
    <w:tmpl w:val="E2E61BD8"/>
    <w:lvl w:ilvl="0" w:tplc="9A7AC128">
      <w:start w:val="1"/>
      <w:numFmt w:val="bullet"/>
      <w:lvlText w:val=""/>
      <w:lvlJc w:val="left"/>
      <w:pPr>
        <w:ind w:left="720" w:hanging="360"/>
      </w:pPr>
      <w:rPr>
        <w:rFonts w:ascii="Symbol" w:hAnsi="Symbol" w:hint="default"/>
        <w:sz w:val="16"/>
        <w:szCs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8D875F1"/>
    <w:multiLevelType w:val="hybridMultilevel"/>
    <w:tmpl w:val="8E9A1894"/>
    <w:lvl w:ilvl="0" w:tplc="644C2B92">
      <w:start w:val="1"/>
      <w:numFmt w:val="bullet"/>
      <w:lvlText w:val=""/>
      <w:lvlJc w:val="left"/>
      <w:pPr>
        <w:tabs>
          <w:tab w:val="num" w:pos="680"/>
        </w:tabs>
        <w:ind w:left="680" w:hanging="340"/>
      </w:pPr>
      <w:rPr>
        <w:rFonts w:ascii="Symbol" w:hAnsi="Symbol" w:hint="default"/>
        <w:sz w:val="16"/>
        <w:szCs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7D5796F"/>
    <w:multiLevelType w:val="hybridMultilevel"/>
    <w:tmpl w:val="E75EA2D2"/>
    <w:lvl w:ilvl="0" w:tplc="C8CCDE46">
      <w:start w:val="1"/>
      <w:numFmt w:val="bullet"/>
      <w:lvlText w:val=""/>
      <w:lvlJc w:val="left"/>
      <w:pPr>
        <w:ind w:left="720" w:hanging="360"/>
      </w:pPr>
      <w:rPr>
        <w:rFonts w:ascii="Symbol" w:hAnsi="Symbol" w:hint="default"/>
        <w:sz w:val="16"/>
        <w:szCs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D242267"/>
    <w:multiLevelType w:val="hybridMultilevel"/>
    <w:tmpl w:val="1250FF04"/>
    <w:lvl w:ilvl="0" w:tplc="F2E82D88">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E6A0A97"/>
    <w:multiLevelType w:val="hybridMultilevel"/>
    <w:tmpl w:val="8D0A465A"/>
    <w:lvl w:ilvl="0" w:tplc="43A44A38">
      <w:start w:val="1"/>
      <w:numFmt w:val="bullet"/>
      <w:lvlText w:val=""/>
      <w:lvlJc w:val="left"/>
      <w:pPr>
        <w:ind w:left="720" w:hanging="360"/>
      </w:pPr>
      <w:rPr>
        <w:rFonts w:ascii="Symbol" w:hAnsi="Symbol" w:hint="default"/>
        <w:sz w:val="16"/>
        <w:szCs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13396314">
    <w:abstractNumId w:val="16"/>
  </w:num>
  <w:num w:numId="2" w16cid:durableId="454831012">
    <w:abstractNumId w:val="3"/>
  </w:num>
  <w:num w:numId="3" w16cid:durableId="678002276">
    <w:abstractNumId w:val="6"/>
  </w:num>
  <w:num w:numId="4" w16cid:durableId="1175799336">
    <w:abstractNumId w:val="19"/>
  </w:num>
  <w:num w:numId="5" w16cid:durableId="1420105197">
    <w:abstractNumId w:val="0"/>
  </w:num>
  <w:num w:numId="6" w16cid:durableId="1987708322">
    <w:abstractNumId w:val="2"/>
  </w:num>
  <w:num w:numId="7" w16cid:durableId="877619806">
    <w:abstractNumId w:val="17"/>
  </w:num>
  <w:num w:numId="8" w16cid:durableId="1171797776">
    <w:abstractNumId w:val="7"/>
  </w:num>
  <w:num w:numId="9" w16cid:durableId="1941058346">
    <w:abstractNumId w:val="20"/>
  </w:num>
  <w:num w:numId="10" w16cid:durableId="429014537">
    <w:abstractNumId w:val="1"/>
  </w:num>
  <w:num w:numId="11" w16cid:durableId="101920287">
    <w:abstractNumId w:val="5"/>
  </w:num>
  <w:num w:numId="12" w16cid:durableId="671224632">
    <w:abstractNumId w:val="13"/>
  </w:num>
  <w:num w:numId="13" w16cid:durableId="2097363856">
    <w:abstractNumId w:val="4"/>
  </w:num>
  <w:num w:numId="14" w16cid:durableId="986712107">
    <w:abstractNumId w:val="9"/>
  </w:num>
  <w:num w:numId="15" w16cid:durableId="1137454082">
    <w:abstractNumId w:val="10"/>
  </w:num>
  <w:num w:numId="16" w16cid:durableId="597448443">
    <w:abstractNumId w:val="12"/>
  </w:num>
  <w:num w:numId="17" w16cid:durableId="725178802">
    <w:abstractNumId w:val="18"/>
  </w:num>
  <w:num w:numId="18" w16cid:durableId="821428670">
    <w:abstractNumId w:val="15"/>
  </w:num>
  <w:num w:numId="19" w16cid:durableId="712920554">
    <w:abstractNumId w:val="14"/>
  </w:num>
  <w:num w:numId="20" w16cid:durableId="226500217">
    <w:abstractNumId w:val="11"/>
  </w:num>
  <w:num w:numId="21" w16cid:durableId="5999184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72"/>
    <w:rsid w:val="00002B57"/>
    <w:rsid w:val="00002CBF"/>
    <w:rsid w:val="00005481"/>
    <w:rsid w:val="00005F50"/>
    <w:rsid w:val="000061BE"/>
    <w:rsid w:val="0001353B"/>
    <w:rsid w:val="00016725"/>
    <w:rsid w:val="000214FA"/>
    <w:rsid w:val="000235BE"/>
    <w:rsid w:val="00024340"/>
    <w:rsid w:val="0002493C"/>
    <w:rsid w:val="00024AA7"/>
    <w:rsid w:val="000303D4"/>
    <w:rsid w:val="00036288"/>
    <w:rsid w:val="000367DF"/>
    <w:rsid w:val="00043394"/>
    <w:rsid w:val="0004578C"/>
    <w:rsid w:val="000469D4"/>
    <w:rsid w:val="000470CB"/>
    <w:rsid w:val="000519E3"/>
    <w:rsid w:val="00052771"/>
    <w:rsid w:val="00053B9E"/>
    <w:rsid w:val="00053D25"/>
    <w:rsid w:val="00057914"/>
    <w:rsid w:val="00057B44"/>
    <w:rsid w:val="00057FD1"/>
    <w:rsid w:val="00062CB2"/>
    <w:rsid w:val="0006414B"/>
    <w:rsid w:val="000675C5"/>
    <w:rsid w:val="0007021C"/>
    <w:rsid w:val="000703D8"/>
    <w:rsid w:val="0007079B"/>
    <w:rsid w:val="00071FD1"/>
    <w:rsid w:val="00074523"/>
    <w:rsid w:val="00074FEE"/>
    <w:rsid w:val="00077434"/>
    <w:rsid w:val="00077A15"/>
    <w:rsid w:val="000803F8"/>
    <w:rsid w:val="00081441"/>
    <w:rsid w:val="00082179"/>
    <w:rsid w:val="00083992"/>
    <w:rsid w:val="0009033A"/>
    <w:rsid w:val="000948ED"/>
    <w:rsid w:val="000A154C"/>
    <w:rsid w:val="000A2621"/>
    <w:rsid w:val="000A50C3"/>
    <w:rsid w:val="000A5EFF"/>
    <w:rsid w:val="000B0582"/>
    <w:rsid w:val="000B163B"/>
    <w:rsid w:val="000B1839"/>
    <w:rsid w:val="000B2C0C"/>
    <w:rsid w:val="000B2FC9"/>
    <w:rsid w:val="000B2FF2"/>
    <w:rsid w:val="000B57AE"/>
    <w:rsid w:val="000B61E8"/>
    <w:rsid w:val="000B75C2"/>
    <w:rsid w:val="000C311B"/>
    <w:rsid w:val="000C326D"/>
    <w:rsid w:val="000C3530"/>
    <w:rsid w:val="000C406D"/>
    <w:rsid w:val="000C4A2C"/>
    <w:rsid w:val="000C4BBB"/>
    <w:rsid w:val="000C4E1F"/>
    <w:rsid w:val="000C5101"/>
    <w:rsid w:val="000C516E"/>
    <w:rsid w:val="000C54F9"/>
    <w:rsid w:val="000C564A"/>
    <w:rsid w:val="000D5579"/>
    <w:rsid w:val="000D610C"/>
    <w:rsid w:val="000D6934"/>
    <w:rsid w:val="000D6D06"/>
    <w:rsid w:val="000D7F4C"/>
    <w:rsid w:val="000E1682"/>
    <w:rsid w:val="000E1762"/>
    <w:rsid w:val="000E253C"/>
    <w:rsid w:val="000E2E93"/>
    <w:rsid w:val="000E3972"/>
    <w:rsid w:val="000E6D16"/>
    <w:rsid w:val="000F01C6"/>
    <w:rsid w:val="000F25C6"/>
    <w:rsid w:val="000F26AF"/>
    <w:rsid w:val="000F298C"/>
    <w:rsid w:val="000F481F"/>
    <w:rsid w:val="000F6189"/>
    <w:rsid w:val="000F7E75"/>
    <w:rsid w:val="00101426"/>
    <w:rsid w:val="0010156A"/>
    <w:rsid w:val="00101768"/>
    <w:rsid w:val="001017D5"/>
    <w:rsid w:val="00102E84"/>
    <w:rsid w:val="0010313E"/>
    <w:rsid w:val="001052A9"/>
    <w:rsid w:val="001103D5"/>
    <w:rsid w:val="00112B35"/>
    <w:rsid w:val="001145C6"/>
    <w:rsid w:val="00116E40"/>
    <w:rsid w:val="00123B80"/>
    <w:rsid w:val="00126662"/>
    <w:rsid w:val="00127645"/>
    <w:rsid w:val="00135009"/>
    <w:rsid w:val="00140720"/>
    <w:rsid w:val="00144A40"/>
    <w:rsid w:val="00147AD2"/>
    <w:rsid w:val="001507D0"/>
    <w:rsid w:val="00152C87"/>
    <w:rsid w:val="001539BE"/>
    <w:rsid w:val="001539CE"/>
    <w:rsid w:val="00160A86"/>
    <w:rsid w:val="00170CBA"/>
    <w:rsid w:val="0017110D"/>
    <w:rsid w:val="001740C4"/>
    <w:rsid w:val="00176454"/>
    <w:rsid w:val="00177978"/>
    <w:rsid w:val="00181C72"/>
    <w:rsid w:val="0018625F"/>
    <w:rsid w:val="0018789E"/>
    <w:rsid w:val="00187989"/>
    <w:rsid w:val="00190F80"/>
    <w:rsid w:val="0019283A"/>
    <w:rsid w:val="00196B5C"/>
    <w:rsid w:val="001A20C3"/>
    <w:rsid w:val="001A33A8"/>
    <w:rsid w:val="001A7F79"/>
    <w:rsid w:val="001B4829"/>
    <w:rsid w:val="001B656A"/>
    <w:rsid w:val="001C02ED"/>
    <w:rsid w:val="001C1F28"/>
    <w:rsid w:val="001C4F69"/>
    <w:rsid w:val="001C54E7"/>
    <w:rsid w:val="001C593E"/>
    <w:rsid w:val="001C64BA"/>
    <w:rsid w:val="001C6AB9"/>
    <w:rsid w:val="001D0EEB"/>
    <w:rsid w:val="001D6F54"/>
    <w:rsid w:val="001E0799"/>
    <w:rsid w:val="001E2DD7"/>
    <w:rsid w:val="001E431D"/>
    <w:rsid w:val="001F11E0"/>
    <w:rsid w:val="001F6D7A"/>
    <w:rsid w:val="001F7325"/>
    <w:rsid w:val="001F7C7E"/>
    <w:rsid w:val="002007B7"/>
    <w:rsid w:val="00200D61"/>
    <w:rsid w:val="00201666"/>
    <w:rsid w:val="0020274D"/>
    <w:rsid w:val="00204C13"/>
    <w:rsid w:val="00205808"/>
    <w:rsid w:val="002062B5"/>
    <w:rsid w:val="00206712"/>
    <w:rsid w:val="00212D32"/>
    <w:rsid w:val="00212FD1"/>
    <w:rsid w:val="00213417"/>
    <w:rsid w:val="0021361C"/>
    <w:rsid w:val="002143D0"/>
    <w:rsid w:val="002145C9"/>
    <w:rsid w:val="00214825"/>
    <w:rsid w:val="00216BA6"/>
    <w:rsid w:val="00217D38"/>
    <w:rsid w:val="00221614"/>
    <w:rsid w:val="00224A95"/>
    <w:rsid w:val="00225B92"/>
    <w:rsid w:val="00227C04"/>
    <w:rsid w:val="002303AB"/>
    <w:rsid w:val="00231C2D"/>
    <w:rsid w:val="00234D42"/>
    <w:rsid w:val="00235A3F"/>
    <w:rsid w:val="002366D1"/>
    <w:rsid w:val="00237793"/>
    <w:rsid w:val="002379AD"/>
    <w:rsid w:val="00241D6B"/>
    <w:rsid w:val="00242100"/>
    <w:rsid w:val="002436B9"/>
    <w:rsid w:val="00244653"/>
    <w:rsid w:val="0025020A"/>
    <w:rsid w:val="00252CCA"/>
    <w:rsid w:val="00253C13"/>
    <w:rsid w:val="00257FA0"/>
    <w:rsid w:val="00260716"/>
    <w:rsid w:val="002616B6"/>
    <w:rsid w:val="0026275F"/>
    <w:rsid w:val="0026327C"/>
    <w:rsid w:val="00263DFB"/>
    <w:rsid w:val="0026734C"/>
    <w:rsid w:val="00267C11"/>
    <w:rsid w:val="00270AD8"/>
    <w:rsid w:val="002720EB"/>
    <w:rsid w:val="00276535"/>
    <w:rsid w:val="00280190"/>
    <w:rsid w:val="00280BE0"/>
    <w:rsid w:val="002822DA"/>
    <w:rsid w:val="00284177"/>
    <w:rsid w:val="00285C57"/>
    <w:rsid w:val="00287DC4"/>
    <w:rsid w:val="002909DC"/>
    <w:rsid w:val="00290C50"/>
    <w:rsid w:val="002918F3"/>
    <w:rsid w:val="00294D07"/>
    <w:rsid w:val="002A2C07"/>
    <w:rsid w:val="002A3386"/>
    <w:rsid w:val="002A6306"/>
    <w:rsid w:val="002A648F"/>
    <w:rsid w:val="002B18F1"/>
    <w:rsid w:val="002B433C"/>
    <w:rsid w:val="002B5F38"/>
    <w:rsid w:val="002B6463"/>
    <w:rsid w:val="002B6AFC"/>
    <w:rsid w:val="002B7C9B"/>
    <w:rsid w:val="002C342A"/>
    <w:rsid w:val="002C37CD"/>
    <w:rsid w:val="002C5B8A"/>
    <w:rsid w:val="002C670E"/>
    <w:rsid w:val="002D235A"/>
    <w:rsid w:val="002D23C8"/>
    <w:rsid w:val="002D2B73"/>
    <w:rsid w:val="002D6B9B"/>
    <w:rsid w:val="002E2B34"/>
    <w:rsid w:val="002E45CF"/>
    <w:rsid w:val="002E4B47"/>
    <w:rsid w:val="002E4CC9"/>
    <w:rsid w:val="002F4A31"/>
    <w:rsid w:val="002F56EE"/>
    <w:rsid w:val="002F5DB6"/>
    <w:rsid w:val="002F6F36"/>
    <w:rsid w:val="00300AD8"/>
    <w:rsid w:val="003048DB"/>
    <w:rsid w:val="003066AA"/>
    <w:rsid w:val="00311799"/>
    <w:rsid w:val="003162C7"/>
    <w:rsid w:val="003166AA"/>
    <w:rsid w:val="00321B4F"/>
    <w:rsid w:val="003231B4"/>
    <w:rsid w:val="00324AC5"/>
    <w:rsid w:val="003252D5"/>
    <w:rsid w:val="00326335"/>
    <w:rsid w:val="00326633"/>
    <w:rsid w:val="00330CC9"/>
    <w:rsid w:val="00333BA2"/>
    <w:rsid w:val="00334FF2"/>
    <w:rsid w:val="00336AE3"/>
    <w:rsid w:val="003372E1"/>
    <w:rsid w:val="0035023E"/>
    <w:rsid w:val="00350303"/>
    <w:rsid w:val="00350641"/>
    <w:rsid w:val="00352961"/>
    <w:rsid w:val="0035434A"/>
    <w:rsid w:val="00354876"/>
    <w:rsid w:val="00355BD3"/>
    <w:rsid w:val="00362A46"/>
    <w:rsid w:val="0036615B"/>
    <w:rsid w:val="00371154"/>
    <w:rsid w:val="00371338"/>
    <w:rsid w:val="00371542"/>
    <w:rsid w:val="00372664"/>
    <w:rsid w:val="00372FD9"/>
    <w:rsid w:val="00373620"/>
    <w:rsid w:val="00373F80"/>
    <w:rsid w:val="00376ABB"/>
    <w:rsid w:val="00377983"/>
    <w:rsid w:val="00380BDB"/>
    <w:rsid w:val="00381B10"/>
    <w:rsid w:val="003876E6"/>
    <w:rsid w:val="0039050C"/>
    <w:rsid w:val="00390907"/>
    <w:rsid w:val="0039186B"/>
    <w:rsid w:val="0039406C"/>
    <w:rsid w:val="003944C8"/>
    <w:rsid w:val="003A0F01"/>
    <w:rsid w:val="003A7092"/>
    <w:rsid w:val="003A7224"/>
    <w:rsid w:val="003A76A4"/>
    <w:rsid w:val="003A7D8D"/>
    <w:rsid w:val="003B0340"/>
    <w:rsid w:val="003B193D"/>
    <w:rsid w:val="003B3B5D"/>
    <w:rsid w:val="003B3E4A"/>
    <w:rsid w:val="003B6926"/>
    <w:rsid w:val="003B76A2"/>
    <w:rsid w:val="003C00F6"/>
    <w:rsid w:val="003C0E5A"/>
    <w:rsid w:val="003C3A9D"/>
    <w:rsid w:val="003C6D92"/>
    <w:rsid w:val="003D1C96"/>
    <w:rsid w:val="003D1D78"/>
    <w:rsid w:val="003D2841"/>
    <w:rsid w:val="003D3F19"/>
    <w:rsid w:val="003D65D0"/>
    <w:rsid w:val="003D694F"/>
    <w:rsid w:val="003E25C7"/>
    <w:rsid w:val="003E387B"/>
    <w:rsid w:val="003E582B"/>
    <w:rsid w:val="003E6572"/>
    <w:rsid w:val="003E66FD"/>
    <w:rsid w:val="003E6975"/>
    <w:rsid w:val="003F17DC"/>
    <w:rsid w:val="003F383A"/>
    <w:rsid w:val="00400353"/>
    <w:rsid w:val="00402128"/>
    <w:rsid w:val="00404BD8"/>
    <w:rsid w:val="00404F24"/>
    <w:rsid w:val="00405274"/>
    <w:rsid w:val="004052F7"/>
    <w:rsid w:val="004059AB"/>
    <w:rsid w:val="00407682"/>
    <w:rsid w:val="00410481"/>
    <w:rsid w:val="0041489F"/>
    <w:rsid w:val="004152F6"/>
    <w:rsid w:val="004160F9"/>
    <w:rsid w:val="00416C51"/>
    <w:rsid w:val="004174A6"/>
    <w:rsid w:val="00417A88"/>
    <w:rsid w:val="004205D3"/>
    <w:rsid w:val="004208E3"/>
    <w:rsid w:val="00424B53"/>
    <w:rsid w:val="00425E7F"/>
    <w:rsid w:val="00427D09"/>
    <w:rsid w:val="00427D30"/>
    <w:rsid w:val="00427E01"/>
    <w:rsid w:val="004324D9"/>
    <w:rsid w:val="0043592B"/>
    <w:rsid w:val="004419C1"/>
    <w:rsid w:val="004424DA"/>
    <w:rsid w:val="0044665F"/>
    <w:rsid w:val="00447AE2"/>
    <w:rsid w:val="00447EA9"/>
    <w:rsid w:val="00450514"/>
    <w:rsid w:val="0045100E"/>
    <w:rsid w:val="004510D2"/>
    <w:rsid w:val="004517E3"/>
    <w:rsid w:val="0045239C"/>
    <w:rsid w:val="004544D4"/>
    <w:rsid w:val="00454CB0"/>
    <w:rsid w:val="00460D23"/>
    <w:rsid w:val="00463E51"/>
    <w:rsid w:val="004661AD"/>
    <w:rsid w:val="00466F15"/>
    <w:rsid w:val="00470876"/>
    <w:rsid w:val="00471144"/>
    <w:rsid w:val="0047698E"/>
    <w:rsid w:val="00476AA6"/>
    <w:rsid w:val="0047731A"/>
    <w:rsid w:val="004774CD"/>
    <w:rsid w:val="0048067C"/>
    <w:rsid w:val="004813D1"/>
    <w:rsid w:val="00481EF3"/>
    <w:rsid w:val="00482FEE"/>
    <w:rsid w:val="00490EEB"/>
    <w:rsid w:val="00492761"/>
    <w:rsid w:val="004A056E"/>
    <w:rsid w:val="004A0BE2"/>
    <w:rsid w:val="004A3606"/>
    <w:rsid w:val="004A4614"/>
    <w:rsid w:val="004A5B4E"/>
    <w:rsid w:val="004B4895"/>
    <w:rsid w:val="004B5172"/>
    <w:rsid w:val="004B59C8"/>
    <w:rsid w:val="004B6715"/>
    <w:rsid w:val="004C02D3"/>
    <w:rsid w:val="004C3C10"/>
    <w:rsid w:val="004C4F81"/>
    <w:rsid w:val="004D0823"/>
    <w:rsid w:val="004D0844"/>
    <w:rsid w:val="004D153E"/>
    <w:rsid w:val="004D576B"/>
    <w:rsid w:val="004E233C"/>
    <w:rsid w:val="004E77F8"/>
    <w:rsid w:val="004F04B8"/>
    <w:rsid w:val="004F0C53"/>
    <w:rsid w:val="004F0D99"/>
    <w:rsid w:val="004F1E92"/>
    <w:rsid w:val="004F30D3"/>
    <w:rsid w:val="004F6D78"/>
    <w:rsid w:val="004F7671"/>
    <w:rsid w:val="004F7D2C"/>
    <w:rsid w:val="005007B9"/>
    <w:rsid w:val="005048AF"/>
    <w:rsid w:val="0050524D"/>
    <w:rsid w:val="0050550C"/>
    <w:rsid w:val="00505A68"/>
    <w:rsid w:val="0050709C"/>
    <w:rsid w:val="0051068C"/>
    <w:rsid w:val="00511C55"/>
    <w:rsid w:val="00513113"/>
    <w:rsid w:val="00513C7C"/>
    <w:rsid w:val="00514DAD"/>
    <w:rsid w:val="00515EE9"/>
    <w:rsid w:val="005161C5"/>
    <w:rsid w:val="00516EED"/>
    <w:rsid w:val="005177AA"/>
    <w:rsid w:val="005228F6"/>
    <w:rsid w:val="00522B88"/>
    <w:rsid w:val="00526B6E"/>
    <w:rsid w:val="005310C9"/>
    <w:rsid w:val="0053227C"/>
    <w:rsid w:val="0053238A"/>
    <w:rsid w:val="0053314D"/>
    <w:rsid w:val="00533C46"/>
    <w:rsid w:val="005354FF"/>
    <w:rsid w:val="00535BB5"/>
    <w:rsid w:val="00536C35"/>
    <w:rsid w:val="00540972"/>
    <w:rsid w:val="00542783"/>
    <w:rsid w:val="00553AC2"/>
    <w:rsid w:val="00560B4E"/>
    <w:rsid w:val="00564F12"/>
    <w:rsid w:val="00565765"/>
    <w:rsid w:val="00566A29"/>
    <w:rsid w:val="005677FB"/>
    <w:rsid w:val="0057031C"/>
    <w:rsid w:val="005713DB"/>
    <w:rsid w:val="0057283E"/>
    <w:rsid w:val="00572FDA"/>
    <w:rsid w:val="005734B0"/>
    <w:rsid w:val="00574020"/>
    <w:rsid w:val="005742B8"/>
    <w:rsid w:val="00574772"/>
    <w:rsid w:val="005769B9"/>
    <w:rsid w:val="005828C6"/>
    <w:rsid w:val="00586E2D"/>
    <w:rsid w:val="005873F5"/>
    <w:rsid w:val="005909A6"/>
    <w:rsid w:val="00590CB6"/>
    <w:rsid w:val="00593EEC"/>
    <w:rsid w:val="00596381"/>
    <w:rsid w:val="00596DDD"/>
    <w:rsid w:val="005977BE"/>
    <w:rsid w:val="005979B9"/>
    <w:rsid w:val="005A22E0"/>
    <w:rsid w:val="005A3373"/>
    <w:rsid w:val="005A7566"/>
    <w:rsid w:val="005B76CC"/>
    <w:rsid w:val="005C25A7"/>
    <w:rsid w:val="005C2888"/>
    <w:rsid w:val="005C433D"/>
    <w:rsid w:val="005C6693"/>
    <w:rsid w:val="005D0FB7"/>
    <w:rsid w:val="005D27A4"/>
    <w:rsid w:val="005D70A2"/>
    <w:rsid w:val="005E0541"/>
    <w:rsid w:val="005E26DE"/>
    <w:rsid w:val="005E5CDE"/>
    <w:rsid w:val="005E70B1"/>
    <w:rsid w:val="005F0139"/>
    <w:rsid w:val="005F03B1"/>
    <w:rsid w:val="005F4A96"/>
    <w:rsid w:val="005F5304"/>
    <w:rsid w:val="005F6701"/>
    <w:rsid w:val="005F79F3"/>
    <w:rsid w:val="005F7F2D"/>
    <w:rsid w:val="00601509"/>
    <w:rsid w:val="00601EB2"/>
    <w:rsid w:val="00602005"/>
    <w:rsid w:val="00602A0D"/>
    <w:rsid w:val="006040EF"/>
    <w:rsid w:val="0060785B"/>
    <w:rsid w:val="00610576"/>
    <w:rsid w:val="00611AC1"/>
    <w:rsid w:val="006155F1"/>
    <w:rsid w:val="00615D27"/>
    <w:rsid w:val="00616438"/>
    <w:rsid w:val="0062248D"/>
    <w:rsid w:val="00624057"/>
    <w:rsid w:val="006248BA"/>
    <w:rsid w:val="0062739A"/>
    <w:rsid w:val="00631A9B"/>
    <w:rsid w:val="006343FB"/>
    <w:rsid w:val="00635BCA"/>
    <w:rsid w:val="00635C7E"/>
    <w:rsid w:val="0064004C"/>
    <w:rsid w:val="00640A9A"/>
    <w:rsid w:val="00642092"/>
    <w:rsid w:val="00644D7A"/>
    <w:rsid w:val="00651815"/>
    <w:rsid w:val="006520C4"/>
    <w:rsid w:val="00654874"/>
    <w:rsid w:val="00656BC7"/>
    <w:rsid w:val="00660D6B"/>
    <w:rsid w:val="00663351"/>
    <w:rsid w:val="00664D90"/>
    <w:rsid w:val="00666EA4"/>
    <w:rsid w:val="0067139E"/>
    <w:rsid w:val="00674C9A"/>
    <w:rsid w:val="00676811"/>
    <w:rsid w:val="006773C7"/>
    <w:rsid w:val="006816D3"/>
    <w:rsid w:val="0068173E"/>
    <w:rsid w:val="006817A5"/>
    <w:rsid w:val="006864FB"/>
    <w:rsid w:val="00691491"/>
    <w:rsid w:val="00692DBF"/>
    <w:rsid w:val="00693477"/>
    <w:rsid w:val="00694955"/>
    <w:rsid w:val="006A0015"/>
    <w:rsid w:val="006A02BD"/>
    <w:rsid w:val="006A14AB"/>
    <w:rsid w:val="006A212C"/>
    <w:rsid w:val="006A22D2"/>
    <w:rsid w:val="006A4568"/>
    <w:rsid w:val="006A488E"/>
    <w:rsid w:val="006A5F30"/>
    <w:rsid w:val="006A7C2D"/>
    <w:rsid w:val="006B185E"/>
    <w:rsid w:val="006B4DF5"/>
    <w:rsid w:val="006B54E8"/>
    <w:rsid w:val="006C0114"/>
    <w:rsid w:val="006C3E59"/>
    <w:rsid w:val="006C4B77"/>
    <w:rsid w:val="006D0ADB"/>
    <w:rsid w:val="006D11C6"/>
    <w:rsid w:val="006D1C77"/>
    <w:rsid w:val="006D1F4E"/>
    <w:rsid w:val="006D2F97"/>
    <w:rsid w:val="006D404D"/>
    <w:rsid w:val="006D5C1D"/>
    <w:rsid w:val="006E0B28"/>
    <w:rsid w:val="006E0E6E"/>
    <w:rsid w:val="006E735F"/>
    <w:rsid w:val="006F0930"/>
    <w:rsid w:val="006F2205"/>
    <w:rsid w:val="00700E52"/>
    <w:rsid w:val="00701768"/>
    <w:rsid w:val="00701B6F"/>
    <w:rsid w:val="00703F7B"/>
    <w:rsid w:val="00706609"/>
    <w:rsid w:val="00707B13"/>
    <w:rsid w:val="007203F2"/>
    <w:rsid w:val="00720D81"/>
    <w:rsid w:val="00721F59"/>
    <w:rsid w:val="00721FA3"/>
    <w:rsid w:val="00722189"/>
    <w:rsid w:val="00722743"/>
    <w:rsid w:val="007227BF"/>
    <w:rsid w:val="00722D1C"/>
    <w:rsid w:val="0072385A"/>
    <w:rsid w:val="00725E10"/>
    <w:rsid w:val="00727F0C"/>
    <w:rsid w:val="0073117D"/>
    <w:rsid w:val="00736D67"/>
    <w:rsid w:val="00740925"/>
    <w:rsid w:val="00740E25"/>
    <w:rsid w:val="00741010"/>
    <w:rsid w:val="007441FB"/>
    <w:rsid w:val="00752A3B"/>
    <w:rsid w:val="00752F39"/>
    <w:rsid w:val="0075317F"/>
    <w:rsid w:val="00753C7B"/>
    <w:rsid w:val="00755C3C"/>
    <w:rsid w:val="00756E97"/>
    <w:rsid w:val="00757383"/>
    <w:rsid w:val="00761A57"/>
    <w:rsid w:val="0076443F"/>
    <w:rsid w:val="0076536A"/>
    <w:rsid w:val="00767236"/>
    <w:rsid w:val="00771F58"/>
    <w:rsid w:val="00777490"/>
    <w:rsid w:val="007777F5"/>
    <w:rsid w:val="00777B32"/>
    <w:rsid w:val="00783351"/>
    <w:rsid w:val="007836BB"/>
    <w:rsid w:val="0078679F"/>
    <w:rsid w:val="00786EF8"/>
    <w:rsid w:val="0078708B"/>
    <w:rsid w:val="007916D4"/>
    <w:rsid w:val="007922DE"/>
    <w:rsid w:val="00793293"/>
    <w:rsid w:val="00797D68"/>
    <w:rsid w:val="00797DBC"/>
    <w:rsid w:val="007A47DF"/>
    <w:rsid w:val="007B19C5"/>
    <w:rsid w:val="007B2BA1"/>
    <w:rsid w:val="007B4324"/>
    <w:rsid w:val="007B6AAE"/>
    <w:rsid w:val="007B6F39"/>
    <w:rsid w:val="007B6FBC"/>
    <w:rsid w:val="007B71D5"/>
    <w:rsid w:val="007C11CF"/>
    <w:rsid w:val="007C1ACC"/>
    <w:rsid w:val="007C320D"/>
    <w:rsid w:val="007C3B7C"/>
    <w:rsid w:val="007C5813"/>
    <w:rsid w:val="007C6BB5"/>
    <w:rsid w:val="007C6BED"/>
    <w:rsid w:val="007C7442"/>
    <w:rsid w:val="007C7556"/>
    <w:rsid w:val="007D09B9"/>
    <w:rsid w:val="007D27BB"/>
    <w:rsid w:val="007D6C28"/>
    <w:rsid w:val="007E0B7F"/>
    <w:rsid w:val="007E1FF7"/>
    <w:rsid w:val="007E47FC"/>
    <w:rsid w:val="007E5188"/>
    <w:rsid w:val="007E52FD"/>
    <w:rsid w:val="007E5837"/>
    <w:rsid w:val="007E691C"/>
    <w:rsid w:val="007F0B97"/>
    <w:rsid w:val="007F36C7"/>
    <w:rsid w:val="007F4716"/>
    <w:rsid w:val="007F482D"/>
    <w:rsid w:val="007F64F5"/>
    <w:rsid w:val="00800A81"/>
    <w:rsid w:val="00805E6D"/>
    <w:rsid w:val="00807D13"/>
    <w:rsid w:val="008136EA"/>
    <w:rsid w:val="00813AF2"/>
    <w:rsid w:val="00817198"/>
    <w:rsid w:val="0082079C"/>
    <w:rsid w:val="008210DD"/>
    <w:rsid w:val="008269D5"/>
    <w:rsid w:val="0082734F"/>
    <w:rsid w:val="008274A5"/>
    <w:rsid w:val="008336C8"/>
    <w:rsid w:val="00833A82"/>
    <w:rsid w:val="008412FF"/>
    <w:rsid w:val="00841B31"/>
    <w:rsid w:val="008430E3"/>
    <w:rsid w:val="00843B16"/>
    <w:rsid w:val="00843D32"/>
    <w:rsid w:val="00844098"/>
    <w:rsid w:val="00850E03"/>
    <w:rsid w:val="0085212E"/>
    <w:rsid w:val="00852ABF"/>
    <w:rsid w:val="008543C2"/>
    <w:rsid w:val="008562F2"/>
    <w:rsid w:val="00856729"/>
    <w:rsid w:val="00856BDD"/>
    <w:rsid w:val="00857E54"/>
    <w:rsid w:val="0086007B"/>
    <w:rsid w:val="008625B8"/>
    <w:rsid w:val="008666BE"/>
    <w:rsid w:val="008679CA"/>
    <w:rsid w:val="00870772"/>
    <w:rsid w:val="00870AF9"/>
    <w:rsid w:val="00875369"/>
    <w:rsid w:val="0087714B"/>
    <w:rsid w:val="00877776"/>
    <w:rsid w:val="008809B0"/>
    <w:rsid w:val="008815E0"/>
    <w:rsid w:val="00882124"/>
    <w:rsid w:val="008822E8"/>
    <w:rsid w:val="00884151"/>
    <w:rsid w:val="00887129"/>
    <w:rsid w:val="0089076E"/>
    <w:rsid w:val="008932BA"/>
    <w:rsid w:val="0089772B"/>
    <w:rsid w:val="008A09F0"/>
    <w:rsid w:val="008A3045"/>
    <w:rsid w:val="008A5C90"/>
    <w:rsid w:val="008A648C"/>
    <w:rsid w:val="008A6FE3"/>
    <w:rsid w:val="008A7696"/>
    <w:rsid w:val="008B0D9E"/>
    <w:rsid w:val="008B2E04"/>
    <w:rsid w:val="008B3D52"/>
    <w:rsid w:val="008B56DE"/>
    <w:rsid w:val="008B672A"/>
    <w:rsid w:val="008B79CC"/>
    <w:rsid w:val="008B7A61"/>
    <w:rsid w:val="008B7C8F"/>
    <w:rsid w:val="008C0E15"/>
    <w:rsid w:val="008C23C1"/>
    <w:rsid w:val="008C47CD"/>
    <w:rsid w:val="008C6ED2"/>
    <w:rsid w:val="008C7DDD"/>
    <w:rsid w:val="008D08E7"/>
    <w:rsid w:val="008D3CCB"/>
    <w:rsid w:val="008D3D72"/>
    <w:rsid w:val="008D3EA2"/>
    <w:rsid w:val="008D46CD"/>
    <w:rsid w:val="008D476E"/>
    <w:rsid w:val="008D5A4E"/>
    <w:rsid w:val="008D6039"/>
    <w:rsid w:val="008D61D3"/>
    <w:rsid w:val="008D6A69"/>
    <w:rsid w:val="008E16E2"/>
    <w:rsid w:val="008E2890"/>
    <w:rsid w:val="008E3C4A"/>
    <w:rsid w:val="008E3E35"/>
    <w:rsid w:val="008F07D6"/>
    <w:rsid w:val="008F35F8"/>
    <w:rsid w:val="008F707D"/>
    <w:rsid w:val="009000B1"/>
    <w:rsid w:val="009006D2"/>
    <w:rsid w:val="00902157"/>
    <w:rsid w:val="00902ADA"/>
    <w:rsid w:val="00903C0D"/>
    <w:rsid w:val="00903C90"/>
    <w:rsid w:val="0090550C"/>
    <w:rsid w:val="00905D30"/>
    <w:rsid w:val="00907702"/>
    <w:rsid w:val="00912D41"/>
    <w:rsid w:val="00915C76"/>
    <w:rsid w:val="00916479"/>
    <w:rsid w:val="00916720"/>
    <w:rsid w:val="009170A9"/>
    <w:rsid w:val="00922331"/>
    <w:rsid w:val="009241C0"/>
    <w:rsid w:val="009268F6"/>
    <w:rsid w:val="00926992"/>
    <w:rsid w:val="009278B7"/>
    <w:rsid w:val="00931DF0"/>
    <w:rsid w:val="00932412"/>
    <w:rsid w:val="00936FF2"/>
    <w:rsid w:val="00943389"/>
    <w:rsid w:val="00943E78"/>
    <w:rsid w:val="00944B69"/>
    <w:rsid w:val="00945003"/>
    <w:rsid w:val="00946956"/>
    <w:rsid w:val="009526D3"/>
    <w:rsid w:val="00953F01"/>
    <w:rsid w:val="00955E63"/>
    <w:rsid w:val="00957D77"/>
    <w:rsid w:val="009606A3"/>
    <w:rsid w:val="00960757"/>
    <w:rsid w:val="00965756"/>
    <w:rsid w:val="00965D97"/>
    <w:rsid w:val="009669E3"/>
    <w:rsid w:val="00972687"/>
    <w:rsid w:val="00972A4E"/>
    <w:rsid w:val="00972D4B"/>
    <w:rsid w:val="00976798"/>
    <w:rsid w:val="0098102B"/>
    <w:rsid w:val="00984111"/>
    <w:rsid w:val="00984119"/>
    <w:rsid w:val="00984E65"/>
    <w:rsid w:val="00986344"/>
    <w:rsid w:val="00987B48"/>
    <w:rsid w:val="0099053F"/>
    <w:rsid w:val="0099095D"/>
    <w:rsid w:val="00991E87"/>
    <w:rsid w:val="00994D72"/>
    <w:rsid w:val="0099580B"/>
    <w:rsid w:val="009970F4"/>
    <w:rsid w:val="00997D4A"/>
    <w:rsid w:val="009A10BE"/>
    <w:rsid w:val="009A1B61"/>
    <w:rsid w:val="009A1FA8"/>
    <w:rsid w:val="009A2571"/>
    <w:rsid w:val="009A7993"/>
    <w:rsid w:val="009A7C26"/>
    <w:rsid w:val="009B3DC6"/>
    <w:rsid w:val="009B42F9"/>
    <w:rsid w:val="009B4947"/>
    <w:rsid w:val="009B6625"/>
    <w:rsid w:val="009C06C3"/>
    <w:rsid w:val="009C48FD"/>
    <w:rsid w:val="009C5742"/>
    <w:rsid w:val="009C6544"/>
    <w:rsid w:val="009C6F9C"/>
    <w:rsid w:val="009C7503"/>
    <w:rsid w:val="009D2D01"/>
    <w:rsid w:val="009D4415"/>
    <w:rsid w:val="009D58DE"/>
    <w:rsid w:val="009E167C"/>
    <w:rsid w:val="009E266A"/>
    <w:rsid w:val="009E54B2"/>
    <w:rsid w:val="009E671B"/>
    <w:rsid w:val="009F0878"/>
    <w:rsid w:val="009F1EB6"/>
    <w:rsid w:val="009F6DBE"/>
    <w:rsid w:val="00A00983"/>
    <w:rsid w:val="00A055BC"/>
    <w:rsid w:val="00A0647B"/>
    <w:rsid w:val="00A071C2"/>
    <w:rsid w:val="00A07B68"/>
    <w:rsid w:val="00A10BBB"/>
    <w:rsid w:val="00A14D54"/>
    <w:rsid w:val="00A20FF8"/>
    <w:rsid w:val="00A21C38"/>
    <w:rsid w:val="00A220F6"/>
    <w:rsid w:val="00A232FF"/>
    <w:rsid w:val="00A36B4C"/>
    <w:rsid w:val="00A379C2"/>
    <w:rsid w:val="00A41303"/>
    <w:rsid w:val="00A4159D"/>
    <w:rsid w:val="00A422C5"/>
    <w:rsid w:val="00A441CF"/>
    <w:rsid w:val="00A451FC"/>
    <w:rsid w:val="00A45DAE"/>
    <w:rsid w:val="00A50502"/>
    <w:rsid w:val="00A510B8"/>
    <w:rsid w:val="00A51DEB"/>
    <w:rsid w:val="00A53D03"/>
    <w:rsid w:val="00A554AC"/>
    <w:rsid w:val="00A560AC"/>
    <w:rsid w:val="00A608D6"/>
    <w:rsid w:val="00A60D54"/>
    <w:rsid w:val="00A6126F"/>
    <w:rsid w:val="00A6398B"/>
    <w:rsid w:val="00A63BA5"/>
    <w:rsid w:val="00A65071"/>
    <w:rsid w:val="00A67023"/>
    <w:rsid w:val="00A67708"/>
    <w:rsid w:val="00A7120F"/>
    <w:rsid w:val="00A7280C"/>
    <w:rsid w:val="00A74D1C"/>
    <w:rsid w:val="00A7584C"/>
    <w:rsid w:val="00A772CE"/>
    <w:rsid w:val="00A77AD8"/>
    <w:rsid w:val="00A82A01"/>
    <w:rsid w:val="00A83297"/>
    <w:rsid w:val="00A833AC"/>
    <w:rsid w:val="00A83A53"/>
    <w:rsid w:val="00A84B90"/>
    <w:rsid w:val="00A85B6E"/>
    <w:rsid w:val="00A87256"/>
    <w:rsid w:val="00A90276"/>
    <w:rsid w:val="00A941B5"/>
    <w:rsid w:val="00A94C91"/>
    <w:rsid w:val="00AA000E"/>
    <w:rsid w:val="00AA354A"/>
    <w:rsid w:val="00AA3DF1"/>
    <w:rsid w:val="00AA5DD5"/>
    <w:rsid w:val="00AA5DFB"/>
    <w:rsid w:val="00AA6627"/>
    <w:rsid w:val="00AB0A65"/>
    <w:rsid w:val="00AB694F"/>
    <w:rsid w:val="00AB6989"/>
    <w:rsid w:val="00AB6C7B"/>
    <w:rsid w:val="00AB748E"/>
    <w:rsid w:val="00AC13F7"/>
    <w:rsid w:val="00AC153F"/>
    <w:rsid w:val="00AC1C66"/>
    <w:rsid w:val="00AC2115"/>
    <w:rsid w:val="00AD1E45"/>
    <w:rsid w:val="00AD2508"/>
    <w:rsid w:val="00AD432F"/>
    <w:rsid w:val="00AD4905"/>
    <w:rsid w:val="00AD52B9"/>
    <w:rsid w:val="00AE028A"/>
    <w:rsid w:val="00AE0DF1"/>
    <w:rsid w:val="00AF044C"/>
    <w:rsid w:val="00AF255A"/>
    <w:rsid w:val="00B02C54"/>
    <w:rsid w:val="00B05EAD"/>
    <w:rsid w:val="00B05F90"/>
    <w:rsid w:val="00B07BB3"/>
    <w:rsid w:val="00B11CC4"/>
    <w:rsid w:val="00B12DDD"/>
    <w:rsid w:val="00B12E87"/>
    <w:rsid w:val="00B165BD"/>
    <w:rsid w:val="00B22B71"/>
    <w:rsid w:val="00B23A56"/>
    <w:rsid w:val="00B240C6"/>
    <w:rsid w:val="00B2706E"/>
    <w:rsid w:val="00B278DD"/>
    <w:rsid w:val="00B33834"/>
    <w:rsid w:val="00B378FA"/>
    <w:rsid w:val="00B41D42"/>
    <w:rsid w:val="00B44E9B"/>
    <w:rsid w:val="00B44FF0"/>
    <w:rsid w:val="00B50432"/>
    <w:rsid w:val="00B50B1C"/>
    <w:rsid w:val="00B54B3C"/>
    <w:rsid w:val="00B54F7F"/>
    <w:rsid w:val="00B55F9F"/>
    <w:rsid w:val="00B57A9F"/>
    <w:rsid w:val="00B57D72"/>
    <w:rsid w:val="00B6101C"/>
    <w:rsid w:val="00B61F32"/>
    <w:rsid w:val="00B6408B"/>
    <w:rsid w:val="00B648AC"/>
    <w:rsid w:val="00B67232"/>
    <w:rsid w:val="00B672AF"/>
    <w:rsid w:val="00B67F27"/>
    <w:rsid w:val="00B74ABF"/>
    <w:rsid w:val="00B76AE7"/>
    <w:rsid w:val="00B775F9"/>
    <w:rsid w:val="00B80C1F"/>
    <w:rsid w:val="00B83DFA"/>
    <w:rsid w:val="00B84489"/>
    <w:rsid w:val="00B87556"/>
    <w:rsid w:val="00B87941"/>
    <w:rsid w:val="00B87E96"/>
    <w:rsid w:val="00B93BDC"/>
    <w:rsid w:val="00B94198"/>
    <w:rsid w:val="00BA04DE"/>
    <w:rsid w:val="00BA3999"/>
    <w:rsid w:val="00BB1378"/>
    <w:rsid w:val="00BB5168"/>
    <w:rsid w:val="00BB6429"/>
    <w:rsid w:val="00BC3C31"/>
    <w:rsid w:val="00BC3EDF"/>
    <w:rsid w:val="00BC4A4B"/>
    <w:rsid w:val="00BC7120"/>
    <w:rsid w:val="00BC7451"/>
    <w:rsid w:val="00BC7942"/>
    <w:rsid w:val="00BD2270"/>
    <w:rsid w:val="00BD2A89"/>
    <w:rsid w:val="00BD470F"/>
    <w:rsid w:val="00BD6874"/>
    <w:rsid w:val="00BE0F57"/>
    <w:rsid w:val="00BE1B42"/>
    <w:rsid w:val="00BE29B2"/>
    <w:rsid w:val="00BE2AD3"/>
    <w:rsid w:val="00BE5B65"/>
    <w:rsid w:val="00BE69F7"/>
    <w:rsid w:val="00BE76B2"/>
    <w:rsid w:val="00BF47E4"/>
    <w:rsid w:val="00C04EEF"/>
    <w:rsid w:val="00C0603B"/>
    <w:rsid w:val="00C060BB"/>
    <w:rsid w:val="00C0616B"/>
    <w:rsid w:val="00C12655"/>
    <w:rsid w:val="00C21ADB"/>
    <w:rsid w:val="00C21C13"/>
    <w:rsid w:val="00C25958"/>
    <w:rsid w:val="00C313B5"/>
    <w:rsid w:val="00C33C89"/>
    <w:rsid w:val="00C33E8C"/>
    <w:rsid w:val="00C34441"/>
    <w:rsid w:val="00C36DE1"/>
    <w:rsid w:val="00C410C2"/>
    <w:rsid w:val="00C4397F"/>
    <w:rsid w:val="00C4642B"/>
    <w:rsid w:val="00C46785"/>
    <w:rsid w:val="00C46D66"/>
    <w:rsid w:val="00C47382"/>
    <w:rsid w:val="00C47D39"/>
    <w:rsid w:val="00C511B0"/>
    <w:rsid w:val="00C52435"/>
    <w:rsid w:val="00C52FEF"/>
    <w:rsid w:val="00C5300D"/>
    <w:rsid w:val="00C64177"/>
    <w:rsid w:val="00C64DD4"/>
    <w:rsid w:val="00C65BB8"/>
    <w:rsid w:val="00C660F4"/>
    <w:rsid w:val="00C7188E"/>
    <w:rsid w:val="00C741E9"/>
    <w:rsid w:val="00C747DC"/>
    <w:rsid w:val="00C74F89"/>
    <w:rsid w:val="00C7680E"/>
    <w:rsid w:val="00C81BA5"/>
    <w:rsid w:val="00C81E41"/>
    <w:rsid w:val="00C82F5E"/>
    <w:rsid w:val="00C83BF1"/>
    <w:rsid w:val="00C8737F"/>
    <w:rsid w:val="00C9029F"/>
    <w:rsid w:val="00C96242"/>
    <w:rsid w:val="00C97371"/>
    <w:rsid w:val="00C9791B"/>
    <w:rsid w:val="00CA41FF"/>
    <w:rsid w:val="00CA4A88"/>
    <w:rsid w:val="00CA5BD3"/>
    <w:rsid w:val="00CB021A"/>
    <w:rsid w:val="00CB0EB5"/>
    <w:rsid w:val="00CB0F26"/>
    <w:rsid w:val="00CB2FAD"/>
    <w:rsid w:val="00CB38CB"/>
    <w:rsid w:val="00CB5C9B"/>
    <w:rsid w:val="00CC0E9E"/>
    <w:rsid w:val="00CC1306"/>
    <w:rsid w:val="00CC466F"/>
    <w:rsid w:val="00CC492A"/>
    <w:rsid w:val="00CC74D5"/>
    <w:rsid w:val="00CD0508"/>
    <w:rsid w:val="00CD126D"/>
    <w:rsid w:val="00CD2644"/>
    <w:rsid w:val="00CD2982"/>
    <w:rsid w:val="00CD6EAF"/>
    <w:rsid w:val="00CD7AF8"/>
    <w:rsid w:val="00CE20F3"/>
    <w:rsid w:val="00CE3AC6"/>
    <w:rsid w:val="00CE44CB"/>
    <w:rsid w:val="00CE723A"/>
    <w:rsid w:val="00CE7938"/>
    <w:rsid w:val="00CF0E1E"/>
    <w:rsid w:val="00CF2A26"/>
    <w:rsid w:val="00CF4003"/>
    <w:rsid w:val="00D00EE4"/>
    <w:rsid w:val="00D039D7"/>
    <w:rsid w:val="00D03E2F"/>
    <w:rsid w:val="00D04500"/>
    <w:rsid w:val="00D07FAC"/>
    <w:rsid w:val="00D12B09"/>
    <w:rsid w:val="00D13868"/>
    <w:rsid w:val="00D13F0A"/>
    <w:rsid w:val="00D1564A"/>
    <w:rsid w:val="00D20674"/>
    <w:rsid w:val="00D265C1"/>
    <w:rsid w:val="00D27209"/>
    <w:rsid w:val="00D275D4"/>
    <w:rsid w:val="00D27737"/>
    <w:rsid w:val="00D35936"/>
    <w:rsid w:val="00D35E28"/>
    <w:rsid w:val="00D36DB7"/>
    <w:rsid w:val="00D4080C"/>
    <w:rsid w:val="00D40904"/>
    <w:rsid w:val="00D42525"/>
    <w:rsid w:val="00D44FA2"/>
    <w:rsid w:val="00D46D7A"/>
    <w:rsid w:val="00D50799"/>
    <w:rsid w:val="00D521AC"/>
    <w:rsid w:val="00D53967"/>
    <w:rsid w:val="00D540E5"/>
    <w:rsid w:val="00D54D53"/>
    <w:rsid w:val="00D5612B"/>
    <w:rsid w:val="00D570A6"/>
    <w:rsid w:val="00D61731"/>
    <w:rsid w:val="00D62E30"/>
    <w:rsid w:val="00D63E07"/>
    <w:rsid w:val="00D6790D"/>
    <w:rsid w:val="00D70E10"/>
    <w:rsid w:val="00D71073"/>
    <w:rsid w:val="00D71B4B"/>
    <w:rsid w:val="00D726F6"/>
    <w:rsid w:val="00D80F0C"/>
    <w:rsid w:val="00D8109F"/>
    <w:rsid w:val="00D84615"/>
    <w:rsid w:val="00D8560F"/>
    <w:rsid w:val="00D86CEC"/>
    <w:rsid w:val="00D97324"/>
    <w:rsid w:val="00D9789D"/>
    <w:rsid w:val="00D97D42"/>
    <w:rsid w:val="00DA17DE"/>
    <w:rsid w:val="00DA2336"/>
    <w:rsid w:val="00DA2B93"/>
    <w:rsid w:val="00DA31CC"/>
    <w:rsid w:val="00DB06B0"/>
    <w:rsid w:val="00DC0A4B"/>
    <w:rsid w:val="00DC5DA9"/>
    <w:rsid w:val="00DC6103"/>
    <w:rsid w:val="00DC6FE8"/>
    <w:rsid w:val="00DD2410"/>
    <w:rsid w:val="00DD2E7E"/>
    <w:rsid w:val="00DD5BCD"/>
    <w:rsid w:val="00DD5D18"/>
    <w:rsid w:val="00DD6886"/>
    <w:rsid w:val="00DD68D8"/>
    <w:rsid w:val="00DE0E43"/>
    <w:rsid w:val="00DE1C9B"/>
    <w:rsid w:val="00DE3AD7"/>
    <w:rsid w:val="00DE3ED5"/>
    <w:rsid w:val="00DE4CE3"/>
    <w:rsid w:val="00DE5D83"/>
    <w:rsid w:val="00DE6DAC"/>
    <w:rsid w:val="00DF27C0"/>
    <w:rsid w:val="00DF41CB"/>
    <w:rsid w:val="00DF752F"/>
    <w:rsid w:val="00DF774F"/>
    <w:rsid w:val="00E0011C"/>
    <w:rsid w:val="00E01F90"/>
    <w:rsid w:val="00E04C19"/>
    <w:rsid w:val="00E05396"/>
    <w:rsid w:val="00E05C6C"/>
    <w:rsid w:val="00E067F8"/>
    <w:rsid w:val="00E06EDB"/>
    <w:rsid w:val="00E106FE"/>
    <w:rsid w:val="00E13C65"/>
    <w:rsid w:val="00E15130"/>
    <w:rsid w:val="00E15B21"/>
    <w:rsid w:val="00E178C7"/>
    <w:rsid w:val="00E17AA1"/>
    <w:rsid w:val="00E21060"/>
    <w:rsid w:val="00E2195F"/>
    <w:rsid w:val="00E22A16"/>
    <w:rsid w:val="00E24CA4"/>
    <w:rsid w:val="00E24E97"/>
    <w:rsid w:val="00E260FB"/>
    <w:rsid w:val="00E27725"/>
    <w:rsid w:val="00E312BE"/>
    <w:rsid w:val="00E35142"/>
    <w:rsid w:val="00E366D4"/>
    <w:rsid w:val="00E429A4"/>
    <w:rsid w:val="00E43192"/>
    <w:rsid w:val="00E45CBC"/>
    <w:rsid w:val="00E5370B"/>
    <w:rsid w:val="00E61830"/>
    <w:rsid w:val="00E62F1B"/>
    <w:rsid w:val="00E63909"/>
    <w:rsid w:val="00E651C3"/>
    <w:rsid w:val="00E66AB7"/>
    <w:rsid w:val="00E679F7"/>
    <w:rsid w:val="00E67E89"/>
    <w:rsid w:val="00E71718"/>
    <w:rsid w:val="00E71DC6"/>
    <w:rsid w:val="00E73999"/>
    <w:rsid w:val="00E74AF0"/>
    <w:rsid w:val="00E75054"/>
    <w:rsid w:val="00E75F18"/>
    <w:rsid w:val="00E81F46"/>
    <w:rsid w:val="00E83F1C"/>
    <w:rsid w:val="00E8597C"/>
    <w:rsid w:val="00E86E92"/>
    <w:rsid w:val="00E9067A"/>
    <w:rsid w:val="00E917D5"/>
    <w:rsid w:val="00E92C11"/>
    <w:rsid w:val="00E92FAF"/>
    <w:rsid w:val="00E969E3"/>
    <w:rsid w:val="00E97554"/>
    <w:rsid w:val="00EA064E"/>
    <w:rsid w:val="00EA1E77"/>
    <w:rsid w:val="00EA7333"/>
    <w:rsid w:val="00EA7585"/>
    <w:rsid w:val="00EB08CA"/>
    <w:rsid w:val="00EB2F04"/>
    <w:rsid w:val="00EB3709"/>
    <w:rsid w:val="00EB4E54"/>
    <w:rsid w:val="00EB5932"/>
    <w:rsid w:val="00EC3DC5"/>
    <w:rsid w:val="00EC75C5"/>
    <w:rsid w:val="00EE1502"/>
    <w:rsid w:val="00EE595E"/>
    <w:rsid w:val="00EE6DB3"/>
    <w:rsid w:val="00EF0FA6"/>
    <w:rsid w:val="00EF109E"/>
    <w:rsid w:val="00EF2803"/>
    <w:rsid w:val="00EF2FC6"/>
    <w:rsid w:val="00EF38DA"/>
    <w:rsid w:val="00EF3B46"/>
    <w:rsid w:val="00EF3E91"/>
    <w:rsid w:val="00EF4CB6"/>
    <w:rsid w:val="00F004D2"/>
    <w:rsid w:val="00F0512E"/>
    <w:rsid w:val="00F056F0"/>
    <w:rsid w:val="00F102CC"/>
    <w:rsid w:val="00F1100F"/>
    <w:rsid w:val="00F1416C"/>
    <w:rsid w:val="00F15820"/>
    <w:rsid w:val="00F16938"/>
    <w:rsid w:val="00F16DD8"/>
    <w:rsid w:val="00F20F7F"/>
    <w:rsid w:val="00F22455"/>
    <w:rsid w:val="00F24F50"/>
    <w:rsid w:val="00F2627C"/>
    <w:rsid w:val="00F277E6"/>
    <w:rsid w:val="00F3260E"/>
    <w:rsid w:val="00F364A0"/>
    <w:rsid w:val="00F368FA"/>
    <w:rsid w:val="00F37F0F"/>
    <w:rsid w:val="00F40316"/>
    <w:rsid w:val="00F42CE9"/>
    <w:rsid w:val="00F42E2D"/>
    <w:rsid w:val="00F45984"/>
    <w:rsid w:val="00F4696A"/>
    <w:rsid w:val="00F52897"/>
    <w:rsid w:val="00F6679B"/>
    <w:rsid w:val="00F71E49"/>
    <w:rsid w:val="00F7411A"/>
    <w:rsid w:val="00F776DF"/>
    <w:rsid w:val="00F77C4A"/>
    <w:rsid w:val="00F81B03"/>
    <w:rsid w:val="00F83283"/>
    <w:rsid w:val="00F9296B"/>
    <w:rsid w:val="00F94C4A"/>
    <w:rsid w:val="00FA1916"/>
    <w:rsid w:val="00FA32CD"/>
    <w:rsid w:val="00FA3653"/>
    <w:rsid w:val="00FA56FA"/>
    <w:rsid w:val="00FA5DA0"/>
    <w:rsid w:val="00FB17CF"/>
    <w:rsid w:val="00FB3639"/>
    <w:rsid w:val="00FB3B2C"/>
    <w:rsid w:val="00FB3DDB"/>
    <w:rsid w:val="00FB5C8E"/>
    <w:rsid w:val="00FB7FC3"/>
    <w:rsid w:val="00FC0E3A"/>
    <w:rsid w:val="00FC5E7F"/>
    <w:rsid w:val="00FD273D"/>
    <w:rsid w:val="00FD3868"/>
    <w:rsid w:val="00FD47B4"/>
    <w:rsid w:val="00FD58C3"/>
    <w:rsid w:val="00FD5A54"/>
    <w:rsid w:val="00FD5FBC"/>
    <w:rsid w:val="00FD6BDF"/>
    <w:rsid w:val="00FD708A"/>
    <w:rsid w:val="00FE07BA"/>
    <w:rsid w:val="00FE0E89"/>
    <w:rsid w:val="00FE1A03"/>
    <w:rsid w:val="00FE2DDB"/>
    <w:rsid w:val="00FE3584"/>
    <w:rsid w:val="00FE5C9A"/>
    <w:rsid w:val="00FE632A"/>
    <w:rsid w:val="00FE69E1"/>
    <w:rsid w:val="00FF10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3773B8F6"/>
  <w15:docId w15:val="{348270A6-7C9E-4419-A1FC-A6887D89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C7"/>
  </w:style>
  <w:style w:type="paragraph" w:styleId="Heading3">
    <w:name w:val="heading 3"/>
    <w:basedOn w:val="Normal"/>
    <w:next w:val="Normal"/>
    <w:link w:val="Heading3Char"/>
    <w:uiPriority w:val="9"/>
    <w:unhideWhenUsed/>
    <w:qFormat/>
    <w:rsid w:val="00FC5E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572"/>
  </w:style>
  <w:style w:type="paragraph" w:styleId="Footer">
    <w:name w:val="footer"/>
    <w:basedOn w:val="Normal"/>
    <w:link w:val="FooterChar"/>
    <w:uiPriority w:val="99"/>
    <w:unhideWhenUsed/>
    <w:rsid w:val="003E6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572"/>
  </w:style>
  <w:style w:type="paragraph" w:styleId="BalloonText">
    <w:name w:val="Balloon Text"/>
    <w:basedOn w:val="Normal"/>
    <w:link w:val="BalloonTextChar"/>
    <w:uiPriority w:val="99"/>
    <w:semiHidden/>
    <w:unhideWhenUsed/>
    <w:rsid w:val="00390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50C"/>
    <w:rPr>
      <w:rFonts w:ascii="Segoe UI" w:hAnsi="Segoe UI" w:cs="Segoe UI"/>
      <w:sz w:val="18"/>
      <w:szCs w:val="18"/>
    </w:rPr>
  </w:style>
  <w:style w:type="table" w:styleId="TableGrid">
    <w:name w:val="Table Grid"/>
    <w:basedOn w:val="TableNormal"/>
    <w:uiPriority w:val="39"/>
    <w:rsid w:val="0060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35E28"/>
    <w:pPr>
      <w:spacing w:before="100" w:beforeAutospacing="1" w:after="67"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C75C5"/>
    <w:pPr>
      <w:ind w:left="720"/>
      <w:contextualSpacing/>
    </w:pPr>
  </w:style>
  <w:style w:type="character" w:styleId="CommentReference">
    <w:name w:val="annotation reference"/>
    <w:basedOn w:val="DefaultParagraphFont"/>
    <w:uiPriority w:val="99"/>
    <w:semiHidden/>
    <w:unhideWhenUsed/>
    <w:rsid w:val="00B41D42"/>
    <w:rPr>
      <w:sz w:val="16"/>
      <w:szCs w:val="16"/>
    </w:rPr>
  </w:style>
  <w:style w:type="paragraph" w:styleId="CommentText">
    <w:name w:val="annotation text"/>
    <w:basedOn w:val="Normal"/>
    <w:link w:val="CommentTextChar"/>
    <w:uiPriority w:val="99"/>
    <w:unhideWhenUsed/>
    <w:rsid w:val="00B41D42"/>
    <w:pPr>
      <w:spacing w:line="240" w:lineRule="auto"/>
    </w:pPr>
    <w:rPr>
      <w:sz w:val="20"/>
      <w:szCs w:val="20"/>
    </w:rPr>
  </w:style>
  <w:style w:type="character" w:customStyle="1" w:styleId="CommentTextChar">
    <w:name w:val="Comment Text Char"/>
    <w:basedOn w:val="DefaultParagraphFont"/>
    <w:link w:val="CommentText"/>
    <w:uiPriority w:val="99"/>
    <w:rsid w:val="00B41D42"/>
    <w:rPr>
      <w:sz w:val="20"/>
      <w:szCs w:val="20"/>
    </w:rPr>
  </w:style>
  <w:style w:type="paragraph" w:styleId="CommentSubject">
    <w:name w:val="annotation subject"/>
    <w:basedOn w:val="CommentText"/>
    <w:next w:val="CommentText"/>
    <w:link w:val="CommentSubjectChar"/>
    <w:uiPriority w:val="99"/>
    <w:semiHidden/>
    <w:unhideWhenUsed/>
    <w:rsid w:val="00B41D42"/>
    <w:rPr>
      <w:b/>
      <w:bCs/>
    </w:rPr>
  </w:style>
  <w:style w:type="character" w:customStyle="1" w:styleId="CommentSubjectChar">
    <w:name w:val="Comment Subject Char"/>
    <w:basedOn w:val="CommentTextChar"/>
    <w:link w:val="CommentSubject"/>
    <w:uiPriority w:val="99"/>
    <w:semiHidden/>
    <w:rsid w:val="00B41D42"/>
    <w:rPr>
      <w:b/>
      <w:bCs/>
      <w:sz w:val="20"/>
      <w:szCs w:val="20"/>
    </w:rPr>
  </w:style>
  <w:style w:type="paragraph" w:customStyle="1" w:styleId="Default">
    <w:name w:val="Default"/>
    <w:rsid w:val="00A4159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3NoNumb">
    <w:name w:val="Heading 3NoNumb"/>
    <w:basedOn w:val="Heading3"/>
    <w:next w:val="Normal"/>
    <w:rsid w:val="00FC5E7F"/>
    <w:pPr>
      <w:keepLines w:val="0"/>
      <w:tabs>
        <w:tab w:val="left" w:pos="504"/>
      </w:tabs>
      <w:spacing w:before="240" w:after="120" w:line="240" w:lineRule="auto"/>
    </w:pPr>
    <w:rPr>
      <w:rFonts w:ascii="Times New Roman" w:eastAsia="Times New Roman" w:hAnsi="Times New Roman" w:cs="Times New Roman"/>
      <w:b/>
      <w:bCs/>
      <w:color w:val="auto"/>
      <w:szCs w:val="26"/>
      <w:lang w:val="en-US"/>
    </w:rPr>
  </w:style>
  <w:style w:type="character" w:customStyle="1" w:styleId="Heading3Char">
    <w:name w:val="Heading 3 Char"/>
    <w:basedOn w:val="DefaultParagraphFont"/>
    <w:link w:val="Heading3"/>
    <w:uiPriority w:val="9"/>
    <w:rsid w:val="00FC5E7F"/>
    <w:rPr>
      <w:rFonts w:asciiTheme="majorHAnsi" w:eastAsiaTheme="majorEastAsia" w:hAnsiTheme="majorHAnsi" w:cstheme="majorBidi"/>
      <w:color w:val="1F4D78" w:themeColor="accent1" w:themeShade="7F"/>
      <w:sz w:val="24"/>
      <w:szCs w:val="24"/>
    </w:rPr>
  </w:style>
  <w:style w:type="paragraph" w:customStyle="1" w:styleId="Table">
    <w:name w:val="Table"/>
    <w:basedOn w:val="Normal"/>
    <w:next w:val="Normal"/>
    <w:semiHidden/>
    <w:rsid w:val="00373F80"/>
    <w:pPr>
      <w:tabs>
        <w:tab w:val="left" w:pos="1584"/>
      </w:tabs>
      <w:spacing w:after="120" w:line="240" w:lineRule="auto"/>
      <w:jc w:val="center"/>
    </w:pPr>
    <w:rPr>
      <w:rFonts w:ascii="Times New Roman" w:eastAsia="Times New Roman" w:hAnsi="Times New Roman" w:cs="Times New Roman"/>
      <w:b/>
      <w:sz w:val="24"/>
      <w:szCs w:val="24"/>
      <w:lang w:val="en-US"/>
    </w:rPr>
  </w:style>
  <w:style w:type="paragraph" w:customStyle="1" w:styleId="TableText10">
    <w:name w:val="TableText10"/>
    <w:basedOn w:val="Normal"/>
    <w:rsid w:val="00373F80"/>
    <w:pPr>
      <w:spacing w:after="0" w:line="240" w:lineRule="auto"/>
    </w:pPr>
    <w:rPr>
      <w:rFonts w:ascii="Times New Roman" w:eastAsia="Times New Roman" w:hAnsi="Times New Roman" w:cs="Times New Roman"/>
      <w:sz w:val="20"/>
      <w:szCs w:val="24"/>
      <w:lang w:val="en-US"/>
    </w:rPr>
  </w:style>
  <w:style w:type="paragraph" w:customStyle="1" w:styleId="TableHeader10">
    <w:name w:val="TableHeader10"/>
    <w:basedOn w:val="TableText10"/>
    <w:rsid w:val="00373F80"/>
    <w:pPr>
      <w:jc w:val="center"/>
    </w:pPr>
    <w:rPr>
      <w:b/>
    </w:rPr>
  </w:style>
  <w:style w:type="paragraph" w:customStyle="1" w:styleId="TableNotes9">
    <w:name w:val="TableNotes9"/>
    <w:basedOn w:val="TableText10"/>
    <w:next w:val="Normal"/>
    <w:rsid w:val="00373F80"/>
    <w:pPr>
      <w:spacing w:before="120" w:after="120"/>
      <w:ind w:left="576" w:hanging="576"/>
    </w:pPr>
    <w:rPr>
      <w:sz w:val="18"/>
    </w:rPr>
  </w:style>
  <w:style w:type="character" w:styleId="Hyperlink">
    <w:name w:val="Hyperlink"/>
    <w:rsid w:val="00E312BE"/>
    <w:rPr>
      <w:color w:val="0000FF"/>
      <w:u w:val="single"/>
    </w:rPr>
  </w:style>
  <w:style w:type="paragraph" w:styleId="EndnoteText">
    <w:name w:val="endnote text"/>
    <w:basedOn w:val="Normal"/>
    <w:next w:val="Normal"/>
    <w:link w:val="EndnoteTextChar"/>
    <w:semiHidden/>
    <w:rsid w:val="00177978"/>
    <w:pPr>
      <w:tabs>
        <w:tab w:val="left" w:pos="567"/>
      </w:tabs>
      <w:spacing w:after="0" w:line="240" w:lineRule="auto"/>
    </w:pPr>
    <w:rPr>
      <w:rFonts w:ascii="Times New Roman" w:eastAsia="Times New Roman" w:hAnsi="Times New Roman" w:cs="Times New Roman"/>
      <w:szCs w:val="20"/>
      <w:lang w:val="en-GB"/>
    </w:rPr>
  </w:style>
  <w:style w:type="character" w:customStyle="1" w:styleId="EndnoteTextChar">
    <w:name w:val="Endnote Text Char"/>
    <w:basedOn w:val="DefaultParagraphFont"/>
    <w:link w:val="EndnoteText"/>
    <w:semiHidden/>
    <w:rsid w:val="00177978"/>
    <w:rPr>
      <w:rFonts w:ascii="Times New Roman" w:eastAsia="Times New Roman" w:hAnsi="Times New Roman" w:cs="Times New Roman"/>
      <w:szCs w:val="20"/>
      <w:lang w:val="en-GB"/>
    </w:rPr>
  </w:style>
  <w:style w:type="paragraph" w:styleId="Date">
    <w:name w:val="Date"/>
    <w:basedOn w:val="Normal"/>
    <w:next w:val="Normal"/>
    <w:link w:val="DateChar"/>
    <w:uiPriority w:val="99"/>
    <w:rsid w:val="00E0011C"/>
    <w:pPr>
      <w:spacing w:after="0" w:line="240" w:lineRule="auto"/>
    </w:pPr>
    <w:rPr>
      <w:rFonts w:ascii="Times New Roman" w:eastAsia="Times New Roman" w:hAnsi="Times New Roman" w:cs="Times New Roman"/>
      <w:szCs w:val="20"/>
      <w:lang w:val="en-GB" w:eastAsia="x-none"/>
    </w:rPr>
  </w:style>
  <w:style w:type="character" w:customStyle="1" w:styleId="DateChar">
    <w:name w:val="Date Char"/>
    <w:basedOn w:val="DefaultParagraphFont"/>
    <w:link w:val="Date"/>
    <w:uiPriority w:val="99"/>
    <w:rsid w:val="00E0011C"/>
    <w:rPr>
      <w:rFonts w:ascii="Times New Roman" w:eastAsia="Times New Roman" w:hAnsi="Times New Roman" w:cs="Times New Roman"/>
      <w:szCs w:val="20"/>
      <w:lang w:val="en-GB" w:eastAsia="x-none"/>
    </w:rPr>
  </w:style>
  <w:style w:type="character" w:styleId="LineNumber">
    <w:name w:val="line number"/>
    <w:basedOn w:val="DefaultParagraphFont"/>
    <w:uiPriority w:val="99"/>
    <w:semiHidden/>
    <w:unhideWhenUsed/>
    <w:rsid w:val="000B1839"/>
  </w:style>
  <w:style w:type="character" w:customStyle="1" w:styleId="fontstyle01">
    <w:name w:val="fontstyle01"/>
    <w:basedOn w:val="DefaultParagraphFont"/>
    <w:rsid w:val="006B54E8"/>
    <w:rPr>
      <w:rFonts w:ascii="ArialMT" w:eastAsia="ArialMT" w:hint="eastAsia"/>
      <w:b w:val="0"/>
      <w:bCs w:val="0"/>
      <w:i w:val="0"/>
      <w:iCs w:val="0"/>
      <w:color w:val="000000"/>
      <w:sz w:val="18"/>
      <w:szCs w:val="18"/>
    </w:rPr>
  </w:style>
  <w:style w:type="character" w:customStyle="1" w:styleId="fontstyle11">
    <w:name w:val="fontstyle11"/>
    <w:basedOn w:val="DefaultParagraphFont"/>
    <w:rsid w:val="00A85B6E"/>
    <w:rPr>
      <w:rFonts w:ascii="Arial" w:hAnsi="Arial" w:cs="Arial" w:hint="default"/>
      <w:b w:val="0"/>
      <w:bCs w:val="0"/>
      <w:i w:val="0"/>
      <w:iCs w:val="0"/>
      <w:color w:val="000000"/>
      <w:sz w:val="20"/>
      <w:szCs w:val="20"/>
    </w:rPr>
  </w:style>
  <w:style w:type="character" w:customStyle="1" w:styleId="fontstyle31">
    <w:name w:val="fontstyle31"/>
    <w:basedOn w:val="DefaultParagraphFont"/>
    <w:rsid w:val="00A85B6E"/>
    <w:rPr>
      <w:rFonts w:ascii="Arial" w:hAnsi="Arial" w:cs="Arial" w:hint="default"/>
      <w:b w:val="0"/>
      <w:bCs w:val="0"/>
      <w:i/>
      <w:iCs/>
      <w:color w:val="000000"/>
      <w:sz w:val="20"/>
      <w:szCs w:val="20"/>
    </w:rPr>
  </w:style>
  <w:style w:type="character" w:customStyle="1" w:styleId="fontstyle21">
    <w:name w:val="fontstyle21"/>
    <w:basedOn w:val="DefaultParagraphFont"/>
    <w:rsid w:val="004160F9"/>
    <w:rPr>
      <w:rFonts w:ascii="Arial" w:hAnsi="Arial" w:cs="Arial" w:hint="default"/>
      <w:b w:val="0"/>
      <w:bCs w:val="0"/>
      <w:i w:val="0"/>
      <w:iCs w:val="0"/>
      <w:color w:val="000000"/>
      <w:sz w:val="20"/>
      <w:szCs w:val="20"/>
    </w:rPr>
  </w:style>
  <w:style w:type="character" w:styleId="Strong">
    <w:name w:val="Strong"/>
    <w:uiPriority w:val="22"/>
    <w:qFormat/>
    <w:rsid w:val="00036288"/>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918">
      <w:bodyDiv w:val="1"/>
      <w:marLeft w:val="0"/>
      <w:marRight w:val="0"/>
      <w:marTop w:val="0"/>
      <w:marBottom w:val="0"/>
      <w:divBdr>
        <w:top w:val="none" w:sz="0" w:space="0" w:color="auto"/>
        <w:left w:val="none" w:sz="0" w:space="0" w:color="auto"/>
        <w:bottom w:val="none" w:sz="0" w:space="0" w:color="auto"/>
        <w:right w:val="none" w:sz="0" w:space="0" w:color="auto"/>
      </w:divBdr>
    </w:div>
    <w:div w:id="209340641">
      <w:bodyDiv w:val="1"/>
      <w:marLeft w:val="0"/>
      <w:marRight w:val="0"/>
      <w:marTop w:val="0"/>
      <w:marBottom w:val="0"/>
      <w:divBdr>
        <w:top w:val="none" w:sz="0" w:space="0" w:color="auto"/>
        <w:left w:val="none" w:sz="0" w:space="0" w:color="auto"/>
        <w:bottom w:val="none" w:sz="0" w:space="0" w:color="auto"/>
        <w:right w:val="none" w:sz="0" w:space="0" w:color="auto"/>
      </w:divBdr>
    </w:div>
    <w:div w:id="231239488">
      <w:bodyDiv w:val="1"/>
      <w:marLeft w:val="0"/>
      <w:marRight w:val="0"/>
      <w:marTop w:val="0"/>
      <w:marBottom w:val="0"/>
      <w:divBdr>
        <w:top w:val="none" w:sz="0" w:space="0" w:color="auto"/>
        <w:left w:val="none" w:sz="0" w:space="0" w:color="auto"/>
        <w:bottom w:val="none" w:sz="0" w:space="0" w:color="auto"/>
        <w:right w:val="none" w:sz="0" w:space="0" w:color="auto"/>
      </w:divBdr>
    </w:div>
    <w:div w:id="374624661">
      <w:bodyDiv w:val="1"/>
      <w:marLeft w:val="0"/>
      <w:marRight w:val="0"/>
      <w:marTop w:val="0"/>
      <w:marBottom w:val="0"/>
      <w:divBdr>
        <w:top w:val="none" w:sz="0" w:space="0" w:color="auto"/>
        <w:left w:val="none" w:sz="0" w:space="0" w:color="auto"/>
        <w:bottom w:val="none" w:sz="0" w:space="0" w:color="auto"/>
        <w:right w:val="none" w:sz="0" w:space="0" w:color="auto"/>
      </w:divBdr>
    </w:div>
    <w:div w:id="562956352">
      <w:bodyDiv w:val="1"/>
      <w:marLeft w:val="0"/>
      <w:marRight w:val="0"/>
      <w:marTop w:val="0"/>
      <w:marBottom w:val="0"/>
      <w:divBdr>
        <w:top w:val="none" w:sz="0" w:space="0" w:color="auto"/>
        <w:left w:val="none" w:sz="0" w:space="0" w:color="auto"/>
        <w:bottom w:val="none" w:sz="0" w:space="0" w:color="auto"/>
        <w:right w:val="none" w:sz="0" w:space="0" w:color="auto"/>
      </w:divBdr>
    </w:div>
    <w:div w:id="566260060">
      <w:bodyDiv w:val="1"/>
      <w:marLeft w:val="0"/>
      <w:marRight w:val="0"/>
      <w:marTop w:val="0"/>
      <w:marBottom w:val="0"/>
      <w:divBdr>
        <w:top w:val="none" w:sz="0" w:space="0" w:color="auto"/>
        <w:left w:val="none" w:sz="0" w:space="0" w:color="auto"/>
        <w:bottom w:val="none" w:sz="0" w:space="0" w:color="auto"/>
        <w:right w:val="none" w:sz="0" w:space="0" w:color="auto"/>
      </w:divBdr>
      <w:divsChild>
        <w:div w:id="907032614">
          <w:marLeft w:val="0"/>
          <w:marRight w:val="0"/>
          <w:marTop w:val="0"/>
          <w:marBottom w:val="0"/>
          <w:divBdr>
            <w:top w:val="none" w:sz="0" w:space="0" w:color="auto"/>
            <w:left w:val="none" w:sz="0" w:space="0" w:color="auto"/>
            <w:bottom w:val="none" w:sz="0" w:space="0" w:color="auto"/>
            <w:right w:val="none" w:sz="0" w:space="0" w:color="auto"/>
          </w:divBdr>
          <w:divsChild>
            <w:div w:id="1871533106">
              <w:marLeft w:val="0"/>
              <w:marRight w:val="0"/>
              <w:marTop w:val="0"/>
              <w:marBottom w:val="0"/>
              <w:divBdr>
                <w:top w:val="none" w:sz="0" w:space="0" w:color="auto"/>
                <w:left w:val="none" w:sz="0" w:space="0" w:color="auto"/>
                <w:bottom w:val="none" w:sz="0" w:space="0" w:color="auto"/>
                <w:right w:val="none" w:sz="0" w:space="0" w:color="auto"/>
              </w:divBdr>
              <w:divsChild>
                <w:div w:id="809132765">
                  <w:marLeft w:val="0"/>
                  <w:marRight w:val="0"/>
                  <w:marTop w:val="0"/>
                  <w:marBottom w:val="0"/>
                  <w:divBdr>
                    <w:top w:val="none" w:sz="0" w:space="0" w:color="auto"/>
                    <w:left w:val="none" w:sz="0" w:space="0" w:color="auto"/>
                    <w:bottom w:val="none" w:sz="0" w:space="0" w:color="auto"/>
                    <w:right w:val="none" w:sz="0" w:space="0" w:color="auto"/>
                  </w:divBdr>
                  <w:divsChild>
                    <w:div w:id="528102408">
                      <w:marLeft w:val="0"/>
                      <w:marRight w:val="0"/>
                      <w:marTop w:val="0"/>
                      <w:marBottom w:val="0"/>
                      <w:divBdr>
                        <w:top w:val="none" w:sz="0" w:space="0" w:color="auto"/>
                        <w:left w:val="none" w:sz="0" w:space="0" w:color="auto"/>
                        <w:bottom w:val="none" w:sz="0" w:space="0" w:color="auto"/>
                        <w:right w:val="none" w:sz="0" w:space="0" w:color="auto"/>
                      </w:divBdr>
                      <w:divsChild>
                        <w:div w:id="86848296">
                          <w:marLeft w:val="0"/>
                          <w:marRight w:val="0"/>
                          <w:marTop w:val="0"/>
                          <w:marBottom w:val="0"/>
                          <w:divBdr>
                            <w:top w:val="none" w:sz="0" w:space="0" w:color="auto"/>
                            <w:left w:val="none" w:sz="0" w:space="0" w:color="auto"/>
                            <w:bottom w:val="none" w:sz="0" w:space="0" w:color="auto"/>
                            <w:right w:val="none" w:sz="0" w:space="0" w:color="auto"/>
                          </w:divBdr>
                          <w:divsChild>
                            <w:div w:id="256793249">
                              <w:marLeft w:val="0"/>
                              <w:marRight w:val="0"/>
                              <w:marTop w:val="0"/>
                              <w:marBottom w:val="0"/>
                              <w:divBdr>
                                <w:top w:val="none" w:sz="0" w:space="0" w:color="auto"/>
                                <w:left w:val="none" w:sz="0" w:space="0" w:color="auto"/>
                                <w:bottom w:val="none" w:sz="0" w:space="0" w:color="auto"/>
                                <w:right w:val="none" w:sz="0" w:space="0" w:color="auto"/>
                              </w:divBdr>
                              <w:divsChild>
                                <w:div w:id="2052218844">
                                  <w:marLeft w:val="0"/>
                                  <w:marRight w:val="0"/>
                                  <w:marTop w:val="0"/>
                                  <w:marBottom w:val="0"/>
                                  <w:divBdr>
                                    <w:top w:val="none" w:sz="0" w:space="0" w:color="auto"/>
                                    <w:left w:val="none" w:sz="0" w:space="0" w:color="auto"/>
                                    <w:bottom w:val="none" w:sz="0" w:space="0" w:color="auto"/>
                                    <w:right w:val="none" w:sz="0" w:space="0" w:color="auto"/>
                                  </w:divBdr>
                                  <w:divsChild>
                                    <w:div w:id="414211976">
                                      <w:marLeft w:val="0"/>
                                      <w:marRight w:val="0"/>
                                      <w:marTop w:val="0"/>
                                      <w:marBottom w:val="0"/>
                                      <w:divBdr>
                                        <w:top w:val="none" w:sz="0" w:space="0" w:color="auto"/>
                                        <w:left w:val="none" w:sz="0" w:space="0" w:color="auto"/>
                                        <w:bottom w:val="none" w:sz="0" w:space="0" w:color="auto"/>
                                        <w:right w:val="none" w:sz="0" w:space="0" w:color="auto"/>
                                      </w:divBdr>
                                      <w:divsChild>
                                        <w:div w:id="107238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855899">
      <w:bodyDiv w:val="1"/>
      <w:marLeft w:val="0"/>
      <w:marRight w:val="0"/>
      <w:marTop w:val="0"/>
      <w:marBottom w:val="0"/>
      <w:divBdr>
        <w:top w:val="none" w:sz="0" w:space="0" w:color="auto"/>
        <w:left w:val="none" w:sz="0" w:space="0" w:color="auto"/>
        <w:bottom w:val="none" w:sz="0" w:space="0" w:color="auto"/>
        <w:right w:val="none" w:sz="0" w:space="0" w:color="auto"/>
      </w:divBdr>
    </w:div>
    <w:div w:id="906919038">
      <w:bodyDiv w:val="1"/>
      <w:marLeft w:val="0"/>
      <w:marRight w:val="0"/>
      <w:marTop w:val="0"/>
      <w:marBottom w:val="0"/>
      <w:divBdr>
        <w:top w:val="none" w:sz="0" w:space="0" w:color="auto"/>
        <w:left w:val="none" w:sz="0" w:space="0" w:color="auto"/>
        <w:bottom w:val="none" w:sz="0" w:space="0" w:color="auto"/>
        <w:right w:val="none" w:sz="0" w:space="0" w:color="auto"/>
      </w:divBdr>
    </w:div>
    <w:div w:id="1031222395">
      <w:bodyDiv w:val="1"/>
      <w:marLeft w:val="0"/>
      <w:marRight w:val="0"/>
      <w:marTop w:val="0"/>
      <w:marBottom w:val="0"/>
      <w:divBdr>
        <w:top w:val="none" w:sz="0" w:space="0" w:color="auto"/>
        <w:left w:val="none" w:sz="0" w:space="0" w:color="auto"/>
        <w:bottom w:val="none" w:sz="0" w:space="0" w:color="auto"/>
        <w:right w:val="none" w:sz="0" w:space="0" w:color="auto"/>
      </w:divBdr>
    </w:div>
    <w:div w:id="1141536799">
      <w:bodyDiv w:val="1"/>
      <w:marLeft w:val="0"/>
      <w:marRight w:val="0"/>
      <w:marTop w:val="0"/>
      <w:marBottom w:val="0"/>
      <w:divBdr>
        <w:top w:val="none" w:sz="0" w:space="0" w:color="auto"/>
        <w:left w:val="none" w:sz="0" w:space="0" w:color="auto"/>
        <w:bottom w:val="none" w:sz="0" w:space="0" w:color="auto"/>
        <w:right w:val="none" w:sz="0" w:space="0" w:color="auto"/>
      </w:divBdr>
    </w:div>
    <w:div w:id="1150950725">
      <w:bodyDiv w:val="1"/>
      <w:marLeft w:val="0"/>
      <w:marRight w:val="0"/>
      <w:marTop w:val="0"/>
      <w:marBottom w:val="0"/>
      <w:divBdr>
        <w:top w:val="none" w:sz="0" w:space="0" w:color="auto"/>
        <w:left w:val="none" w:sz="0" w:space="0" w:color="auto"/>
        <w:bottom w:val="none" w:sz="0" w:space="0" w:color="auto"/>
        <w:right w:val="none" w:sz="0" w:space="0" w:color="auto"/>
      </w:divBdr>
    </w:div>
    <w:div w:id="1163354010">
      <w:bodyDiv w:val="1"/>
      <w:marLeft w:val="0"/>
      <w:marRight w:val="0"/>
      <w:marTop w:val="0"/>
      <w:marBottom w:val="0"/>
      <w:divBdr>
        <w:top w:val="none" w:sz="0" w:space="0" w:color="auto"/>
        <w:left w:val="none" w:sz="0" w:space="0" w:color="auto"/>
        <w:bottom w:val="none" w:sz="0" w:space="0" w:color="auto"/>
        <w:right w:val="none" w:sz="0" w:space="0" w:color="auto"/>
      </w:divBdr>
    </w:div>
    <w:div w:id="1179195801">
      <w:bodyDiv w:val="1"/>
      <w:marLeft w:val="0"/>
      <w:marRight w:val="0"/>
      <w:marTop w:val="0"/>
      <w:marBottom w:val="0"/>
      <w:divBdr>
        <w:top w:val="none" w:sz="0" w:space="0" w:color="auto"/>
        <w:left w:val="none" w:sz="0" w:space="0" w:color="auto"/>
        <w:bottom w:val="none" w:sz="0" w:space="0" w:color="auto"/>
        <w:right w:val="none" w:sz="0" w:space="0" w:color="auto"/>
      </w:divBdr>
    </w:div>
    <w:div w:id="1285304517">
      <w:bodyDiv w:val="1"/>
      <w:marLeft w:val="0"/>
      <w:marRight w:val="0"/>
      <w:marTop w:val="0"/>
      <w:marBottom w:val="0"/>
      <w:divBdr>
        <w:top w:val="none" w:sz="0" w:space="0" w:color="auto"/>
        <w:left w:val="none" w:sz="0" w:space="0" w:color="auto"/>
        <w:bottom w:val="none" w:sz="0" w:space="0" w:color="auto"/>
        <w:right w:val="none" w:sz="0" w:space="0" w:color="auto"/>
      </w:divBdr>
    </w:div>
    <w:div w:id="1346983367">
      <w:bodyDiv w:val="1"/>
      <w:marLeft w:val="0"/>
      <w:marRight w:val="0"/>
      <w:marTop w:val="0"/>
      <w:marBottom w:val="0"/>
      <w:divBdr>
        <w:top w:val="none" w:sz="0" w:space="0" w:color="auto"/>
        <w:left w:val="none" w:sz="0" w:space="0" w:color="auto"/>
        <w:bottom w:val="none" w:sz="0" w:space="0" w:color="auto"/>
        <w:right w:val="none" w:sz="0" w:space="0" w:color="auto"/>
      </w:divBdr>
    </w:div>
    <w:div w:id="1436485762">
      <w:bodyDiv w:val="1"/>
      <w:marLeft w:val="0"/>
      <w:marRight w:val="0"/>
      <w:marTop w:val="0"/>
      <w:marBottom w:val="0"/>
      <w:divBdr>
        <w:top w:val="none" w:sz="0" w:space="0" w:color="auto"/>
        <w:left w:val="none" w:sz="0" w:space="0" w:color="auto"/>
        <w:bottom w:val="none" w:sz="0" w:space="0" w:color="auto"/>
        <w:right w:val="none" w:sz="0" w:space="0" w:color="auto"/>
      </w:divBdr>
    </w:div>
    <w:div w:id="1438981876">
      <w:bodyDiv w:val="1"/>
      <w:marLeft w:val="0"/>
      <w:marRight w:val="0"/>
      <w:marTop w:val="0"/>
      <w:marBottom w:val="0"/>
      <w:divBdr>
        <w:top w:val="none" w:sz="0" w:space="0" w:color="auto"/>
        <w:left w:val="none" w:sz="0" w:space="0" w:color="auto"/>
        <w:bottom w:val="none" w:sz="0" w:space="0" w:color="auto"/>
        <w:right w:val="none" w:sz="0" w:space="0" w:color="auto"/>
      </w:divBdr>
    </w:div>
    <w:div w:id="1501189125">
      <w:bodyDiv w:val="1"/>
      <w:marLeft w:val="0"/>
      <w:marRight w:val="0"/>
      <w:marTop w:val="0"/>
      <w:marBottom w:val="0"/>
      <w:divBdr>
        <w:top w:val="none" w:sz="0" w:space="0" w:color="auto"/>
        <w:left w:val="none" w:sz="0" w:space="0" w:color="auto"/>
        <w:bottom w:val="none" w:sz="0" w:space="0" w:color="auto"/>
        <w:right w:val="none" w:sz="0" w:space="0" w:color="auto"/>
      </w:divBdr>
    </w:div>
    <w:div w:id="1581599385">
      <w:bodyDiv w:val="1"/>
      <w:marLeft w:val="0"/>
      <w:marRight w:val="0"/>
      <w:marTop w:val="0"/>
      <w:marBottom w:val="0"/>
      <w:divBdr>
        <w:top w:val="none" w:sz="0" w:space="0" w:color="auto"/>
        <w:left w:val="none" w:sz="0" w:space="0" w:color="auto"/>
        <w:bottom w:val="none" w:sz="0" w:space="0" w:color="auto"/>
        <w:right w:val="none" w:sz="0" w:space="0" w:color="auto"/>
      </w:divBdr>
    </w:div>
    <w:div w:id="1635674046">
      <w:bodyDiv w:val="1"/>
      <w:marLeft w:val="0"/>
      <w:marRight w:val="0"/>
      <w:marTop w:val="0"/>
      <w:marBottom w:val="0"/>
      <w:divBdr>
        <w:top w:val="none" w:sz="0" w:space="0" w:color="auto"/>
        <w:left w:val="none" w:sz="0" w:space="0" w:color="auto"/>
        <w:bottom w:val="none" w:sz="0" w:space="0" w:color="auto"/>
        <w:right w:val="none" w:sz="0" w:space="0" w:color="auto"/>
      </w:divBdr>
    </w:div>
    <w:div w:id="1637030031">
      <w:bodyDiv w:val="1"/>
      <w:marLeft w:val="0"/>
      <w:marRight w:val="0"/>
      <w:marTop w:val="0"/>
      <w:marBottom w:val="0"/>
      <w:divBdr>
        <w:top w:val="none" w:sz="0" w:space="0" w:color="auto"/>
        <w:left w:val="none" w:sz="0" w:space="0" w:color="auto"/>
        <w:bottom w:val="none" w:sz="0" w:space="0" w:color="auto"/>
        <w:right w:val="none" w:sz="0" w:space="0" w:color="auto"/>
      </w:divBdr>
    </w:div>
    <w:div w:id="1648241411">
      <w:bodyDiv w:val="1"/>
      <w:marLeft w:val="0"/>
      <w:marRight w:val="0"/>
      <w:marTop w:val="0"/>
      <w:marBottom w:val="0"/>
      <w:divBdr>
        <w:top w:val="none" w:sz="0" w:space="0" w:color="auto"/>
        <w:left w:val="none" w:sz="0" w:space="0" w:color="auto"/>
        <w:bottom w:val="none" w:sz="0" w:space="0" w:color="auto"/>
        <w:right w:val="none" w:sz="0" w:space="0" w:color="auto"/>
      </w:divBdr>
    </w:div>
    <w:div w:id="1658654276">
      <w:bodyDiv w:val="1"/>
      <w:marLeft w:val="0"/>
      <w:marRight w:val="0"/>
      <w:marTop w:val="0"/>
      <w:marBottom w:val="0"/>
      <w:divBdr>
        <w:top w:val="none" w:sz="0" w:space="0" w:color="auto"/>
        <w:left w:val="none" w:sz="0" w:space="0" w:color="auto"/>
        <w:bottom w:val="none" w:sz="0" w:space="0" w:color="auto"/>
        <w:right w:val="none" w:sz="0" w:space="0" w:color="auto"/>
      </w:divBdr>
    </w:div>
    <w:div w:id="1737120302">
      <w:bodyDiv w:val="1"/>
      <w:marLeft w:val="0"/>
      <w:marRight w:val="0"/>
      <w:marTop w:val="0"/>
      <w:marBottom w:val="0"/>
      <w:divBdr>
        <w:top w:val="none" w:sz="0" w:space="0" w:color="auto"/>
        <w:left w:val="none" w:sz="0" w:space="0" w:color="auto"/>
        <w:bottom w:val="none" w:sz="0" w:space="0" w:color="auto"/>
        <w:right w:val="none" w:sz="0" w:space="0" w:color="auto"/>
      </w:divBdr>
    </w:div>
    <w:div w:id="1759667552">
      <w:bodyDiv w:val="1"/>
      <w:marLeft w:val="0"/>
      <w:marRight w:val="0"/>
      <w:marTop w:val="0"/>
      <w:marBottom w:val="0"/>
      <w:divBdr>
        <w:top w:val="none" w:sz="0" w:space="0" w:color="auto"/>
        <w:left w:val="none" w:sz="0" w:space="0" w:color="auto"/>
        <w:bottom w:val="none" w:sz="0" w:space="0" w:color="auto"/>
        <w:right w:val="none" w:sz="0" w:space="0" w:color="auto"/>
      </w:divBdr>
    </w:div>
    <w:div w:id="1812095347">
      <w:bodyDiv w:val="1"/>
      <w:marLeft w:val="0"/>
      <w:marRight w:val="0"/>
      <w:marTop w:val="0"/>
      <w:marBottom w:val="0"/>
      <w:divBdr>
        <w:top w:val="none" w:sz="0" w:space="0" w:color="auto"/>
        <w:left w:val="none" w:sz="0" w:space="0" w:color="auto"/>
        <w:bottom w:val="none" w:sz="0" w:space="0" w:color="auto"/>
        <w:right w:val="none" w:sz="0" w:space="0" w:color="auto"/>
      </w:divBdr>
    </w:div>
    <w:div w:id="1824004103">
      <w:bodyDiv w:val="1"/>
      <w:marLeft w:val="0"/>
      <w:marRight w:val="0"/>
      <w:marTop w:val="0"/>
      <w:marBottom w:val="0"/>
      <w:divBdr>
        <w:top w:val="none" w:sz="0" w:space="0" w:color="auto"/>
        <w:left w:val="none" w:sz="0" w:space="0" w:color="auto"/>
        <w:bottom w:val="none" w:sz="0" w:space="0" w:color="auto"/>
        <w:right w:val="none" w:sz="0" w:space="0" w:color="auto"/>
      </w:divBdr>
    </w:div>
    <w:div w:id="1863743916">
      <w:bodyDiv w:val="1"/>
      <w:marLeft w:val="0"/>
      <w:marRight w:val="0"/>
      <w:marTop w:val="0"/>
      <w:marBottom w:val="0"/>
      <w:divBdr>
        <w:top w:val="none" w:sz="0" w:space="0" w:color="auto"/>
        <w:left w:val="none" w:sz="0" w:space="0" w:color="auto"/>
        <w:bottom w:val="none" w:sz="0" w:space="0" w:color="auto"/>
        <w:right w:val="none" w:sz="0" w:space="0" w:color="auto"/>
      </w:divBdr>
    </w:div>
    <w:div w:id="2111582664">
      <w:bodyDiv w:val="1"/>
      <w:marLeft w:val="0"/>
      <w:marRight w:val="0"/>
      <w:marTop w:val="0"/>
      <w:marBottom w:val="0"/>
      <w:divBdr>
        <w:top w:val="none" w:sz="0" w:space="0" w:color="auto"/>
        <w:left w:val="none" w:sz="0" w:space="0" w:color="auto"/>
        <w:bottom w:val="none" w:sz="0" w:space="0" w:color="auto"/>
        <w:right w:val="none" w:sz="0" w:space="0" w:color="auto"/>
      </w:divBdr>
    </w:div>
    <w:div w:id="214604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047E3A0-DED7-4F1B-A379-C6CBB14E3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5029</Words>
  <Characters>28670</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Consultants A</dc:creator>
  <cp:keywords/>
  <dc:description/>
  <cp:lastModifiedBy>Thealdi Mitchell</cp:lastModifiedBy>
  <cp:revision>2</cp:revision>
  <cp:lastPrinted>2023-05-29T09:25:00Z</cp:lastPrinted>
  <dcterms:created xsi:type="dcterms:W3CDTF">2023-12-14T08:42:00Z</dcterms:created>
  <dcterms:modified xsi:type="dcterms:W3CDTF">2023-12-14T08:42:00Z</dcterms:modified>
</cp:coreProperties>
</file>