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6FEA" w14:textId="77777777" w:rsidR="00DB21CF" w:rsidRDefault="00DB21CF" w:rsidP="00DB21C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DDF8DB" w14:textId="3857CCE0" w:rsidR="00FC2BDF" w:rsidRDefault="005C342C" w:rsidP="00DB21CF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1880">
        <w:rPr>
          <w:rFonts w:ascii="Arial" w:hAnsi="Arial" w:cs="Arial"/>
          <w:b/>
          <w:bCs/>
          <w:sz w:val="20"/>
          <w:szCs w:val="20"/>
        </w:rPr>
        <w:t>PROFESSIONAL INFORMATION</w:t>
      </w:r>
    </w:p>
    <w:p w14:paraId="50A0A33C" w14:textId="77777777" w:rsidR="00FC2BDF" w:rsidRDefault="00FC2BDF" w:rsidP="00DB21CF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SCHEDULING STATUS</w:t>
      </w:r>
    </w:p>
    <w:p w14:paraId="3DA31142" w14:textId="325F0BF3" w:rsidR="00FC2BDF" w:rsidRDefault="00FC2BDF" w:rsidP="00DB21CF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bdr w:val="single" w:sz="4" w:space="0" w:color="auto"/>
        </w:rPr>
      </w:pPr>
      <w:r w:rsidRPr="00947F2A">
        <w:rPr>
          <w:rFonts w:ascii="Arial" w:hAnsi="Arial" w:cs="Arial"/>
          <w:b/>
          <w:bCs/>
          <w:sz w:val="20"/>
          <w:szCs w:val="20"/>
          <w:bdr w:val="single" w:sz="4" w:space="0" w:color="auto"/>
        </w:rPr>
        <w:t>S</w:t>
      </w:r>
      <w:r>
        <w:rPr>
          <w:rFonts w:ascii="Arial" w:hAnsi="Arial" w:cs="Arial"/>
          <w:b/>
          <w:bCs/>
          <w:sz w:val="20"/>
          <w:szCs w:val="20"/>
          <w:bdr w:val="single" w:sz="4" w:space="0" w:color="auto"/>
        </w:rPr>
        <w:t>2</w:t>
      </w:r>
    </w:p>
    <w:p w14:paraId="035A400C" w14:textId="77777777" w:rsidR="00DB21CF" w:rsidRDefault="00DB21CF" w:rsidP="00DB21CF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bdr w:val="single" w:sz="4" w:space="0" w:color="auto"/>
        </w:rPr>
      </w:pPr>
    </w:p>
    <w:p w14:paraId="33D9F05D" w14:textId="77777777" w:rsidR="00FC2BDF" w:rsidRPr="001B1880" w:rsidRDefault="00FC2BDF" w:rsidP="00DB21CF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NAME OF THE MEDICINE</w:t>
      </w:r>
    </w:p>
    <w:p w14:paraId="4AE6DC07" w14:textId="05726FE6" w:rsidR="00FC2BDF" w:rsidRDefault="00FC2BDF" w:rsidP="00DB21CF">
      <w:pPr>
        <w:spacing w:after="0"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CETORIN Oral Solution </w:t>
      </w:r>
      <w:r w:rsidRPr="00750722">
        <w:rPr>
          <w:rFonts w:ascii="Arial" w:hAnsi="Arial" w:cs="Arial"/>
          <w:sz w:val="20"/>
          <w:szCs w:val="20"/>
        </w:rPr>
        <w:t>2,5 mg/</w:t>
      </w:r>
      <w:r>
        <w:rPr>
          <w:rFonts w:ascii="Arial" w:hAnsi="Arial" w:cs="Arial"/>
          <w:sz w:val="20"/>
          <w:szCs w:val="20"/>
        </w:rPr>
        <w:t xml:space="preserve"> </w:t>
      </w:r>
      <w:r w:rsidRPr="00750722">
        <w:rPr>
          <w:rFonts w:ascii="Arial" w:hAnsi="Arial" w:cs="Arial"/>
          <w:sz w:val="20"/>
          <w:szCs w:val="20"/>
        </w:rPr>
        <w:t>5 m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23B85CA" w14:textId="77777777" w:rsidR="005C342C" w:rsidRPr="00C1406B" w:rsidRDefault="005C342C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93D3E2" w14:textId="77777777" w:rsidR="00FC2BDF" w:rsidRPr="001B1880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 QUALITATIVE AND QUANTITATIVE COMPOSITION</w:t>
      </w:r>
    </w:p>
    <w:p w14:paraId="38BD63D9" w14:textId="77777777" w:rsidR="00A87570" w:rsidRDefault="00FC2BDF" w:rsidP="005C34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5 mL contains 2,5 mg of Levocetirizine dihydrochloride </w:t>
      </w:r>
    </w:p>
    <w:p w14:paraId="6EF5A078" w14:textId="77777777" w:rsidR="00A87570" w:rsidRDefault="00A87570" w:rsidP="005C34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7D55BA1" w14:textId="54AC3EE4" w:rsidR="00FC2BDF" w:rsidRDefault="00FC2BDF" w:rsidP="005C34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Contains sugar</w:t>
      </w:r>
    </w:p>
    <w:p w14:paraId="4086C743" w14:textId="77777777" w:rsidR="00002B90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5 mL contains 10 mg of saccharin sodium and 2000 mg maltitol solution</w:t>
      </w:r>
      <w:r w:rsidR="005C342C">
        <w:rPr>
          <w:rFonts w:ascii="Arial" w:hAnsi="Arial" w:cs="Arial"/>
          <w:sz w:val="20"/>
          <w:szCs w:val="20"/>
        </w:rPr>
        <w:t xml:space="preserve"> </w:t>
      </w:r>
    </w:p>
    <w:p w14:paraId="69795215" w14:textId="6347474A" w:rsidR="00FC2BDF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‘for full list of excipients, see section 6.1’</w:t>
      </w:r>
    </w:p>
    <w:p w14:paraId="580638D6" w14:textId="77777777" w:rsidR="005C342C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E4EEBEF" w14:textId="77777777" w:rsidR="00FC2BDF" w:rsidRPr="001B1880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 PHARMACEUTICAL FORM</w:t>
      </w:r>
    </w:p>
    <w:p w14:paraId="7A983949" w14:textId="77777777" w:rsidR="00002B90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2E0DB0">
        <w:rPr>
          <w:rFonts w:ascii="Arial" w:hAnsi="Arial" w:cs="Arial"/>
          <w:sz w:val="20"/>
          <w:szCs w:val="20"/>
        </w:rPr>
        <w:t>Oral solution</w:t>
      </w:r>
      <w:r w:rsidR="005C342C">
        <w:rPr>
          <w:rFonts w:ascii="Arial" w:hAnsi="Arial" w:cs="Arial"/>
          <w:sz w:val="20"/>
          <w:szCs w:val="20"/>
        </w:rPr>
        <w:t xml:space="preserve"> </w:t>
      </w:r>
    </w:p>
    <w:p w14:paraId="6B7C99F2" w14:textId="0D9725F7" w:rsidR="00FC2BDF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50722">
        <w:rPr>
          <w:rFonts w:ascii="Arial" w:hAnsi="Arial" w:cs="Arial"/>
          <w:sz w:val="20"/>
          <w:szCs w:val="20"/>
        </w:rPr>
        <w:t>Clear, colorless liquid,</w:t>
      </w:r>
      <w:r>
        <w:rPr>
          <w:rFonts w:ascii="Arial" w:hAnsi="Arial" w:cs="Arial"/>
          <w:sz w:val="20"/>
          <w:szCs w:val="20"/>
        </w:rPr>
        <w:t xml:space="preserve"> </w:t>
      </w:r>
      <w:r w:rsidRPr="00750722">
        <w:rPr>
          <w:rFonts w:ascii="Arial" w:hAnsi="Arial" w:cs="Arial"/>
          <w:sz w:val="20"/>
          <w:szCs w:val="20"/>
        </w:rPr>
        <w:t>with a grape flavour</w:t>
      </w:r>
    </w:p>
    <w:p w14:paraId="25A27DE2" w14:textId="77777777" w:rsidR="005C342C" w:rsidRPr="00750722" w:rsidRDefault="005C342C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2AC7F6" w14:textId="77777777" w:rsidR="00FC2BDF" w:rsidRPr="001B1880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 CLINICAL PARTICULARS</w:t>
      </w:r>
    </w:p>
    <w:p w14:paraId="5245E356" w14:textId="77777777" w:rsidR="00FC2BDF" w:rsidRPr="001B1880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4.1 Therapeutic indications</w:t>
      </w:r>
    </w:p>
    <w:p w14:paraId="53A5FE88" w14:textId="60230B7A" w:rsidR="00FC2BDF" w:rsidRPr="00144565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44565">
        <w:rPr>
          <w:rFonts w:ascii="Arial" w:hAnsi="Arial" w:cs="Arial"/>
          <w:b/>
          <w:bCs/>
          <w:sz w:val="20"/>
          <w:szCs w:val="20"/>
        </w:rPr>
        <w:t>CETORIN O</w:t>
      </w:r>
      <w:r>
        <w:rPr>
          <w:rFonts w:ascii="Arial" w:hAnsi="Arial" w:cs="Arial"/>
          <w:b/>
          <w:bCs/>
          <w:sz w:val="20"/>
          <w:szCs w:val="20"/>
        </w:rPr>
        <w:t xml:space="preserve">ral </w:t>
      </w:r>
      <w:r w:rsidRPr="00144565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olution</w:t>
      </w:r>
      <w:r w:rsidRPr="001445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4565">
        <w:rPr>
          <w:rFonts w:ascii="Arial" w:hAnsi="Arial" w:cs="Arial"/>
          <w:sz w:val="20"/>
          <w:szCs w:val="20"/>
        </w:rPr>
        <w:t>is indicated for the relief of symptoms associated with the following allergic conditions:</w:t>
      </w:r>
    </w:p>
    <w:p w14:paraId="22229B19" w14:textId="77777777" w:rsidR="00FC2BDF" w:rsidRPr="00144565" w:rsidRDefault="00FC2BDF" w:rsidP="005C342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44565">
        <w:rPr>
          <w:rFonts w:ascii="Arial" w:hAnsi="Arial" w:cs="Arial"/>
          <w:sz w:val="20"/>
          <w:szCs w:val="20"/>
        </w:rPr>
        <w:t>seasonal allergic rhinitis</w:t>
      </w:r>
    </w:p>
    <w:p w14:paraId="24A4D2F1" w14:textId="77777777" w:rsidR="00FC2BDF" w:rsidRPr="00144565" w:rsidRDefault="00FC2BDF" w:rsidP="005C342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44565">
        <w:rPr>
          <w:rFonts w:ascii="Arial" w:hAnsi="Arial" w:cs="Arial"/>
          <w:sz w:val="20"/>
          <w:szCs w:val="20"/>
        </w:rPr>
        <w:t>perennial allergic rhinitis</w:t>
      </w:r>
    </w:p>
    <w:p w14:paraId="623D3E9E" w14:textId="65C41F4B" w:rsidR="00FC2BDF" w:rsidRDefault="00FC2BDF" w:rsidP="005C342C">
      <w:pPr>
        <w:pStyle w:val="Default"/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chronic idiopathic urticaria. </w:t>
      </w:r>
    </w:p>
    <w:p w14:paraId="2FF16912" w14:textId="77777777" w:rsidR="005C342C" w:rsidRDefault="005C342C" w:rsidP="005C342C">
      <w:pPr>
        <w:pStyle w:val="Default"/>
        <w:spacing w:line="480" w:lineRule="auto"/>
        <w:ind w:left="720"/>
        <w:jc w:val="both"/>
        <w:rPr>
          <w:sz w:val="20"/>
          <w:szCs w:val="20"/>
        </w:rPr>
      </w:pPr>
    </w:p>
    <w:p w14:paraId="62980FC9" w14:textId="77777777" w:rsidR="00FC2BDF" w:rsidRPr="001B1880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4.2 Posology and method of administration</w:t>
      </w:r>
    </w:p>
    <w:p w14:paraId="7EA26A6E" w14:textId="77777777" w:rsidR="00FC2BDF" w:rsidRPr="001B1880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Posology</w:t>
      </w:r>
    </w:p>
    <w:p w14:paraId="37DA0B0D" w14:textId="77777777" w:rsidR="00FC2BDF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095E">
        <w:rPr>
          <w:rFonts w:ascii="Arial" w:hAnsi="Arial" w:cs="Arial"/>
          <w:b/>
          <w:bCs/>
          <w:sz w:val="20"/>
          <w:szCs w:val="20"/>
        </w:rPr>
        <w:t>Adults and adolescents 12 years of age and older:</w:t>
      </w:r>
    </w:p>
    <w:p w14:paraId="42E6CCC3" w14:textId="5B58B5CC" w:rsidR="00FC2BDF" w:rsidRDefault="00FC2BDF" w:rsidP="005C342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095E">
        <w:rPr>
          <w:rFonts w:ascii="Arial" w:hAnsi="Arial" w:cs="Arial"/>
          <w:sz w:val="20"/>
          <w:szCs w:val="20"/>
        </w:rPr>
        <w:t>The daily recommended dose is 5 mg (10 m</w:t>
      </w:r>
      <w:r>
        <w:rPr>
          <w:rFonts w:ascii="Arial" w:hAnsi="Arial" w:cs="Arial"/>
          <w:sz w:val="20"/>
          <w:szCs w:val="20"/>
        </w:rPr>
        <w:t>L</w:t>
      </w:r>
      <w:r w:rsidRPr="0053095E">
        <w:rPr>
          <w:rFonts w:ascii="Arial" w:hAnsi="Arial" w:cs="Arial"/>
          <w:sz w:val="20"/>
          <w:szCs w:val="20"/>
        </w:rPr>
        <w:t>) once</w:t>
      </w:r>
      <w:r w:rsidRPr="005309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95E">
        <w:rPr>
          <w:rFonts w:ascii="Arial" w:hAnsi="Arial" w:cs="Arial"/>
          <w:sz w:val="20"/>
          <w:szCs w:val="20"/>
        </w:rPr>
        <w:t>daily.</w:t>
      </w:r>
    </w:p>
    <w:p w14:paraId="75434047" w14:textId="77777777" w:rsidR="005C342C" w:rsidRPr="0053095E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B4A22EB" w14:textId="77777777" w:rsidR="00FC2BDF" w:rsidRPr="0053095E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095E">
        <w:rPr>
          <w:rFonts w:ascii="Arial" w:hAnsi="Arial" w:cs="Arial"/>
          <w:b/>
          <w:bCs/>
          <w:sz w:val="20"/>
          <w:szCs w:val="20"/>
        </w:rPr>
        <w:t>Special populations</w:t>
      </w:r>
    </w:p>
    <w:p w14:paraId="562A4F30" w14:textId="77777777" w:rsidR="00FC2BDF" w:rsidRPr="00023D7A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23D7A">
        <w:rPr>
          <w:rFonts w:ascii="Arial" w:hAnsi="Arial" w:cs="Arial"/>
          <w:b/>
          <w:bCs/>
          <w:i/>
          <w:iCs/>
          <w:sz w:val="20"/>
          <w:szCs w:val="20"/>
        </w:rPr>
        <w:t>Elderly</w:t>
      </w:r>
    </w:p>
    <w:p w14:paraId="3EB4E52A" w14:textId="269A9657" w:rsidR="00FC2BDF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3095E">
        <w:rPr>
          <w:rFonts w:ascii="Arial" w:hAnsi="Arial" w:cs="Arial"/>
          <w:sz w:val="20"/>
          <w:szCs w:val="20"/>
        </w:rPr>
        <w:t>Adjustment of the dose is recommended in elderly patients with moderate to</w:t>
      </w:r>
      <w:r w:rsidR="005C342C">
        <w:rPr>
          <w:rFonts w:ascii="Arial" w:hAnsi="Arial" w:cs="Arial"/>
          <w:sz w:val="20"/>
          <w:szCs w:val="20"/>
        </w:rPr>
        <w:t xml:space="preserve"> </w:t>
      </w:r>
      <w:r w:rsidRPr="0053095E">
        <w:rPr>
          <w:rFonts w:ascii="Arial" w:hAnsi="Arial" w:cs="Arial"/>
          <w:sz w:val="20"/>
          <w:szCs w:val="20"/>
        </w:rPr>
        <w:t>severe renal impairment (see</w:t>
      </w:r>
      <w:r>
        <w:rPr>
          <w:rFonts w:ascii="Arial" w:hAnsi="Arial" w:cs="Arial"/>
          <w:sz w:val="20"/>
          <w:szCs w:val="20"/>
        </w:rPr>
        <w:t xml:space="preserve"> p</w:t>
      </w:r>
      <w:r w:rsidRPr="0053095E">
        <w:rPr>
          <w:rFonts w:ascii="Arial" w:hAnsi="Arial" w:cs="Arial"/>
          <w:sz w:val="20"/>
          <w:szCs w:val="20"/>
        </w:rPr>
        <w:t>atients with renal impairment below).</w:t>
      </w:r>
    </w:p>
    <w:p w14:paraId="6B05F675" w14:textId="77777777" w:rsidR="005C342C" w:rsidRPr="0053095E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3CC857D2" w14:textId="77777777" w:rsidR="00FC2BDF" w:rsidRPr="00023D7A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23D7A">
        <w:rPr>
          <w:rFonts w:ascii="Arial" w:hAnsi="Arial" w:cs="Arial"/>
          <w:b/>
          <w:bCs/>
          <w:i/>
          <w:iCs/>
          <w:sz w:val="20"/>
          <w:szCs w:val="20"/>
        </w:rPr>
        <w:t>Adults with renal impairment</w:t>
      </w:r>
      <w:r w:rsidRPr="00023D7A">
        <w:rPr>
          <w:rFonts w:ascii="Arial" w:hAnsi="Arial" w:cs="Arial"/>
          <w:b/>
          <w:bCs/>
          <w:i/>
          <w:iCs/>
          <w:strike/>
          <w:sz w:val="20"/>
          <w:szCs w:val="20"/>
        </w:rPr>
        <w:t>:</w:t>
      </w:r>
    </w:p>
    <w:p w14:paraId="213C0926" w14:textId="72B13576" w:rsidR="00FC2BDF" w:rsidRPr="009C2077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419C9">
        <w:rPr>
          <w:rFonts w:ascii="Arial" w:hAnsi="Arial" w:cs="Arial"/>
          <w:sz w:val="20"/>
          <w:szCs w:val="20"/>
        </w:rPr>
        <w:t>The dosing interval must be individualised according to renal function. Refer to the following table and adjust the dose as indicated. To use this dosing table,</w:t>
      </w:r>
      <w:r>
        <w:rPr>
          <w:rFonts w:ascii="Arial" w:hAnsi="Arial" w:cs="Arial"/>
          <w:sz w:val="20"/>
          <w:szCs w:val="20"/>
        </w:rPr>
        <w:t xml:space="preserve"> </w:t>
      </w:r>
      <w:r w:rsidRPr="008419C9">
        <w:rPr>
          <w:rFonts w:ascii="Arial" w:hAnsi="Arial" w:cs="Arial"/>
          <w:sz w:val="20"/>
          <w:szCs w:val="20"/>
        </w:rPr>
        <w:t>an</w:t>
      </w:r>
      <w:r w:rsidRPr="009C2077">
        <w:rPr>
          <w:rFonts w:ascii="Arial" w:hAnsi="Arial" w:cs="Arial"/>
          <w:sz w:val="20"/>
          <w:szCs w:val="20"/>
        </w:rPr>
        <w:t xml:space="preserve"> estimate of the patient's creatinine clearance (Cl</w:t>
      </w:r>
      <w:r w:rsidRPr="009C2077">
        <w:rPr>
          <w:rFonts w:ascii="Arial" w:hAnsi="Arial" w:cs="Arial"/>
          <w:sz w:val="20"/>
          <w:szCs w:val="20"/>
          <w:vertAlign w:val="subscript"/>
        </w:rPr>
        <w:t>cr</w:t>
      </w:r>
      <w:r w:rsidRPr="009C2077">
        <w:rPr>
          <w:rFonts w:ascii="Arial" w:hAnsi="Arial" w:cs="Arial"/>
          <w:sz w:val="20"/>
          <w:szCs w:val="20"/>
        </w:rPr>
        <w:t>) in ml/min is needed. The Cl</w:t>
      </w:r>
      <w:r w:rsidRPr="009C2077">
        <w:rPr>
          <w:rFonts w:ascii="Arial" w:hAnsi="Arial" w:cs="Arial"/>
          <w:sz w:val="20"/>
          <w:szCs w:val="20"/>
          <w:vertAlign w:val="subscript"/>
        </w:rPr>
        <w:t>cr</w:t>
      </w:r>
      <w:r w:rsidRPr="009C2077">
        <w:rPr>
          <w:rFonts w:ascii="Arial" w:hAnsi="Arial" w:cs="Arial"/>
          <w:sz w:val="20"/>
          <w:szCs w:val="20"/>
        </w:rPr>
        <w:t xml:space="preserve"> (ml/min) may be estimated from serum creatinine</w:t>
      </w:r>
      <w:r>
        <w:rPr>
          <w:rFonts w:ascii="Arial" w:hAnsi="Arial" w:cs="Arial"/>
          <w:sz w:val="20"/>
          <w:szCs w:val="20"/>
        </w:rPr>
        <w:t xml:space="preserve"> </w:t>
      </w:r>
      <w:r w:rsidRPr="009C2077">
        <w:rPr>
          <w:rFonts w:ascii="Arial" w:hAnsi="Arial" w:cs="Arial"/>
          <w:sz w:val="20"/>
          <w:szCs w:val="20"/>
        </w:rPr>
        <w:t>(μmol/</w:t>
      </w:r>
      <w:r w:rsidRPr="00750722">
        <w:rPr>
          <w:rFonts w:ascii="Arial" w:hAnsi="Arial" w:cs="Arial"/>
          <w:sz w:val="20"/>
          <w:szCs w:val="20"/>
        </w:rPr>
        <w:t>l</w:t>
      </w:r>
      <w:r w:rsidRPr="009C2077">
        <w:rPr>
          <w:rFonts w:ascii="Arial" w:hAnsi="Arial" w:cs="Arial"/>
          <w:sz w:val="20"/>
          <w:szCs w:val="20"/>
        </w:rPr>
        <w:t>) determination using the following formula:</w:t>
      </w:r>
    </w:p>
    <w:p w14:paraId="1737C3FC" w14:textId="77777777" w:rsidR="00FC2BDF" w:rsidRPr="0059280D" w:rsidRDefault="00FC2BDF" w:rsidP="005C342C">
      <w:pPr>
        <w:kinsoku w:val="0"/>
        <w:overflowPunct w:val="0"/>
        <w:autoSpaceDE w:val="0"/>
        <w:autoSpaceDN w:val="0"/>
        <w:adjustRightInd w:val="0"/>
        <w:spacing w:before="9" w:after="0" w:line="480" w:lineRule="auto"/>
        <w:jc w:val="both"/>
        <w:rPr>
          <w:rFonts w:ascii="Times New Roman" w:hAnsi="Times New Roman" w:cs="Times New Roman"/>
          <w:sz w:val="5"/>
          <w:szCs w:val="5"/>
        </w:rPr>
      </w:pPr>
    </w:p>
    <w:tbl>
      <w:tblPr>
        <w:tblW w:w="69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3150"/>
        <w:gridCol w:w="2524"/>
      </w:tblGrid>
      <w:tr w:rsidR="00FC2BDF" w:rsidRPr="0059280D" w14:paraId="42E51EB8" w14:textId="77777777" w:rsidTr="00FB19CF">
        <w:trPr>
          <w:trHeight w:val="387"/>
        </w:trPr>
        <w:tc>
          <w:tcPr>
            <w:tcW w:w="124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65178" w14:textId="77777777" w:rsidR="00FC2BDF" w:rsidRPr="0059280D" w:rsidRDefault="00FC2BDF" w:rsidP="005C342C">
            <w:pPr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00"/>
              <w:jc w:val="both"/>
              <w:rPr>
                <w:rFonts w:ascii="Arial" w:hAnsi="Arial" w:cs="Arial"/>
                <w:position w:val="1"/>
                <w:sz w:val="20"/>
                <w:szCs w:val="20"/>
              </w:rPr>
            </w:pPr>
            <w:bookmarkStart w:id="0" w:name="The_Clcr_(ml/min)_may_be_estimated_from_"/>
            <w:bookmarkEnd w:id="0"/>
            <w:r w:rsidRPr="0059280D">
              <w:rPr>
                <w:rFonts w:ascii="Arial" w:hAnsi="Arial" w:cs="Arial"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L</w:t>
            </w:r>
            <w:r w:rsidRPr="0059280D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Pr="0059280D"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  <w:tc>
          <w:tcPr>
            <w:tcW w:w="315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D5047E7" w14:textId="77777777" w:rsidR="00FC2BDF" w:rsidRPr="0059280D" w:rsidRDefault="00FC2BDF" w:rsidP="005C342C">
            <w:pPr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righ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80D">
              <w:rPr>
                <w:rFonts w:ascii="Arial" w:hAnsi="Arial" w:cs="Arial"/>
                <w:sz w:val="20"/>
                <w:szCs w:val="20"/>
              </w:rPr>
              <w:t>(140 – age) x body weight in kg</w:t>
            </w:r>
          </w:p>
        </w:tc>
        <w:tc>
          <w:tcPr>
            <w:tcW w:w="252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3448E" w14:textId="77777777" w:rsidR="00FC2BDF" w:rsidRDefault="00FC2BDF" w:rsidP="005C342C">
            <w:pPr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9DB0C" w14:textId="77777777" w:rsidR="00FC2BDF" w:rsidRPr="0059280D" w:rsidRDefault="00FC2BDF" w:rsidP="005C342C">
            <w:pPr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80D">
              <w:rPr>
                <w:rFonts w:ascii="Arial" w:hAnsi="Arial" w:cs="Arial"/>
                <w:sz w:val="20"/>
                <w:szCs w:val="20"/>
              </w:rPr>
              <w:t>(0,85 for women)</w:t>
            </w:r>
          </w:p>
        </w:tc>
      </w:tr>
      <w:tr w:rsidR="00FC2BDF" w:rsidRPr="0059280D" w14:paraId="3942BF82" w14:textId="77777777" w:rsidTr="00FB19CF">
        <w:trPr>
          <w:trHeight w:val="403"/>
        </w:trPr>
        <w:tc>
          <w:tcPr>
            <w:tcW w:w="1245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85DFF" w14:textId="77777777" w:rsidR="00FC2BDF" w:rsidRPr="0059280D" w:rsidRDefault="00FC2BDF" w:rsidP="005C342C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48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AE1B9" w14:textId="77777777" w:rsidR="00FC2BDF" w:rsidRPr="0059280D" w:rsidRDefault="00FC2BDF" w:rsidP="005C342C">
            <w:pPr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0" w:righ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80D">
              <w:rPr>
                <w:rFonts w:ascii="Arial" w:hAnsi="Arial" w:cs="Arial"/>
                <w:sz w:val="20"/>
                <w:szCs w:val="20"/>
              </w:rPr>
              <w:t>serum creatinine (μmol/</w:t>
            </w:r>
            <w:r w:rsidRPr="00750722">
              <w:rPr>
                <w:rFonts w:ascii="Arial" w:hAnsi="Arial" w:cs="Arial"/>
                <w:sz w:val="20"/>
                <w:szCs w:val="20"/>
              </w:rPr>
              <w:t>l</w:t>
            </w:r>
            <w:r w:rsidRPr="005928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24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220D8" w14:textId="77777777" w:rsidR="00FC2BDF" w:rsidRPr="0059280D" w:rsidRDefault="00FC2BDF" w:rsidP="005C342C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48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5AF54F6" w14:textId="401190A8" w:rsidR="00107043" w:rsidRDefault="00107043" w:rsidP="005C342C">
      <w:pPr>
        <w:spacing w:after="0" w:line="480" w:lineRule="auto"/>
        <w:jc w:val="both"/>
      </w:pPr>
    </w:p>
    <w:p w14:paraId="58B80374" w14:textId="77777777" w:rsidR="00FC2BDF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Dosing adjustments for </w:t>
      </w:r>
      <w:r w:rsidRPr="00580B6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atients with </w:t>
      </w:r>
      <w:r w:rsidRPr="00580B6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mpaired</w:t>
      </w:r>
      <w:r w:rsidRPr="00580B62">
        <w:rPr>
          <w:rFonts w:ascii="Arial" w:hAnsi="Arial" w:cs="Arial"/>
          <w:sz w:val="20"/>
          <w:szCs w:val="20"/>
        </w:rPr>
        <w:t xml:space="preserve"> renal</w:t>
      </w:r>
      <w:r>
        <w:rPr>
          <w:rFonts w:ascii="Arial" w:hAnsi="Arial" w:cs="Arial"/>
          <w:sz w:val="20"/>
          <w:szCs w:val="20"/>
        </w:rPr>
        <w:t xml:space="preserve"> </w:t>
      </w:r>
      <w:r w:rsidRPr="00580B62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FC2BDF" w14:paraId="48A6C6BE" w14:textId="77777777" w:rsidTr="005C342C">
        <w:tc>
          <w:tcPr>
            <w:tcW w:w="3256" w:type="dxa"/>
          </w:tcPr>
          <w:p w14:paraId="26694EA3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</w:t>
            </w:r>
          </w:p>
        </w:tc>
        <w:tc>
          <w:tcPr>
            <w:tcW w:w="3118" w:type="dxa"/>
          </w:tcPr>
          <w:p w14:paraId="30FA805C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Creatinine clearance (ml/min)</w:t>
            </w:r>
          </w:p>
        </w:tc>
        <w:tc>
          <w:tcPr>
            <w:tcW w:w="2977" w:type="dxa"/>
          </w:tcPr>
          <w:p w14:paraId="151B054B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Dosage and frequency</w:t>
            </w:r>
          </w:p>
        </w:tc>
      </w:tr>
      <w:tr w:rsidR="00FC2BDF" w14:paraId="30224375" w14:textId="77777777" w:rsidTr="005C342C">
        <w:tc>
          <w:tcPr>
            <w:tcW w:w="3256" w:type="dxa"/>
          </w:tcPr>
          <w:p w14:paraId="41233F37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3118" w:type="dxa"/>
          </w:tcPr>
          <w:p w14:paraId="003CF2CE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 80</w:t>
            </w:r>
          </w:p>
        </w:tc>
        <w:tc>
          <w:tcPr>
            <w:tcW w:w="2977" w:type="dxa"/>
          </w:tcPr>
          <w:p w14:paraId="3D3B89CD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once daily</w:t>
            </w:r>
          </w:p>
        </w:tc>
      </w:tr>
      <w:tr w:rsidR="00FC2BDF" w14:paraId="6C3BFD28" w14:textId="77777777" w:rsidTr="005C342C">
        <w:tc>
          <w:tcPr>
            <w:tcW w:w="3256" w:type="dxa"/>
          </w:tcPr>
          <w:p w14:paraId="2D82BA65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Mild</w:t>
            </w:r>
          </w:p>
        </w:tc>
        <w:tc>
          <w:tcPr>
            <w:tcW w:w="3118" w:type="dxa"/>
          </w:tcPr>
          <w:p w14:paraId="0B3574D5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50-79</w:t>
            </w:r>
          </w:p>
        </w:tc>
        <w:tc>
          <w:tcPr>
            <w:tcW w:w="2977" w:type="dxa"/>
          </w:tcPr>
          <w:p w14:paraId="1CCFD570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once daily</w:t>
            </w:r>
          </w:p>
        </w:tc>
      </w:tr>
      <w:tr w:rsidR="00FC2BDF" w14:paraId="39FD6870" w14:textId="77777777" w:rsidTr="005C342C">
        <w:tc>
          <w:tcPr>
            <w:tcW w:w="3256" w:type="dxa"/>
          </w:tcPr>
          <w:p w14:paraId="546BCEB5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3118" w:type="dxa"/>
          </w:tcPr>
          <w:p w14:paraId="46E5D43D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30-49</w:t>
            </w:r>
          </w:p>
        </w:tc>
        <w:tc>
          <w:tcPr>
            <w:tcW w:w="2977" w:type="dxa"/>
          </w:tcPr>
          <w:p w14:paraId="7A0C03DF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once every 2 days</w:t>
            </w:r>
          </w:p>
        </w:tc>
      </w:tr>
      <w:tr w:rsidR="00FC2BDF" w14:paraId="1D3AA7DF" w14:textId="77777777" w:rsidTr="005C342C">
        <w:tc>
          <w:tcPr>
            <w:tcW w:w="3256" w:type="dxa"/>
          </w:tcPr>
          <w:p w14:paraId="499C7637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Severe</w:t>
            </w:r>
          </w:p>
        </w:tc>
        <w:tc>
          <w:tcPr>
            <w:tcW w:w="3118" w:type="dxa"/>
          </w:tcPr>
          <w:p w14:paraId="126FFA8B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&lt;30</w:t>
            </w:r>
          </w:p>
        </w:tc>
        <w:tc>
          <w:tcPr>
            <w:tcW w:w="2977" w:type="dxa"/>
          </w:tcPr>
          <w:p w14:paraId="6CEB62D0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once every 3 days</w:t>
            </w:r>
          </w:p>
        </w:tc>
      </w:tr>
      <w:tr w:rsidR="00FC2BDF" w14:paraId="48B7B33A" w14:textId="77777777" w:rsidTr="005C342C">
        <w:tc>
          <w:tcPr>
            <w:tcW w:w="3256" w:type="dxa"/>
          </w:tcPr>
          <w:p w14:paraId="6E46D579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End-stage renal disease – Patients undergoing dialysis</w:t>
            </w:r>
          </w:p>
        </w:tc>
        <w:tc>
          <w:tcPr>
            <w:tcW w:w="3118" w:type="dxa"/>
          </w:tcPr>
          <w:p w14:paraId="2E787D64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&lt;10</w:t>
            </w:r>
          </w:p>
        </w:tc>
        <w:tc>
          <w:tcPr>
            <w:tcW w:w="2977" w:type="dxa"/>
          </w:tcPr>
          <w:p w14:paraId="5F6F37AC" w14:textId="77777777" w:rsidR="00FC2BDF" w:rsidRDefault="00FC2BDF" w:rsidP="005C342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Contraindicated</w:t>
            </w:r>
          </w:p>
        </w:tc>
      </w:tr>
    </w:tbl>
    <w:p w14:paraId="7CE761A8" w14:textId="4A638792" w:rsidR="00FC2BDF" w:rsidRDefault="00FC2BDF" w:rsidP="005C342C">
      <w:pPr>
        <w:spacing w:after="0" w:line="480" w:lineRule="auto"/>
        <w:jc w:val="both"/>
      </w:pPr>
    </w:p>
    <w:p w14:paraId="32AE73A2" w14:textId="210881BC" w:rsidR="00FC2BDF" w:rsidRPr="00023D7A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23D7A">
        <w:rPr>
          <w:rFonts w:ascii="Arial" w:hAnsi="Arial" w:cs="Arial"/>
          <w:b/>
          <w:bCs/>
          <w:i/>
          <w:iCs/>
          <w:sz w:val="20"/>
          <w:szCs w:val="20"/>
        </w:rPr>
        <w:t xml:space="preserve">In </w:t>
      </w:r>
      <w:r w:rsidR="0020643B" w:rsidRPr="00023D7A">
        <w:rPr>
          <w:rFonts w:ascii="Arial" w:hAnsi="Arial" w:cs="Arial"/>
          <w:b/>
          <w:bCs/>
          <w:i/>
          <w:iCs/>
          <w:sz w:val="20"/>
          <w:szCs w:val="20"/>
        </w:rPr>
        <w:t>paediatric</w:t>
      </w:r>
      <w:r w:rsidRPr="00023D7A">
        <w:rPr>
          <w:rFonts w:ascii="Arial" w:hAnsi="Arial" w:cs="Arial"/>
          <w:b/>
          <w:bCs/>
          <w:i/>
          <w:iCs/>
          <w:sz w:val="20"/>
          <w:szCs w:val="20"/>
        </w:rPr>
        <w:t xml:space="preserve"> patients suffering from renal impairment</w:t>
      </w:r>
    </w:p>
    <w:p w14:paraId="5D6F53A1" w14:textId="7C178B01" w:rsidR="00FC2BDF" w:rsidRDefault="00FC2BDF" w:rsidP="005C342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644BC">
        <w:rPr>
          <w:rFonts w:ascii="Arial" w:hAnsi="Arial" w:cs="Arial"/>
          <w:sz w:val="20"/>
          <w:szCs w:val="20"/>
        </w:rPr>
        <w:t>The dose will have to be adjusted on an individual basis taking into account the renal clearance of the patient and his/her body weight. There are no specific data for children with renal impairment.</w:t>
      </w:r>
    </w:p>
    <w:p w14:paraId="2E3CA0C6" w14:textId="77777777" w:rsidR="005C342C" w:rsidRPr="0053095E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2E83B68" w14:textId="77777777" w:rsidR="00FC2BDF" w:rsidRPr="00023D7A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23D7A">
        <w:rPr>
          <w:rFonts w:ascii="Arial" w:hAnsi="Arial" w:cs="Arial"/>
          <w:b/>
          <w:bCs/>
          <w:i/>
          <w:iCs/>
          <w:sz w:val="20"/>
          <w:szCs w:val="20"/>
        </w:rPr>
        <w:t>Patients with hepatic impairment</w:t>
      </w:r>
    </w:p>
    <w:p w14:paraId="72B888E0" w14:textId="7C6B1C58" w:rsidR="00FC2BDF" w:rsidRDefault="00FC2BDF" w:rsidP="005C342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536EB">
        <w:rPr>
          <w:rFonts w:ascii="Arial" w:hAnsi="Arial" w:cs="Arial"/>
          <w:sz w:val="20"/>
          <w:szCs w:val="20"/>
        </w:rPr>
        <w:t>No dose adjustment is needed in patients with solely hepatic impairment. In patients with hepatic impairment and renal impairment, adjustment of the dose is recommended (see Patients with renal impairment above).</w:t>
      </w:r>
    </w:p>
    <w:p w14:paraId="342B49AA" w14:textId="77777777" w:rsidR="005C342C" w:rsidRPr="0053095E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C67F4A2" w14:textId="4781E106" w:rsidR="00FC2BDF" w:rsidRPr="00A1794B" w:rsidRDefault="0073276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794B">
        <w:rPr>
          <w:rFonts w:ascii="Arial" w:hAnsi="Arial" w:cs="Arial"/>
          <w:b/>
          <w:bCs/>
          <w:sz w:val="20"/>
          <w:szCs w:val="20"/>
        </w:rPr>
        <w:t>Paediatric</w:t>
      </w:r>
      <w:r w:rsidR="00FC2BDF" w:rsidRPr="00A1794B">
        <w:rPr>
          <w:rFonts w:ascii="Arial" w:hAnsi="Arial" w:cs="Arial"/>
          <w:b/>
          <w:bCs/>
          <w:sz w:val="20"/>
          <w:szCs w:val="20"/>
        </w:rPr>
        <w:t xml:space="preserve"> population</w:t>
      </w:r>
    </w:p>
    <w:p w14:paraId="2B20BD0D" w14:textId="7BB5D599" w:rsidR="00FC2BDF" w:rsidRPr="00023D7A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23D7A">
        <w:rPr>
          <w:rFonts w:ascii="Arial" w:hAnsi="Arial" w:cs="Arial"/>
          <w:i/>
          <w:iCs/>
          <w:sz w:val="20"/>
          <w:szCs w:val="20"/>
        </w:rPr>
        <w:t>Children aged less than 2 years</w:t>
      </w:r>
      <w:r w:rsidR="005C342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8C67800" w14:textId="00263639" w:rsidR="00FC2BDF" w:rsidRPr="00440252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0252">
        <w:rPr>
          <w:rFonts w:ascii="Arial" w:hAnsi="Arial" w:cs="Arial"/>
          <w:sz w:val="20"/>
          <w:szCs w:val="20"/>
        </w:rPr>
        <w:t>The administration of</w:t>
      </w:r>
      <w:r w:rsidRPr="00440252">
        <w:rPr>
          <w:rFonts w:ascii="Arial" w:hAnsi="Arial" w:cs="Arial"/>
          <w:b/>
          <w:bCs/>
          <w:sz w:val="20"/>
          <w:szCs w:val="20"/>
        </w:rPr>
        <w:t xml:space="preserve"> CETORIN O</w:t>
      </w:r>
      <w:r>
        <w:rPr>
          <w:rFonts w:ascii="Arial" w:hAnsi="Arial" w:cs="Arial"/>
          <w:b/>
          <w:bCs/>
          <w:sz w:val="20"/>
          <w:szCs w:val="20"/>
        </w:rPr>
        <w:t xml:space="preserve">ral </w:t>
      </w:r>
      <w:r w:rsidRPr="00440252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olution</w:t>
      </w:r>
      <w:r w:rsidRPr="00440252">
        <w:rPr>
          <w:rFonts w:ascii="Arial" w:hAnsi="Arial" w:cs="Arial"/>
          <w:sz w:val="20"/>
          <w:szCs w:val="20"/>
        </w:rPr>
        <w:t xml:space="preserve"> to infants and toddlers aged less than 2 years is not recommended (see section 4.4).</w:t>
      </w:r>
    </w:p>
    <w:p w14:paraId="60F66660" w14:textId="77777777" w:rsidR="00FC2BDF" w:rsidRPr="00C859B2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859B2">
        <w:rPr>
          <w:rFonts w:ascii="Arial" w:hAnsi="Arial" w:cs="Arial"/>
          <w:i/>
          <w:iCs/>
          <w:sz w:val="20"/>
          <w:szCs w:val="20"/>
        </w:rPr>
        <w:t xml:space="preserve">Children aged </w:t>
      </w:r>
      <w:r w:rsidRPr="00750722">
        <w:rPr>
          <w:rFonts w:ascii="Arial" w:hAnsi="Arial" w:cs="Arial"/>
          <w:i/>
          <w:iCs/>
          <w:sz w:val="20"/>
          <w:szCs w:val="20"/>
        </w:rPr>
        <w:t>2 to</w:t>
      </w:r>
      <w:r w:rsidRPr="00C859B2">
        <w:rPr>
          <w:rFonts w:ascii="Arial" w:hAnsi="Arial" w:cs="Arial"/>
          <w:i/>
          <w:iCs/>
          <w:sz w:val="20"/>
          <w:szCs w:val="20"/>
        </w:rPr>
        <w:t xml:space="preserve"> 6 years</w:t>
      </w:r>
    </w:p>
    <w:p w14:paraId="23B3606A" w14:textId="54FADFA1" w:rsidR="00FC2BDF" w:rsidRPr="00440252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0252">
        <w:rPr>
          <w:rFonts w:ascii="Arial" w:hAnsi="Arial" w:cs="Arial"/>
          <w:sz w:val="20"/>
          <w:szCs w:val="20"/>
        </w:rPr>
        <w:t xml:space="preserve">The daily recommended dose </w:t>
      </w:r>
      <w:r w:rsidRPr="00750722">
        <w:rPr>
          <w:rFonts w:ascii="Arial" w:hAnsi="Arial" w:cs="Arial"/>
          <w:sz w:val="20"/>
          <w:szCs w:val="20"/>
        </w:rPr>
        <w:t>is</w:t>
      </w:r>
      <w:r w:rsidRPr="00C859B2">
        <w:rPr>
          <w:rFonts w:ascii="Arial" w:hAnsi="Arial" w:cs="Arial"/>
          <w:sz w:val="20"/>
          <w:szCs w:val="20"/>
        </w:rPr>
        <w:t xml:space="preserve"> </w:t>
      </w:r>
      <w:r w:rsidRPr="00440252">
        <w:rPr>
          <w:rFonts w:ascii="Arial" w:hAnsi="Arial" w:cs="Arial"/>
          <w:sz w:val="20"/>
          <w:szCs w:val="20"/>
        </w:rPr>
        <w:t>2,5 mg to be administered in 2 intakes of 1,25</w:t>
      </w:r>
      <w:r>
        <w:rPr>
          <w:rFonts w:ascii="Arial" w:hAnsi="Arial" w:cs="Arial"/>
          <w:sz w:val="20"/>
          <w:szCs w:val="20"/>
        </w:rPr>
        <w:t xml:space="preserve"> </w:t>
      </w:r>
      <w:r w:rsidRPr="00440252">
        <w:rPr>
          <w:rFonts w:ascii="Arial" w:hAnsi="Arial" w:cs="Arial"/>
          <w:sz w:val="20"/>
          <w:szCs w:val="20"/>
        </w:rPr>
        <w:t>mg (2,5 m</w:t>
      </w:r>
      <w:r>
        <w:rPr>
          <w:rFonts w:ascii="Arial" w:hAnsi="Arial" w:cs="Arial"/>
          <w:sz w:val="20"/>
          <w:szCs w:val="20"/>
        </w:rPr>
        <w:t>L</w:t>
      </w:r>
      <w:r w:rsidRPr="00440252">
        <w:rPr>
          <w:rFonts w:ascii="Arial" w:hAnsi="Arial" w:cs="Arial"/>
          <w:sz w:val="20"/>
          <w:szCs w:val="20"/>
        </w:rPr>
        <w:t xml:space="preserve"> of solution twice daily).</w:t>
      </w:r>
    </w:p>
    <w:p w14:paraId="33867DC7" w14:textId="77777777" w:rsidR="00FC2BDF" w:rsidRPr="000F6737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F6737">
        <w:rPr>
          <w:rFonts w:ascii="Arial" w:hAnsi="Arial" w:cs="Arial"/>
          <w:i/>
          <w:iCs/>
          <w:sz w:val="20"/>
          <w:szCs w:val="20"/>
        </w:rPr>
        <w:t>Children aged 6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750722">
        <w:rPr>
          <w:rFonts w:ascii="Arial" w:hAnsi="Arial" w:cs="Arial"/>
          <w:i/>
          <w:iCs/>
          <w:sz w:val="20"/>
          <w:szCs w:val="20"/>
        </w:rPr>
        <w:t xml:space="preserve">to </w:t>
      </w:r>
      <w:r w:rsidRPr="000F6737">
        <w:rPr>
          <w:rFonts w:ascii="Arial" w:hAnsi="Arial" w:cs="Arial"/>
          <w:i/>
          <w:iCs/>
          <w:sz w:val="20"/>
          <w:szCs w:val="20"/>
        </w:rPr>
        <w:t>12 years</w:t>
      </w:r>
    </w:p>
    <w:p w14:paraId="499408C5" w14:textId="376202CD" w:rsidR="00FC2BDF" w:rsidRDefault="00FC2BDF" w:rsidP="005C342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1794B">
        <w:rPr>
          <w:rFonts w:ascii="Arial" w:hAnsi="Arial" w:cs="Arial"/>
          <w:sz w:val="20"/>
          <w:szCs w:val="20"/>
        </w:rPr>
        <w:t>The daily recommended dose is 5 mg (10 m</w:t>
      </w:r>
      <w:r>
        <w:rPr>
          <w:rFonts w:ascii="Arial" w:hAnsi="Arial" w:cs="Arial"/>
          <w:sz w:val="20"/>
          <w:szCs w:val="20"/>
        </w:rPr>
        <w:t>L</w:t>
      </w:r>
      <w:r w:rsidRPr="00A1794B">
        <w:rPr>
          <w:rFonts w:ascii="Arial" w:hAnsi="Arial" w:cs="Arial"/>
          <w:sz w:val="20"/>
          <w:szCs w:val="20"/>
        </w:rPr>
        <w:t>) once daily.</w:t>
      </w:r>
    </w:p>
    <w:p w14:paraId="46123622" w14:textId="77777777" w:rsidR="005C342C" w:rsidRPr="00A1794B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4F21405D" w14:textId="77777777" w:rsidR="00FC2BDF" w:rsidRPr="000F6737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6737">
        <w:rPr>
          <w:rFonts w:ascii="Arial" w:hAnsi="Arial" w:cs="Arial"/>
          <w:b/>
          <w:bCs/>
          <w:sz w:val="20"/>
          <w:szCs w:val="20"/>
        </w:rPr>
        <w:t>Duration of use</w:t>
      </w:r>
    </w:p>
    <w:p w14:paraId="68F2A22A" w14:textId="7C568E93" w:rsidR="00FC2BDF" w:rsidRPr="00750722" w:rsidRDefault="00FC2BDF" w:rsidP="005C342C">
      <w:pPr>
        <w:spacing w:after="0" w:line="480" w:lineRule="auto"/>
        <w:jc w:val="both"/>
        <w:rPr>
          <w:rFonts w:ascii="Arial" w:eastAsia="ArialMT" w:hAnsi="Arial" w:cs="Arial"/>
          <w:strike/>
          <w:sz w:val="20"/>
          <w:szCs w:val="20"/>
        </w:rPr>
      </w:pPr>
      <w:r w:rsidRPr="001405EB">
        <w:rPr>
          <w:rFonts w:ascii="Arial" w:hAnsi="Arial" w:cs="Arial"/>
          <w:sz w:val="20"/>
          <w:szCs w:val="20"/>
        </w:rPr>
        <w:t>Intermittent allergic rhinitis (symptoms &lt; 4 days/week or during less than 4</w:t>
      </w:r>
      <w:r w:rsidR="005C342C">
        <w:rPr>
          <w:rFonts w:ascii="Arial" w:hAnsi="Arial" w:cs="Arial"/>
          <w:sz w:val="20"/>
          <w:szCs w:val="20"/>
        </w:rPr>
        <w:t xml:space="preserve"> </w:t>
      </w:r>
      <w:r w:rsidRPr="001405EB">
        <w:rPr>
          <w:rFonts w:ascii="Arial" w:hAnsi="Arial" w:cs="Arial"/>
          <w:sz w:val="20"/>
          <w:szCs w:val="20"/>
        </w:rPr>
        <w:t>weeks) has to be treated according to the disease and its history; it can be stopped once</w:t>
      </w:r>
      <w:r>
        <w:t xml:space="preserve"> </w:t>
      </w:r>
      <w:r w:rsidRPr="001405EB">
        <w:rPr>
          <w:rFonts w:ascii="Arial" w:hAnsi="Arial" w:cs="Arial"/>
          <w:sz w:val="20"/>
          <w:szCs w:val="20"/>
        </w:rPr>
        <w:t>the symptoms have disappeared and can be restarted again</w:t>
      </w:r>
      <w:r w:rsidR="005C342C">
        <w:rPr>
          <w:rFonts w:ascii="Arial" w:hAnsi="Arial" w:cs="Arial"/>
          <w:sz w:val="20"/>
          <w:szCs w:val="20"/>
        </w:rPr>
        <w:t xml:space="preserve"> </w:t>
      </w:r>
      <w:r w:rsidRPr="001405EB">
        <w:rPr>
          <w:rFonts w:ascii="Arial" w:hAnsi="Arial" w:cs="Arial"/>
          <w:sz w:val="20"/>
          <w:szCs w:val="20"/>
        </w:rPr>
        <w:t xml:space="preserve">when symptoms reappear. In case of persistent allergic rhinitis (symptoms &gt; 4 days/week or during more than 4 weeks), continuous therapy can be </w:t>
      </w:r>
      <w:r w:rsidRPr="00750722">
        <w:rPr>
          <w:rFonts w:ascii="Arial" w:hAnsi="Arial" w:cs="Arial"/>
          <w:sz w:val="20"/>
          <w:szCs w:val="20"/>
        </w:rPr>
        <w:t>proposed to the patient during the period of exposure to allergens. Clinical experience with</w:t>
      </w:r>
      <w:r w:rsidRPr="00750722">
        <w:rPr>
          <w:rFonts w:ascii="Arial" w:hAnsi="Arial" w:cs="Arial"/>
          <w:b/>
          <w:bCs/>
          <w:sz w:val="20"/>
          <w:szCs w:val="20"/>
        </w:rPr>
        <w:t xml:space="preserve"> CETORIN O</w:t>
      </w:r>
      <w:r>
        <w:rPr>
          <w:rFonts w:ascii="Arial" w:hAnsi="Arial" w:cs="Arial"/>
          <w:b/>
          <w:bCs/>
          <w:sz w:val="20"/>
          <w:szCs w:val="20"/>
        </w:rPr>
        <w:t xml:space="preserve">ral </w:t>
      </w:r>
      <w:r w:rsidRPr="00750722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olution</w:t>
      </w:r>
      <w:r w:rsidRPr="007507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0722">
        <w:rPr>
          <w:rFonts w:ascii="Arial" w:hAnsi="Arial" w:cs="Arial"/>
          <w:sz w:val="20"/>
          <w:szCs w:val="20"/>
        </w:rPr>
        <w:t xml:space="preserve">is currently available for a 6-month </w:t>
      </w:r>
    </w:p>
    <w:p w14:paraId="3F440BD6" w14:textId="1FA8AB18" w:rsidR="00FC2BDF" w:rsidRDefault="00FC2BDF" w:rsidP="005C342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0722">
        <w:rPr>
          <w:rFonts w:ascii="Arial" w:hAnsi="Arial" w:cs="Arial"/>
          <w:sz w:val="20"/>
          <w:szCs w:val="20"/>
        </w:rPr>
        <w:lastRenderedPageBreak/>
        <w:t>treatment period.</w:t>
      </w:r>
    </w:p>
    <w:p w14:paraId="24B87DC7" w14:textId="77777777" w:rsidR="005C342C" w:rsidRPr="00750722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3086DDC5" w14:textId="77777777" w:rsidR="00FC2BDF" w:rsidRPr="00750722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750722">
        <w:rPr>
          <w:rFonts w:ascii="Arial" w:hAnsi="Arial" w:cs="Arial"/>
          <w:b/>
          <w:bCs/>
          <w:sz w:val="20"/>
          <w:szCs w:val="20"/>
        </w:rPr>
        <w:t xml:space="preserve">Method of administration </w:t>
      </w:r>
    </w:p>
    <w:p w14:paraId="40F69DEA" w14:textId="12945295" w:rsidR="00FC2BDF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50722">
        <w:rPr>
          <w:rFonts w:ascii="Arial" w:hAnsi="Arial" w:cs="Arial"/>
          <w:b/>
          <w:bCs/>
          <w:sz w:val="20"/>
          <w:szCs w:val="20"/>
        </w:rPr>
        <w:t>For oral administration</w:t>
      </w:r>
    </w:p>
    <w:p w14:paraId="5F30CFEB" w14:textId="77777777" w:rsidR="00030904" w:rsidRPr="00750722" w:rsidRDefault="00030904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</w:p>
    <w:p w14:paraId="5015018F" w14:textId="77777777" w:rsidR="00FC2BDF" w:rsidRPr="001405EB" w:rsidRDefault="00FC2BDF" w:rsidP="005C34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405EB">
        <w:rPr>
          <w:rFonts w:ascii="Arial" w:eastAsia="ArialMT" w:hAnsi="Arial" w:cs="Arial"/>
          <w:b/>
          <w:bCs/>
          <w:sz w:val="20"/>
          <w:szCs w:val="20"/>
        </w:rPr>
        <w:t>4.3 Contraindications</w:t>
      </w:r>
    </w:p>
    <w:p w14:paraId="50E9A5D6" w14:textId="77777777" w:rsidR="00FC2BDF" w:rsidRPr="00575BE2" w:rsidRDefault="00FC2BDF" w:rsidP="005C342C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575BE2">
        <w:rPr>
          <w:rFonts w:ascii="Arial" w:eastAsia="ArialMT" w:hAnsi="Arial" w:cs="Arial"/>
          <w:b/>
          <w:bCs/>
          <w:sz w:val="20"/>
          <w:szCs w:val="20"/>
        </w:rPr>
        <w:t>CETORIN O</w:t>
      </w:r>
      <w:r>
        <w:rPr>
          <w:rFonts w:ascii="Arial" w:eastAsia="ArialMT" w:hAnsi="Arial" w:cs="Arial"/>
          <w:b/>
          <w:bCs/>
          <w:sz w:val="20"/>
          <w:szCs w:val="20"/>
        </w:rPr>
        <w:t xml:space="preserve">ral </w:t>
      </w:r>
      <w:r w:rsidRPr="00575BE2">
        <w:rPr>
          <w:rFonts w:ascii="Arial" w:eastAsia="ArialMT" w:hAnsi="Arial" w:cs="Arial"/>
          <w:b/>
          <w:bCs/>
          <w:sz w:val="20"/>
          <w:szCs w:val="20"/>
        </w:rPr>
        <w:t>S</w:t>
      </w:r>
      <w:r>
        <w:rPr>
          <w:rFonts w:ascii="Arial" w:eastAsia="ArialMT" w:hAnsi="Arial" w:cs="Arial"/>
          <w:b/>
          <w:bCs/>
          <w:sz w:val="20"/>
          <w:szCs w:val="20"/>
        </w:rPr>
        <w:t>olution</w:t>
      </w:r>
      <w:r w:rsidRPr="00575BE2">
        <w:rPr>
          <w:rFonts w:ascii="Arial" w:eastAsia="ArialMT" w:hAnsi="Arial" w:cs="Arial"/>
          <w:b/>
          <w:bCs/>
          <w:sz w:val="20"/>
          <w:szCs w:val="20"/>
        </w:rPr>
        <w:t xml:space="preserve"> </w:t>
      </w:r>
      <w:r w:rsidRPr="00575BE2">
        <w:rPr>
          <w:rFonts w:ascii="Arial" w:eastAsia="ArialMT" w:hAnsi="Arial" w:cs="Arial"/>
          <w:sz w:val="20"/>
          <w:szCs w:val="20"/>
        </w:rPr>
        <w:t>is contraindicated in</w:t>
      </w:r>
      <w:r w:rsidRPr="00575BE2">
        <w:rPr>
          <w:rFonts w:ascii="Arial" w:eastAsia="ArialMT" w:hAnsi="Arial" w:cs="Arial"/>
          <w:b/>
          <w:bCs/>
          <w:sz w:val="20"/>
          <w:szCs w:val="20"/>
        </w:rPr>
        <w:t xml:space="preserve"> </w:t>
      </w:r>
    </w:p>
    <w:p w14:paraId="487FDBF2" w14:textId="6A4E0EA2" w:rsidR="00FC2BDF" w:rsidRPr="005C342C" w:rsidRDefault="00FC2BDF" w:rsidP="005C3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C342C">
        <w:rPr>
          <w:rFonts w:ascii="Arial" w:eastAsia="ArialMT" w:hAnsi="Arial" w:cs="Arial"/>
          <w:sz w:val="20"/>
          <w:szCs w:val="20"/>
        </w:rPr>
        <w:t>hypersensitivity to the levocetirizine, to any piperazine derivative</w:t>
      </w:r>
      <w:r w:rsidR="005C342C" w:rsidRPr="005C342C">
        <w:rPr>
          <w:rFonts w:ascii="Arial" w:eastAsia="ArialMT" w:hAnsi="Arial" w:cs="Arial"/>
          <w:sz w:val="20"/>
          <w:szCs w:val="20"/>
        </w:rPr>
        <w:t xml:space="preserve"> </w:t>
      </w:r>
      <w:r w:rsidRPr="005C342C">
        <w:rPr>
          <w:rFonts w:ascii="Arial" w:eastAsia="ArialMT" w:hAnsi="Arial" w:cs="Arial"/>
          <w:sz w:val="20"/>
          <w:szCs w:val="20"/>
        </w:rPr>
        <w:t xml:space="preserve">or to any of the excipients </w:t>
      </w:r>
      <w:r w:rsidR="006C3823">
        <w:rPr>
          <w:rFonts w:ascii="Arial" w:eastAsia="ArialMT" w:hAnsi="Arial" w:cs="Arial"/>
          <w:sz w:val="20"/>
          <w:szCs w:val="20"/>
        </w:rPr>
        <w:t xml:space="preserve">of </w:t>
      </w:r>
      <w:r w:rsidRPr="005C342C">
        <w:rPr>
          <w:rFonts w:ascii="Arial" w:eastAsia="ArialMT" w:hAnsi="Arial" w:cs="Arial"/>
          <w:b/>
          <w:bCs/>
          <w:sz w:val="20"/>
          <w:szCs w:val="20"/>
        </w:rPr>
        <w:t>CETORIN Oral Solution</w:t>
      </w:r>
      <w:r w:rsidRPr="005C342C">
        <w:rPr>
          <w:rFonts w:ascii="Arial" w:eastAsia="ArialMT" w:hAnsi="Arial" w:cs="Arial"/>
          <w:sz w:val="20"/>
          <w:szCs w:val="20"/>
        </w:rPr>
        <w:t xml:space="preserve"> (see section 4.4)</w:t>
      </w:r>
    </w:p>
    <w:p w14:paraId="7B6CE4C6" w14:textId="71B78D48" w:rsidR="00FC2BDF" w:rsidRPr="005C342C" w:rsidRDefault="00FC2BDF" w:rsidP="005C342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5C342C">
        <w:rPr>
          <w:rFonts w:ascii="Arial" w:eastAsia="ArialMT" w:hAnsi="Arial" w:cs="Arial"/>
          <w:sz w:val="20"/>
          <w:szCs w:val="20"/>
        </w:rPr>
        <w:t>infants and toddlers aged less than 2 years, as safety and efficacy</w:t>
      </w:r>
      <w:r w:rsidR="005C342C" w:rsidRPr="005C342C">
        <w:rPr>
          <w:rFonts w:ascii="Arial" w:eastAsia="ArialMT" w:hAnsi="Arial" w:cs="Arial"/>
          <w:sz w:val="20"/>
          <w:szCs w:val="20"/>
        </w:rPr>
        <w:t xml:space="preserve"> </w:t>
      </w:r>
      <w:r w:rsidRPr="005C342C">
        <w:rPr>
          <w:rFonts w:ascii="Arial" w:eastAsia="ArialMT" w:hAnsi="Arial" w:cs="Arial"/>
          <w:sz w:val="20"/>
          <w:szCs w:val="20"/>
        </w:rPr>
        <w:t>have not been demonstrated</w:t>
      </w:r>
    </w:p>
    <w:p w14:paraId="389FA215" w14:textId="77265071" w:rsidR="00FC2BDF" w:rsidRPr="005C342C" w:rsidRDefault="00FC2BDF" w:rsidP="005C342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342C">
        <w:rPr>
          <w:rFonts w:ascii="Arial" w:hAnsi="Arial" w:cs="Arial"/>
          <w:sz w:val="20"/>
          <w:szCs w:val="20"/>
        </w:rPr>
        <w:t>during breastfeeding of infants and while pregnant (see section 4.6) and lactation</w:t>
      </w:r>
    </w:p>
    <w:p w14:paraId="7AE722B9" w14:textId="379C6E99" w:rsidR="00FC2BDF" w:rsidRDefault="00FC2BDF" w:rsidP="005C342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342C">
        <w:rPr>
          <w:rFonts w:ascii="Arial" w:hAnsi="Arial" w:cs="Arial"/>
          <w:sz w:val="20"/>
          <w:szCs w:val="20"/>
        </w:rPr>
        <w:t>patients with end-stage renal disease, at less than 10 mL/min</w:t>
      </w:r>
      <w:r w:rsidR="005C342C" w:rsidRPr="005C342C">
        <w:rPr>
          <w:rFonts w:ascii="Arial" w:hAnsi="Arial" w:cs="Arial"/>
          <w:sz w:val="20"/>
          <w:szCs w:val="20"/>
        </w:rPr>
        <w:t xml:space="preserve"> </w:t>
      </w:r>
      <w:r w:rsidRPr="005C342C">
        <w:rPr>
          <w:rFonts w:ascii="Arial" w:hAnsi="Arial" w:cs="Arial"/>
          <w:sz w:val="20"/>
          <w:szCs w:val="20"/>
        </w:rPr>
        <w:t>creatinine clearance.</w:t>
      </w:r>
    </w:p>
    <w:p w14:paraId="074BBCC0" w14:textId="77777777" w:rsidR="005C342C" w:rsidRPr="005C342C" w:rsidRDefault="005C342C" w:rsidP="005C342C">
      <w:pPr>
        <w:pStyle w:val="ListParagraph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02C118A" w14:textId="77777777" w:rsidR="00FC2BDF" w:rsidRPr="00107043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043">
        <w:rPr>
          <w:rFonts w:ascii="Arial" w:hAnsi="Arial" w:cs="Arial"/>
          <w:b/>
          <w:bCs/>
          <w:sz w:val="20"/>
          <w:szCs w:val="20"/>
        </w:rPr>
        <w:t>4.4 Special warnings and precautions for use</w:t>
      </w:r>
    </w:p>
    <w:p w14:paraId="05A99834" w14:textId="77777777" w:rsidR="00FC2BDF" w:rsidRPr="00F95523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5523">
        <w:rPr>
          <w:rFonts w:ascii="Arial" w:hAnsi="Arial" w:cs="Arial"/>
          <w:i/>
          <w:iCs/>
          <w:sz w:val="20"/>
          <w:szCs w:val="20"/>
        </w:rPr>
        <w:t>Alcohol</w:t>
      </w:r>
    </w:p>
    <w:p w14:paraId="5D38FF73" w14:textId="11818668" w:rsidR="00FC2BDF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5444F">
        <w:rPr>
          <w:rFonts w:ascii="Arial" w:hAnsi="Arial" w:cs="Arial"/>
          <w:sz w:val="20"/>
          <w:szCs w:val="20"/>
        </w:rPr>
        <w:t>Precaution is recommended with intake of alcohol.</w:t>
      </w:r>
      <w:r w:rsidRPr="005D4BB1">
        <w:rPr>
          <w:rFonts w:ascii="Arial" w:hAnsi="Arial" w:cs="Arial"/>
          <w:sz w:val="20"/>
          <w:szCs w:val="20"/>
        </w:rPr>
        <w:t xml:space="preserve"> CETORIN O</w:t>
      </w:r>
      <w:r>
        <w:rPr>
          <w:rFonts w:ascii="Arial" w:hAnsi="Arial" w:cs="Arial"/>
          <w:sz w:val="20"/>
          <w:szCs w:val="20"/>
        </w:rPr>
        <w:t xml:space="preserve">ral </w:t>
      </w:r>
      <w:r w:rsidRPr="005D4B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olution</w:t>
      </w:r>
      <w:r w:rsidRPr="005D4BB1">
        <w:t xml:space="preserve"> </w:t>
      </w:r>
      <w:r w:rsidRPr="005D4BB1">
        <w:rPr>
          <w:rFonts w:ascii="Arial" w:hAnsi="Arial" w:cs="Arial"/>
          <w:sz w:val="20"/>
          <w:szCs w:val="20"/>
        </w:rPr>
        <w:t>lacks significant sedative effects.</w:t>
      </w:r>
      <w:r w:rsidRPr="005D4BB1">
        <w:t xml:space="preserve"> </w:t>
      </w:r>
      <w:r w:rsidRPr="005D4BB1">
        <w:rPr>
          <w:rFonts w:ascii="Arial" w:hAnsi="Arial" w:cs="Arial"/>
          <w:sz w:val="20"/>
          <w:szCs w:val="20"/>
        </w:rPr>
        <w:t>Patients should, however be warned that a small number of individuals may experience sedation. This effect may be compounded by the simultaneous intake of alcohol or other central nervous</w:t>
      </w:r>
      <w:r w:rsidR="005C342C">
        <w:rPr>
          <w:rFonts w:ascii="Arial" w:hAnsi="Arial" w:cs="Arial"/>
          <w:sz w:val="20"/>
          <w:szCs w:val="20"/>
        </w:rPr>
        <w:t xml:space="preserve"> </w:t>
      </w:r>
      <w:r w:rsidRPr="005D4BB1">
        <w:rPr>
          <w:rFonts w:ascii="Arial" w:hAnsi="Arial" w:cs="Arial"/>
          <w:sz w:val="20"/>
          <w:szCs w:val="20"/>
        </w:rPr>
        <w:t>system depressants (see section 4.5).</w:t>
      </w:r>
    </w:p>
    <w:p w14:paraId="310DF6F5" w14:textId="77777777" w:rsidR="005C342C" w:rsidRPr="005D4BB1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EACC93F" w14:textId="77777777" w:rsidR="00FC2BDF" w:rsidRPr="005D4BB1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D4BB1">
        <w:rPr>
          <w:rFonts w:ascii="Arial" w:hAnsi="Arial" w:cs="Arial"/>
          <w:i/>
          <w:iCs/>
          <w:sz w:val="20"/>
          <w:szCs w:val="20"/>
        </w:rPr>
        <w:t>Risk of urinary retention</w:t>
      </w:r>
    </w:p>
    <w:p w14:paraId="6BDC3D7A" w14:textId="61A0FA11" w:rsidR="00FC2BDF" w:rsidRPr="00F95523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D4BB1">
        <w:rPr>
          <w:rFonts w:ascii="Arial" w:hAnsi="Arial" w:cs="Arial"/>
          <w:sz w:val="20"/>
          <w:szCs w:val="20"/>
        </w:rPr>
        <w:t>Caution should be exercised in patients with predisposing factors of urinary retention (e.g. spinal cord lesion, prostatic hyperplasia) as levocetirizine, contained in CETORIN O</w:t>
      </w:r>
      <w:r>
        <w:rPr>
          <w:rFonts w:ascii="Arial" w:hAnsi="Arial" w:cs="Arial"/>
          <w:sz w:val="20"/>
          <w:szCs w:val="20"/>
        </w:rPr>
        <w:t xml:space="preserve">ral </w:t>
      </w:r>
      <w:r w:rsidRPr="005D4B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olution</w:t>
      </w:r>
      <w:r w:rsidRPr="005D4BB1">
        <w:rPr>
          <w:rFonts w:ascii="Arial" w:hAnsi="Arial" w:cs="Arial"/>
          <w:sz w:val="20"/>
          <w:szCs w:val="20"/>
        </w:rPr>
        <w:t>, may increase the risk of urinary retention.</w:t>
      </w:r>
    </w:p>
    <w:p w14:paraId="7B2F5665" w14:textId="77777777" w:rsidR="00FC2BDF" w:rsidRPr="00F95523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Risk of convulsion</w:t>
      </w:r>
    </w:p>
    <w:p w14:paraId="764FC09B" w14:textId="200B5DAF" w:rsidR="00FC2BDF" w:rsidRDefault="00FC2BDF" w:rsidP="003C5D1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EE3E0B">
        <w:rPr>
          <w:rFonts w:ascii="Arial" w:hAnsi="Arial" w:cs="Arial"/>
          <w:sz w:val="20"/>
          <w:szCs w:val="20"/>
        </w:rPr>
        <w:t>Caution should be taken in patients with epilepsy and patients at risk of</w:t>
      </w:r>
      <w:r w:rsidR="005C342C">
        <w:rPr>
          <w:rFonts w:ascii="Arial" w:hAnsi="Arial" w:cs="Arial"/>
          <w:sz w:val="20"/>
          <w:szCs w:val="20"/>
        </w:rPr>
        <w:t xml:space="preserve"> </w:t>
      </w:r>
      <w:r w:rsidRPr="002B4768">
        <w:rPr>
          <w:rFonts w:ascii="Arial" w:hAnsi="Arial" w:cs="Arial"/>
          <w:sz w:val="20"/>
          <w:szCs w:val="20"/>
        </w:rPr>
        <w:t xml:space="preserve">convulsion as </w:t>
      </w:r>
      <w:r w:rsidRPr="005D4BB1">
        <w:rPr>
          <w:rFonts w:ascii="Arial" w:hAnsi="Arial" w:cs="Arial"/>
          <w:sz w:val="20"/>
          <w:szCs w:val="20"/>
        </w:rPr>
        <w:t>CETORIN O</w:t>
      </w:r>
      <w:r>
        <w:rPr>
          <w:rFonts w:ascii="Arial" w:hAnsi="Arial" w:cs="Arial"/>
          <w:sz w:val="20"/>
          <w:szCs w:val="20"/>
        </w:rPr>
        <w:t xml:space="preserve">ral </w:t>
      </w:r>
      <w:r w:rsidRPr="005D4B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olution</w:t>
      </w:r>
      <w:r w:rsidRPr="002B4768">
        <w:rPr>
          <w:rFonts w:ascii="Arial" w:hAnsi="Arial" w:cs="Arial"/>
          <w:sz w:val="20"/>
          <w:szCs w:val="20"/>
        </w:rPr>
        <w:t xml:space="preserve"> may cause seizure aggravation.</w:t>
      </w:r>
    </w:p>
    <w:p w14:paraId="6F15D358" w14:textId="77777777" w:rsidR="005C342C" w:rsidRPr="00EE3E0B" w:rsidRDefault="005C342C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C9D0393" w14:textId="77777777" w:rsidR="00FC2BDF" w:rsidRPr="005D4BB1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D4BB1">
        <w:rPr>
          <w:rFonts w:ascii="Arial" w:hAnsi="Arial" w:cs="Arial"/>
          <w:i/>
          <w:iCs/>
          <w:sz w:val="20"/>
          <w:szCs w:val="20"/>
        </w:rPr>
        <w:t>Skin reactions</w:t>
      </w:r>
    </w:p>
    <w:p w14:paraId="180D0194" w14:textId="5F0E963C" w:rsidR="00FC2BDF" w:rsidRPr="005D4BB1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D4BB1">
        <w:rPr>
          <w:rFonts w:ascii="Arial" w:hAnsi="Arial" w:cs="Arial"/>
          <w:sz w:val="20"/>
          <w:szCs w:val="20"/>
        </w:rPr>
        <w:t>Pruritus may occur when levocetirizine, as in CETORIN O</w:t>
      </w:r>
      <w:r>
        <w:rPr>
          <w:rFonts w:ascii="Arial" w:hAnsi="Arial" w:cs="Arial"/>
          <w:sz w:val="20"/>
          <w:szCs w:val="20"/>
        </w:rPr>
        <w:t xml:space="preserve">ral </w:t>
      </w:r>
      <w:r w:rsidRPr="005D4B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olution</w:t>
      </w:r>
      <w:r w:rsidRPr="005D4BB1">
        <w:rPr>
          <w:rFonts w:ascii="Arial" w:hAnsi="Arial" w:cs="Arial"/>
          <w:sz w:val="20"/>
          <w:szCs w:val="20"/>
        </w:rPr>
        <w:t xml:space="preserve">, is stopped even if those symptoms were not present before treatment initiation. </w:t>
      </w:r>
    </w:p>
    <w:p w14:paraId="76540429" w14:textId="037D6561" w:rsidR="00FC2BDF" w:rsidRPr="005D4BB1" w:rsidRDefault="00FC2BD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D4BB1">
        <w:rPr>
          <w:rFonts w:ascii="Arial" w:hAnsi="Arial" w:cs="Arial"/>
          <w:sz w:val="20"/>
          <w:szCs w:val="20"/>
        </w:rPr>
        <w:t>The symptoms may resolve spontaneously. In some cases, the symptoms may be intense and may require treatment to be restarted. The symptoms should resolve when the treatment is restarted.</w:t>
      </w:r>
    </w:p>
    <w:p w14:paraId="1030991A" w14:textId="77777777" w:rsidR="00FC2BDF" w:rsidRPr="005D4BB1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D4BB1">
        <w:rPr>
          <w:rFonts w:ascii="Arial" w:hAnsi="Arial" w:cs="Arial"/>
          <w:i/>
          <w:iCs/>
          <w:sz w:val="20"/>
          <w:szCs w:val="20"/>
        </w:rPr>
        <w:t>Allergic skin tests</w:t>
      </w:r>
    </w:p>
    <w:p w14:paraId="23AE1660" w14:textId="0E41447F" w:rsidR="00FC2BDF" w:rsidRDefault="00FC2BDF" w:rsidP="003C5D1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D4BB1">
        <w:rPr>
          <w:rFonts w:ascii="Arial" w:hAnsi="Arial" w:cs="Arial"/>
          <w:sz w:val="20"/>
          <w:szCs w:val="20"/>
        </w:rPr>
        <w:t>Response to allergy skin tests are inhibited by antihistamines and a wash-out</w:t>
      </w:r>
      <w:r w:rsidR="003C5D1B">
        <w:rPr>
          <w:rFonts w:ascii="Arial" w:hAnsi="Arial" w:cs="Arial"/>
          <w:sz w:val="20"/>
          <w:szCs w:val="20"/>
        </w:rPr>
        <w:t xml:space="preserve"> </w:t>
      </w:r>
      <w:r w:rsidRPr="005D4BB1">
        <w:rPr>
          <w:rFonts w:ascii="Arial" w:hAnsi="Arial" w:cs="Arial"/>
          <w:sz w:val="20"/>
          <w:szCs w:val="20"/>
        </w:rPr>
        <w:t>period (of 3 days) is required before performing them.</w:t>
      </w:r>
    </w:p>
    <w:p w14:paraId="78ED6498" w14:textId="77777777" w:rsidR="003C5D1B" w:rsidRPr="005D4BB1" w:rsidRDefault="003C5D1B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89D2AFA" w14:textId="77777777" w:rsidR="00FC2BDF" w:rsidRPr="005D4BB1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4BB1">
        <w:rPr>
          <w:rFonts w:ascii="Arial" w:hAnsi="Arial" w:cs="Arial"/>
          <w:b/>
          <w:bCs/>
          <w:sz w:val="20"/>
          <w:szCs w:val="20"/>
        </w:rPr>
        <w:t>Information on excipients</w:t>
      </w:r>
    </w:p>
    <w:p w14:paraId="7B598EAA" w14:textId="7D083405" w:rsidR="00FC2BDF" w:rsidRDefault="00FC2BDF" w:rsidP="003C5D1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B51E2">
        <w:rPr>
          <w:rFonts w:ascii="Arial" w:hAnsi="Arial" w:cs="Arial"/>
          <w:sz w:val="20"/>
          <w:szCs w:val="20"/>
        </w:rPr>
        <w:t>CETORIN O</w:t>
      </w:r>
      <w:r>
        <w:rPr>
          <w:rFonts w:ascii="Arial" w:hAnsi="Arial" w:cs="Arial"/>
          <w:sz w:val="20"/>
          <w:szCs w:val="20"/>
        </w:rPr>
        <w:t xml:space="preserve">ral </w:t>
      </w:r>
      <w:r w:rsidRPr="001B51E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olution</w:t>
      </w:r>
      <w:r w:rsidRPr="004402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0252">
        <w:rPr>
          <w:rFonts w:ascii="Arial" w:hAnsi="Arial" w:cs="Arial"/>
          <w:sz w:val="20"/>
          <w:szCs w:val="20"/>
        </w:rPr>
        <w:t>contains maltitol</w:t>
      </w:r>
      <w:r>
        <w:rPr>
          <w:rFonts w:ascii="Arial" w:hAnsi="Arial" w:cs="Arial"/>
          <w:sz w:val="20"/>
          <w:szCs w:val="20"/>
        </w:rPr>
        <w:t xml:space="preserve"> </w:t>
      </w:r>
      <w:r w:rsidRPr="005D4BB1">
        <w:rPr>
          <w:rFonts w:ascii="Arial" w:hAnsi="Arial" w:cs="Arial"/>
          <w:sz w:val="20"/>
          <w:szCs w:val="20"/>
        </w:rPr>
        <w:t>and may have a laxative effect.</w:t>
      </w:r>
      <w:r>
        <w:rPr>
          <w:rFonts w:ascii="Arial" w:hAnsi="Arial" w:cs="Arial"/>
          <w:sz w:val="20"/>
          <w:szCs w:val="20"/>
        </w:rPr>
        <w:t xml:space="preserve"> </w:t>
      </w:r>
      <w:r w:rsidRPr="00440252">
        <w:rPr>
          <w:rFonts w:ascii="Arial" w:hAnsi="Arial" w:cs="Arial"/>
          <w:sz w:val="20"/>
          <w:szCs w:val="20"/>
        </w:rPr>
        <w:t xml:space="preserve">Patients with rare hereditary </w:t>
      </w:r>
      <w:r w:rsidRPr="005D4BB1">
        <w:rPr>
          <w:rFonts w:ascii="Arial" w:hAnsi="Arial" w:cs="Arial"/>
          <w:sz w:val="20"/>
          <w:szCs w:val="20"/>
        </w:rPr>
        <w:t>problems of</w:t>
      </w:r>
      <w:r w:rsidRPr="005D4B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4BB1">
        <w:rPr>
          <w:rFonts w:ascii="Arial" w:hAnsi="Arial" w:cs="Arial"/>
          <w:sz w:val="20"/>
          <w:szCs w:val="20"/>
        </w:rPr>
        <w:t>fructose</w:t>
      </w:r>
      <w:r>
        <w:rPr>
          <w:rFonts w:ascii="Arial" w:hAnsi="Arial" w:cs="Arial"/>
          <w:sz w:val="20"/>
          <w:szCs w:val="20"/>
        </w:rPr>
        <w:t xml:space="preserve"> </w:t>
      </w:r>
      <w:r w:rsidRPr="00440252">
        <w:rPr>
          <w:rFonts w:ascii="Arial" w:hAnsi="Arial" w:cs="Arial"/>
          <w:sz w:val="20"/>
          <w:szCs w:val="20"/>
        </w:rPr>
        <w:t xml:space="preserve">intolerance should not take </w:t>
      </w:r>
      <w:r w:rsidRPr="001B51E2">
        <w:rPr>
          <w:rFonts w:ascii="Arial" w:hAnsi="Arial" w:cs="Arial"/>
          <w:sz w:val="20"/>
          <w:szCs w:val="20"/>
        </w:rPr>
        <w:t>CETORIN O</w:t>
      </w:r>
      <w:r>
        <w:rPr>
          <w:rFonts w:ascii="Arial" w:hAnsi="Arial" w:cs="Arial"/>
          <w:sz w:val="20"/>
          <w:szCs w:val="20"/>
        </w:rPr>
        <w:t xml:space="preserve">ral </w:t>
      </w:r>
      <w:r w:rsidRPr="001B51E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olution</w:t>
      </w:r>
      <w:r w:rsidRPr="001B51E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40252">
        <w:rPr>
          <w:rFonts w:ascii="Arial" w:hAnsi="Arial" w:cs="Arial"/>
          <w:sz w:val="20"/>
          <w:szCs w:val="20"/>
        </w:rPr>
        <w:t xml:space="preserve"> </w:t>
      </w:r>
    </w:p>
    <w:p w14:paraId="3EC0A67E" w14:textId="77777777" w:rsidR="003C5D1B" w:rsidRPr="00440252" w:rsidRDefault="003C5D1B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35C3138F" w14:textId="77777777" w:rsidR="00FC2BDF" w:rsidRPr="00770727" w:rsidRDefault="00FC2BD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0727">
        <w:rPr>
          <w:rFonts w:ascii="Arial" w:hAnsi="Arial" w:cs="Arial"/>
          <w:b/>
          <w:bCs/>
          <w:sz w:val="20"/>
          <w:szCs w:val="20"/>
        </w:rPr>
        <w:t>Paediatric population</w:t>
      </w:r>
    </w:p>
    <w:p w14:paraId="17D21BE9" w14:textId="77777777" w:rsidR="00FC2BDF" w:rsidRPr="005D4BB1" w:rsidRDefault="00FC2BDF" w:rsidP="005C342C">
      <w:pPr>
        <w:spacing w:after="0"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D4BB1">
        <w:rPr>
          <w:rFonts w:ascii="Arial" w:hAnsi="Arial" w:cs="Arial"/>
          <w:i/>
          <w:iCs/>
          <w:sz w:val="20"/>
          <w:szCs w:val="20"/>
        </w:rPr>
        <w:t>Infants and children under 2 years</w:t>
      </w:r>
    </w:p>
    <w:p w14:paraId="4B350286" w14:textId="1D6F8975" w:rsidR="00FC2BDF" w:rsidRDefault="00FC2BDF" w:rsidP="003C5D1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D4BB1">
        <w:rPr>
          <w:rFonts w:ascii="Arial" w:hAnsi="Arial" w:cs="Arial"/>
          <w:sz w:val="20"/>
          <w:szCs w:val="20"/>
        </w:rPr>
        <w:t>The administration of CETORIN O</w:t>
      </w:r>
      <w:r>
        <w:rPr>
          <w:rFonts w:ascii="Arial" w:hAnsi="Arial" w:cs="Arial"/>
          <w:sz w:val="20"/>
          <w:szCs w:val="20"/>
        </w:rPr>
        <w:t xml:space="preserve">ral </w:t>
      </w:r>
      <w:r w:rsidRPr="005D4B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olution</w:t>
      </w:r>
      <w:r w:rsidRPr="005D4BB1">
        <w:rPr>
          <w:rFonts w:ascii="Arial" w:hAnsi="Arial" w:cs="Arial"/>
          <w:sz w:val="20"/>
          <w:szCs w:val="20"/>
        </w:rPr>
        <w:t xml:space="preserve"> to infants and toddlers aged less than 2 years is not recommended due to the lack of sufficient data in this age group (see sections 4.2 and 4.3).</w:t>
      </w:r>
    </w:p>
    <w:p w14:paraId="5AF90C71" w14:textId="77777777" w:rsidR="003C5D1B" w:rsidRPr="005D4BB1" w:rsidRDefault="003C5D1B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4BAEA67F" w14:textId="77777777" w:rsidR="00FC2BDF" w:rsidRPr="001C6D36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1C6D36">
        <w:rPr>
          <w:rFonts w:ascii="Arial" w:eastAsia="ArialMT" w:hAnsi="Arial" w:cs="Arial"/>
          <w:b/>
          <w:bCs/>
          <w:sz w:val="20"/>
          <w:szCs w:val="20"/>
        </w:rPr>
        <w:t>4.5 Interaction with other medicines and other forms of interaction</w:t>
      </w:r>
    </w:p>
    <w:p w14:paraId="5E6C95A8" w14:textId="6150692B" w:rsidR="00FC2BDF" w:rsidRDefault="00FC2BDF" w:rsidP="003C5D1B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472F23">
        <w:rPr>
          <w:rFonts w:ascii="Arial" w:eastAsia="ArialMT" w:hAnsi="Arial" w:cs="Arial"/>
          <w:sz w:val="20"/>
          <w:szCs w:val="20"/>
        </w:rPr>
        <w:t xml:space="preserve">No interaction studies have been performed with levocetirizine (including no studies with CYP3A4 inducers). Studies with the racemate compound cetirizine demonstrated that there were no clinically relevant adverse interactions (with </w:t>
      </w:r>
      <w:r>
        <w:rPr>
          <w:rFonts w:ascii="Arial" w:eastAsia="ArialMT" w:hAnsi="Arial" w:cs="Arial"/>
          <w:sz w:val="20"/>
          <w:szCs w:val="20"/>
        </w:rPr>
        <w:t xml:space="preserve">antipyrine, </w:t>
      </w:r>
      <w:r w:rsidRPr="00472F23">
        <w:rPr>
          <w:rFonts w:ascii="Arial" w:eastAsia="ArialMT" w:hAnsi="Arial" w:cs="Arial"/>
          <w:sz w:val="20"/>
          <w:szCs w:val="20"/>
        </w:rPr>
        <w:t>ketoconazole, erythromycin, azithromycin, cimetidine, pseudoephedrine, glipizide and diazepam).</w:t>
      </w:r>
    </w:p>
    <w:p w14:paraId="64DF7D92" w14:textId="77777777" w:rsidR="003C5D1B" w:rsidRPr="00770727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06B64911" w14:textId="77777777" w:rsidR="00FC2BDF" w:rsidRPr="0071072C" w:rsidRDefault="00FC2BDF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71072C">
        <w:rPr>
          <w:rFonts w:ascii="Arial" w:eastAsia="ArialMT" w:hAnsi="Arial" w:cs="Arial"/>
          <w:i/>
          <w:iCs/>
          <w:sz w:val="20"/>
          <w:szCs w:val="20"/>
        </w:rPr>
        <w:t>Theophylline</w:t>
      </w:r>
    </w:p>
    <w:p w14:paraId="4CBE04C8" w14:textId="6DC02FDE" w:rsidR="00FC2BDF" w:rsidRPr="00770727" w:rsidRDefault="00FC2BDF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6B1746">
        <w:rPr>
          <w:rFonts w:ascii="Arial" w:eastAsia="ArialMT" w:hAnsi="Arial" w:cs="Arial"/>
          <w:sz w:val="20"/>
          <w:szCs w:val="20"/>
        </w:rPr>
        <w:lastRenderedPageBreak/>
        <w:t xml:space="preserve">A decrease in the clearance of cetirizine (16 %) was observed in a multiple dose study with theophylline (400 mg once </w:t>
      </w:r>
      <w:r w:rsidRPr="005D4BB1">
        <w:rPr>
          <w:rFonts w:ascii="Arial" w:eastAsia="ArialMT" w:hAnsi="Arial" w:cs="Arial"/>
          <w:sz w:val="20"/>
          <w:szCs w:val="20"/>
        </w:rPr>
        <w:t>a day</w:t>
      </w:r>
      <w:r w:rsidRPr="006B1746">
        <w:rPr>
          <w:rFonts w:ascii="Arial" w:eastAsia="ArialMT" w:hAnsi="Arial" w:cs="Arial"/>
          <w:sz w:val="20"/>
          <w:szCs w:val="20"/>
        </w:rPr>
        <w:t xml:space="preserve">); while the disposition of theophylline was not altered by concomitant cetirizine </w:t>
      </w:r>
    </w:p>
    <w:p w14:paraId="30CA4539" w14:textId="00F95190" w:rsidR="00FC2BDF" w:rsidRDefault="00FC2BDF" w:rsidP="003C5D1B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6B1746">
        <w:rPr>
          <w:rFonts w:ascii="Arial" w:eastAsia="ArialMT" w:hAnsi="Arial" w:cs="Arial"/>
          <w:sz w:val="20"/>
          <w:szCs w:val="20"/>
        </w:rPr>
        <w:t>administration.</w:t>
      </w:r>
    </w:p>
    <w:p w14:paraId="77BAA2CD" w14:textId="77777777" w:rsidR="003C5D1B" w:rsidRPr="006B1746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5ACE6A01" w14:textId="77777777" w:rsidR="00FC2BDF" w:rsidRPr="0071072C" w:rsidRDefault="00FC2BDF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71072C">
        <w:rPr>
          <w:rFonts w:ascii="Arial" w:eastAsia="ArialMT" w:hAnsi="Arial" w:cs="Arial"/>
          <w:i/>
          <w:iCs/>
          <w:sz w:val="20"/>
          <w:szCs w:val="20"/>
        </w:rPr>
        <w:t>Ritonavir</w:t>
      </w:r>
      <w:r w:rsidRPr="002F2A99">
        <w:rPr>
          <w:rFonts w:ascii="Arial" w:eastAsia="ArialMT" w:hAnsi="Arial" w:cs="Arial"/>
          <w:i/>
          <w:iCs/>
          <w:sz w:val="20"/>
          <w:szCs w:val="20"/>
        </w:rPr>
        <w:t>:</w:t>
      </w:r>
    </w:p>
    <w:p w14:paraId="5E86A81B" w14:textId="7E93F7B8" w:rsidR="00FC2BDF" w:rsidRDefault="00FC2BDF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711ACE">
        <w:rPr>
          <w:rFonts w:ascii="Arial" w:eastAsia="ArialMT" w:hAnsi="Arial" w:cs="Arial"/>
          <w:sz w:val="20"/>
          <w:szCs w:val="20"/>
        </w:rPr>
        <w:t>In a multiple dose study of ritonavir (600 mg twice daily) and cetirizine (10 mg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711ACE">
        <w:rPr>
          <w:rFonts w:ascii="Arial" w:eastAsia="ArialMT" w:hAnsi="Arial" w:cs="Arial"/>
          <w:sz w:val="20"/>
          <w:szCs w:val="20"/>
        </w:rPr>
        <w:t>daily), the extent of exposure to cetirizine was increased by about 40 % while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711ACE">
        <w:rPr>
          <w:rFonts w:ascii="Arial" w:eastAsia="ArialMT" w:hAnsi="Arial" w:cs="Arial"/>
          <w:sz w:val="20"/>
          <w:szCs w:val="20"/>
        </w:rPr>
        <w:t>the disposition of ritonavir was decreased (-11 %).</w:t>
      </w:r>
    </w:p>
    <w:p w14:paraId="0D935851" w14:textId="77777777" w:rsidR="003C5D1B" w:rsidRPr="006B1746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6EEC0B2B" w14:textId="77777777" w:rsidR="00FC2BDF" w:rsidRPr="0071072C" w:rsidRDefault="00FC2BDF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71072C">
        <w:rPr>
          <w:rFonts w:ascii="Arial" w:eastAsia="ArialMT" w:hAnsi="Arial" w:cs="Arial"/>
          <w:i/>
          <w:iCs/>
          <w:sz w:val="20"/>
          <w:szCs w:val="20"/>
        </w:rPr>
        <w:t>Food</w:t>
      </w:r>
      <w:r w:rsidRPr="002F2A99">
        <w:rPr>
          <w:rFonts w:ascii="Arial" w:eastAsia="ArialMT" w:hAnsi="Arial" w:cs="Arial"/>
          <w:i/>
          <w:iCs/>
          <w:sz w:val="20"/>
          <w:szCs w:val="20"/>
        </w:rPr>
        <w:t>:</w:t>
      </w:r>
    </w:p>
    <w:p w14:paraId="60BEAB21" w14:textId="59F42F9C" w:rsidR="00FC2BDF" w:rsidRDefault="00FC2BDF" w:rsidP="003C5D1B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212E55">
        <w:rPr>
          <w:rFonts w:ascii="Arial" w:eastAsia="ArialMT" w:hAnsi="Arial" w:cs="Arial"/>
          <w:sz w:val="20"/>
          <w:szCs w:val="20"/>
        </w:rPr>
        <w:t xml:space="preserve">The extent of absorption of </w:t>
      </w:r>
      <w:r w:rsidRPr="00FA00B8">
        <w:rPr>
          <w:rFonts w:ascii="Arial" w:eastAsia="ArialMT" w:hAnsi="Arial" w:cs="Arial"/>
          <w:sz w:val="20"/>
          <w:szCs w:val="20"/>
        </w:rPr>
        <w:t>CETORIN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FA00B8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 i</w:t>
      </w:r>
      <w:r w:rsidRPr="00212E55">
        <w:rPr>
          <w:rFonts w:ascii="Arial" w:eastAsia="ArialMT" w:hAnsi="Arial" w:cs="Arial"/>
          <w:sz w:val="20"/>
          <w:szCs w:val="20"/>
        </w:rPr>
        <w:t>s not reduced with food, although the rate of absorption is decreased.</w:t>
      </w:r>
    </w:p>
    <w:p w14:paraId="07D35934" w14:textId="77777777" w:rsidR="003C5D1B" w:rsidRPr="006B1746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0DB7FFD0" w14:textId="77777777" w:rsidR="00FC2BDF" w:rsidRPr="00256E8C" w:rsidRDefault="00FC2BDF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256E8C">
        <w:rPr>
          <w:rFonts w:ascii="Arial" w:eastAsia="ArialMT" w:hAnsi="Arial" w:cs="Arial"/>
          <w:i/>
          <w:iCs/>
          <w:sz w:val="20"/>
          <w:szCs w:val="20"/>
        </w:rPr>
        <w:t>Alcohol</w:t>
      </w:r>
      <w:r w:rsidRPr="002F2A99">
        <w:rPr>
          <w:rFonts w:ascii="Arial" w:eastAsia="ArialMT" w:hAnsi="Arial" w:cs="Arial"/>
          <w:i/>
          <w:iCs/>
          <w:sz w:val="20"/>
          <w:szCs w:val="20"/>
        </w:rPr>
        <w:t>:</w:t>
      </w:r>
    </w:p>
    <w:p w14:paraId="3761E118" w14:textId="06ED073D" w:rsidR="00FC2BDF" w:rsidRDefault="00FC2BDF" w:rsidP="003C5D1B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B421B8">
        <w:rPr>
          <w:rFonts w:ascii="Arial" w:eastAsia="ArialMT" w:hAnsi="Arial" w:cs="Arial"/>
          <w:sz w:val="20"/>
          <w:szCs w:val="20"/>
        </w:rPr>
        <w:t xml:space="preserve">In sensitive patients the </w:t>
      </w:r>
      <w:r w:rsidRPr="00FA00B8">
        <w:rPr>
          <w:rFonts w:ascii="Arial" w:eastAsia="ArialMT" w:hAnsi="Arial" w:cs="Arial"/>
          <w:sz w:val="20"/>
          <w:szCs w:val="20"/>
        </w:rPr>
        <w:t>simultaneous administration of CETORIN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FA00B8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</w:t>
      </w:r>
      <w:r w:rsidRPr="00FA00B8">
        <w:rPr>
          <w:rFonts w:ascii="Arial" w:eastAsia="ArialMT" w:hAnsi="Arial" w:cs="Arial"/>
          <w:sz w:val="20"/>
          <w:szCs w:val="20"/>
        </w:rPr>
        <w:t xml:space="preserve"> and</w:t>
      </w:r>
      <w:r w:rsidRPr="00B421B8">
        <w:rPr>
          <w:rFonts w:ascii="Arial" w:eastAsia="ArialMT" w:hAnsi="Arial" w:cs="Arial"/>
          <w:sz w:val="20"/>
          <w:szCs w:val="20"/>
        </w:rPr>
        <w:t xml:space="preserve"> alcohol or other central nervous system (CNS) depressants may</w:t>
      </w:r>
      <w:r w:rsidRPr="00FA00B8">
        <w:rPr>
          <w:rFonts w:ascii="Arial" w:eastAsia="ArialMT" w:hAnsi="Arial" w:cs="Arial"/>
          <w:sz w:val="20"/>
          <w:szCs w:val="20"/>
        </w:rPr>
        <w:t xml:space="preserve"> have effects on the central nervous system. It is advisable to avoid excessive alcohol consumption (see section 4.4).</w:t>
      </w:r>
    </w:p>
    <w:p w14:paraId="4E3B68C8" w14:textId="77777777" w:rsidR="003C5D1B" w:rsidRPr="00FA00B8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41053913" w14:textId="77777777" w:rsidR="00FC2BDF" w:rsidRPr="002A5695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2A5695">
        <w:rPr>
          <w:rFonts w:ascii="Arial" w:eastAsia="ArialMT" w:hAnsi="Arial" w:cs="Arial"/>
          <w:b/>
          <w:bCs/>
          <w:sz w:val="20"/>
          <w:szCs w:val="20"/>
        </w:rPr>
        <w:t>4.6 Fertility, pregnancy and lactation</w:t>
      </w:r>
    </w:p>
    <w:p w14:paraId="006B6233" w14:textId="77777777" w:rsidR="00FC2BDF" w:rsidRPr="002A5695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69209C">
        <w:rPr>
          <w:rFonts w:ascii="Arial" w:eastAsia="ArialMT" w:hAnsi="Arial" w:cs="Arial"/>
          <w:b/>
          <w:bCs/>
          <w:sz w:val="20"/>
          <w:szCs w:val="20"/>
        </w:rPr>
        <w:t>Pregnancy</w:t>
      </w:r>
    </w:p>
    <w:p w14:paraId="3227AB26" w14:textId="7F46B24E" w:rsidR="00FC2BDF" w:rsidRDefault="00FC2BDF" w:rsidP="003C5D1B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EA01BB">
        <w:rPr>
          <w:rFonts w:ascii="Arial" w:eastAsia="ArialMT" w:hAnsi="Arial" w:cs="Arial"/>
          <w:sz w:val="20"/>
          <w:szCs w:val="20"/>
        </w:rPr>
        <w:t>CETORIN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EA01BB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</w:t>
      </w:r>
      <w:r w:rsidRPr="00EA01BB">
        <w:rPr>
          <w:rFonts w:ascii="Arial" w:eastAsia="ArialMT" w:hAnsi="Arial" w:cs="Arial"/>
          <w:sz w:val="20"/>
          <w:szCs w:val="20"/>
        </w:rPr>
        <w:t xml:space="preserve"> is contraindicated in pregnancy as safety has not been demonstrated (see section 4.3 and 5.3).</w:t>
      </w:r>
    </w:p>
    <w:p w14:paraId="56335D4F" w14:textId="77777777" w:rsidR="003C5D1B" w:rsidRPr="00EA01BB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36DD8ECF" w14:textId="77777777" w:rsidR="00FC2BDF" w:rsidRPr="0069209C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69209C">
        <w:rPr>
          <w:rFonts w:ascii="Arial" w:eastAsia="ArialMT" w:hAnsi="Arial" w:cs="Arial"/>
          <w:b/>
          <w:bCs/>
          <w:sz w:val="20"/>
          <w:szCs w:val="20"/>
        </w:rPr>
        <w:t>Breastfeeding</w:t>
      </w:r>
    </w:p>
    <w:p w14:paraId="13C7AF15" w14:textId="620E4A29" w:rsidR="00FC2BDF" w:rsidRDefault="00FC2BDF" w:rsidP="003C5D1B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EA01BB">
        <w:rPr>
          <w:rFonts w:ascii="Arial" w:eastAsia="ArialMT" w:hAnsi="Arial" w:cs="Arial"/>
          <w:sz w:val="20"/>
          <w:szCs w:val="20"/>
        </w:rPr>
        <w:t>CETORIN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EA01BB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</w:t>
      </w:r>
      <w:r w:rsidRPr="00EA01BB">
        <w:rPr>
          <w:rFonts w:ascii="Arial" w:eastAsia="ArialMT" w:hAnsi="Arial" w:cs="Arial"/>
          <w:sz w:val="20"/>
          <w:szCs w:val="20"/>
        </w:rPr>
        <w:t xml:space="preserve"> is contraindicated in women who are breastfeeding their babies, since the active ingredient is excreted in breast milk.</w:t>
      </w:r>
    </w:p>
    <w:p w14:paraId="593FE7C7" w14:textId="77777777" w:rsidR="003C5D1B" w:rsidRPr="00EA01BB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6E948594" w14:textId="77777777" w:rsidR="00FC2BDF" w:rsidRPr="0069209C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69209C">
        <w:rPr>
          <w:rFonts w:ascii="Arial" w:eastAsia="ArialMT" w:hAnsi="Arial" w:cs="Arial"/>
          <w:b/>
          <w:bCs/>
          <w:sz w:val="20"/>
          <w:szCs w:val="20"/>
        </w:rPr>
        <w:t>Fertility</w:t>
      </w:r>
    </w:p>
    <w:p w14:paraId="52D56D82" w14:textId="02049F6A" w:rsidR="00FC2BDF" w:rsidRDefault="00FC2BDF" w:rsidP="003C5D1B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EA01BB">
        <w:rPr>
          <w:rFonts w:ascii="Arial" w:eastAsia="ArialMT" w:hAnsi="Arial" w:cs="Arial"/>
          <w:sz w:val="20"/>
          <w:szCs w:val="20"/>
        </w:rPr>
        <w:lastRenderedPageBreak/>
        <w:t>No clinical data relating to levocetirizine effects on fertility is available.</w:t>
      </w:r>
    </w:p>
    <w:p w14:paraId="06645D55" w14:textId="77777777" w:rsidR="003C5D1B" w:rsidRPr="00EA01BB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60D7000C" w14:textId="77777777" w:rsidR="00FC2BDF" w:rsidRPr="00FD056E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FD056E">
        <w:rPr>
          <w:rFonts w:ascii="Arial" w:eastAsia="ArialMT" w:hAnsi="Arial" w:cs="Arial"/>
          <w:b/>
          <w:bCs/>
          <w:sz w:val="20"/>
          <w:szCs w:val="20"/>
        </w:rPr>
        <w:t>4.7 Effects on ability to drive and use machines</w:t>
      </w:r>
    </w:p>
    <w:p w14:paraId="5B97904A" w14:textId="49A47D88" w:rsidR="00FC2BDF" w:rsidRDefault="00FC2BDF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E23A2C">
        <w:rPr>
          <w:rFonts w:ascii="Arial" w:eastAsia="ArialMT" w:hAnsi="Arial" w:cs="Arial"/>
          <w:sz w:val="20"/>
          <w:szCs w:val="20"/>
        </w:rPr>
        <w:t>CETORIN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E23A2C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</w:t>
      </w:r>
      <w:r w:rsidRPr="00E23A2C">
        <w:rPr>
          <w:rFonts w:ascii="Arial" w:eastAsia="ArialMT" w:hAnsi="Arial" w:cs="Arial"/>
          <w:sz w:val="20"/>
          <w:szCs w:val="20"/>
        </w:rPr>
        <w:t xml:space="preserve"> lacks significant sedative effects. Nevertheless, some patients could experience somnolence, fatigue, and asthenia under therapy with CETORIN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E23A2C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</w:t>
      </w:r>
      <w:r w:rsidRPr="00E23A2C">
        <w:rPr>
          <w:rFonts w:ascii="Arial" w:eastAsia="ArialMT" w:hAnsi="Arial" w:cs="Arial"/>
          <w:sz w:val="20"/>
          <w:szCs w:val="20"/>
        </w:rPr>
        <w:t>. Therefore, patients intending to drive, engage in potentially hazardous activities or operate machinery should take their response to the CETORIN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E23A2C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</w:t>
      </w:r>
      <w:r w:rsidRPr="00E23A2C">
        <w:rPr>
          <w:rFonts w:ascii="Arial" w:eastAsia="ArialMT" w:hAnsi="Arial" w:cs="Arial"/>
          <w:sz w:val="20"/>
          <w:szCs w:val="20"/>
        </w:rPr>
        <w:t xml:space="preserve"> into account.</w:t>
      </w:r>
    </w:p>
    <w:p w14:paraId="4670A838" w14:textId="77777777" w:rsidR="00944915" w:rsidRPr="00E23A2C" w:rsidRDefault="00944915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60873CF9" w14:textId="77777777" w:rsidR="00FC2BDF" w:rsidRPr="00376B0A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376B0A">
        <w:rPr>
          <w:rFonts w:ascii="Arial" w:eastAsia="ArialMT" w:hAnsi="Arial" w:cs="Arial"/>
          <w:b/>
          <w:bCs/>
          <w:sz w:val="20"/>
          <w:szCs w:val="20"/>
        </w:rPr>
        <w:t>4.8 Undesirable effects</w:t>
      </w:r>
    </w:p>
    <w:p w14:paraId="3F3B1158" w14:textId="77777777" w:rsidR="00FC2BDF" w:rsidRPr="00E23A2C" w:rsidRDefault="00FC2BDF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E23A2C">
        <w:rPr>
          <w:rFonts w:ascii="Arial" w:eastAsia="ArialMT" w:hAnsi="Arial" w:cs="Arial"/>
          <w:b/>
          <w:bCs/>
          <w:sz w:val="20"/>
          <w:szCs w:val="20"/>
        </w:rPr>
        <w:t>a) Summary of the safety profile</w:t>
      </w:r>
    </w:p>
    <w:p w14:paraId="6754BB29" w14:textId="007BF4D4" w:rsidR="00FC2BDF" w:rsidRDefault="00FC2BDF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E23A2C">
        <w:rPr>
          <w:rFonts w:ascii="Arial" w:eastAsia="ArialMT" w:hAnsi="Arial" w:cs="Arial"/>
          <w:sz w:val="20"/>
          <w:szCs w:val="20"/>
        </w:rPr>
        <w:t>Mild to moderate side effects most frequently experienced in adults include, headache, somnolence, dry mouth, fatigue, with asthenia or abdominal pain occurring less frequently.</w:t>
      </w:r>
    </w:p>
    <w:p w14:paraId="216196FB" w14:textId="314A8A33" w:rsidR="00FC2BDF" w:rsidRDefault="00FC2BDF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Tabulated list of adverse reactions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4252"/>
      </w:tblGrid>
      <w:tr w:rsidR="00FC2BDF" w14:paraId="6813CBC0" w14:textId="77777777" w:rsidTr="003C5D1B">
        <w:tc>
          <w:tcPr>
            <w:tcW w:w="2689" w:type="dxa"/>
          </w:tcPr>
          <w:p w14:paraId="6FE6D8DA" w14:textId="77777777" w:rsidR="00FC2BDF" w:rsidRPr="00376B0A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System Organ Class</w:t>
            </w:r>
          </w:p>
        </w:tc>
        <w:tc>
          <w:tcPr>
            <w:tcW w:w="2268" w:type="dxa"/>
          </w:tcPr>
          <w:p w14:paraId="061A03EE" w14:textId="77777777" w:rsidR="00FC2BDF" w:rsidRPr="00376B0A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4252" w:type="dxa"/>
          </w:tcPr>
          <w:p w14:paraId="2F15881F" w14:textId="77777777" w:rsidR="00FC2BDF" w:rsidRPr="00376B0A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Side effects</w:t>
            </w:r>
          </w:p>
        </w:tc>
      </w:tr>
      <w:tr w:rsidR="00FC2BDF" w14:paraId="077C5F52" w14:textId="77777777" w:rsidTr="003C5D1B">
        <w:tc>
          <w:tcPr>
            <w:tcW w:w="2689" w:type="dxa"/>
          </w:tcPr>
          <w:p w14:paraId="5A7C7152" w14:textId="77777777" w:rsidR="00FC2BDF" w:rsidRPr="00376B0A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376B0A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Immune system disorders</w:t>
            </w:r>
          </w:p>
        </w:tc>
        <w:tc>
          <w:tcPr>
            <w:tcW w:w="2268" w:type="dxa"/>
          </w:tcPr>
          <w:p w14:paraId="73143831" w14:textId="77777777" w:rsidR="00FC2BDF" w:rsidRPr="00376B0A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69BCB519" w14:textId="77777777" w:rsidR="00FC2BDF" w:rsidRPr="00376B0A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E23A2C">
              <w:rPr>
                <w:rFonts w:ascii="Arial" w:eastAsia="ArialMT" w:hAnsi="Arial" w:cs="Arial"/>
                <w:sz w:val="20"/>
                <w:szCs w:val="20"/>
              </w:rPr>
              <w:t>Angioedema,</w:t>
            </w:r>
            <w:r>
              <w:rPr>
                <w:rFonts w:ascii="Arial" w:eastAsia="ArialMT" w:hAnsi="Arial" w:cs="Arial"/>
                <w:sz w:val="20"/>
                <w:szCs w:val="20"/>
              </w:rPr>
              <w:t xml:space="preserve"> </w:t>
            </w:r>
            <w:r w:rsidRPr="00E23A2C">
              <w:rPr>
                <w:rFonts w:ascii="Arial" w:eastAsia="ArialMT" w:hAnsi="Arial" w:cs="Arial"/>
                <w:sz w:val="20"/>
                <w:szCs w:val="20"/>
              </w:rPr>
              <w:t>h</w:t>
            </w:r>
            <w:r>
              <w:rPr>
                <w:rFonts w:ascii="Arial" w:eastAsia="ArialMT" w:hAnsi="Arial" w:cs="Arial"/>
                <w:sz w:val="20"/>
                <w:szCs w:val="20"/>
              </w:rPr>
              <w:t>ypersensitivity including anaphylaxis</w:t>
            </w:r>
          </w:p>
        </w:tc>
      </w:tr>
      <w:tr w:rsidR="00FC2BDF" w14:paraId="75C43EEF" w14:textId="77777777" w:rsidTr="003C5D1B">
        <w:tc>
          <w:tcPr>
            <w:tcW w:w="2689" w:type="dxa"/>
          </w:tcPr>
          <w:p w14:paraId="49617B18" w14:textId="77777777" w:rsidR="00FC2BDF" w:rsidRPr="0042614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20105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Metabolism and nutrition disorders</w:t>
            </w:r>
          </w:p>
        </w:tc>
        <w:tc>
          <w:tcPr>
            <w:tcW w:w="2268" w:type="dxa"/>
          </w:tcPr>
          <w:p w14:paraId="3BBC2B4D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3CD5EBCF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E23A2C">
              <w:rPr>
                <w:rFonts w:ascii="Arial" w:eastAsia="ArialMT" w:hAnsi="Arial" w:cs="Arial"/>
                <w:sz w:val="20"/>
                <w:szCs w:val="20"/>
              </w:rPr>
              <w:t>Increased weight, increased</w:t>
            </w:r>
            <w:r>
              <w:rPr>
                <w:rFonts w:ascii="Arial" w:eastAsia="ArialMT" w:hAnsi="Arial" w:cs="Arial"/>
                <w:sz w:val="20"/>
                <w:szCs w:val="20"/>
              </w:rPr>
              <w:t xml:space="preserve"> appetite</w:t>
            </w:r>
          </w:p>
        </w:tc>
      </w:tr>
      <w:tr w:rsidR="00FC2BDF" w14:paraId="1CD7E713" w14:textId="77777777" w:rsidTr="003C5D1B">
        <w:tc>
          <w:tcPr>
            <w:tcW w:w="2689" w:type="dxa"/>
          </w:tcPr>
          <w:p w14:paraId="04AF55C2" w14:textId="77777777" w:rsidR="00FC2BDF" w:rsidRPr="0020105D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30633F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Psychiatric disorders</w:t>
            </w:r>
          </w:p>
        </w:tc>
        <w:tc>
          <w:tcPr>
            <w:tcW w:w="2268" w:type="dxa"/>
          </w:tcPr>
          <w:p w14:paraId="55799B90" w14:textId="77777777" w:rsidR="00FC2BDF" w:rsidRPr="0020105D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3551C3F9" w14:textId="77777777" w:rsidR="00FC2BDF" w:rsidRPr="0020105D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Aggression, agitation, hallucination, depression, insomnia, suicidal ideation, nightmare</w:t>
            </w:r>
          </w:p>
        </w:tc>
      </w:tr>
      <w:tr w:rsidR="00FC2BDF" w14:paraId="7416329B" w14:textId="77777777" w:rsidTr="003C5D1B">
        <w:tc>
          <w:tcPr>
            <w:tcW w:w="2689" w:type="dxa"/>
          </w:tcPr>
          <w:p w14:paraId="21C87F8C" w14:textId="77777777" w:rsidR="00FC2BDF" w:rsidRPr="0042614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1049E9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Nervous system disorders</w:t>
            </w:r>
          </w:p>
        </w:tc>
        <w:tc>
          <w:tcPr>
            <w:tcW w:w="2268" w:type="dxa"/>
          </w:tcPr>
          <w:p w14:paraId="23D1E7D1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Frequent</w:t>
            </w:r>
          </w:p>
          <w:p w14:paraId="46B6FB1E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74CC7E98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Somnolence, headache</w:t>
            </w:r>
          </w:p>
          <w:p w14:paraId="64217F1C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Convulsion, paraesthesia, dizziness, syncope, tremor, dysgeusia</w:t>
            </w:r>
          </w:p>
        </w:tc>
      </w:tr>
      <w:tr w:rsidR="00FC2BDF" w14:paraId="17F01AA5" w14:textId="77777777" w:rsidTr="003C5D1B">
        <w:tc>
          <w:tcPr>
            <w:tcW w:w="2689" w:type="dxa"/>
          </w:tcPr>
          <w:p w14:paraId="12A0518F" w14:textId="77777777" w:rsidR="00FC2BDF" w:rsidRPr="0030633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1B6DD7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Eye disorders</w:t>
            </w:r>
          </w:p>
        </w:tc>
        <w:tc>
          <w:tcPr>
            <w:tcW w:w="2268" w:type="dxa"/>
          </w:tcPr>
          <w:p w14:paraId="2B658822" w14:textId="77777777" w:rsidR="00FC2BDF" w:rsidRPr="0030633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71244821" w14:textId="77777777" w:rsidR="00FC2BDF" w:rsidRPr="0030633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Visual disturbances, blurred vision</w:t>
            </w:r>
          </w:p>
        </w:tc>
      </w:tr>
      <w:tr w:rsidR="00FC2BDF" w14:paraId="6794C431" w14:textId="77777777" w:rsidTr="003C5D1B">
        <w:tc>
          <w:tcPr>
            <w:tcW w:w="2689" w:type="dxa"/>
          </w:tcPr>
          <w:p w14:paraId="713ADAC5" w14:textId="77777777" w:rsidR="00FC2BDF" w:rsidRPr="0042614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trike/>
                <w:sz w:val="20"/>
                <w:szCs w:val="20"/>
              </w:rPr>
            </w:pPr>
            <w:r w:rsidRPr="0049738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Ear and labyrinth disorders</w:t>
            </w:r>
          </w:p>
        </w:tc>
        <w:tc>
          <w:tcPr>
            <w:tcW w:w="2268" w:type="dxa"/>
          </w:tcPr>
          <w:p w14:paraId="79E7A58F" w14:textId="77777777" w:rsidR="00FC2BDF" w:rsidRPr="00CA148E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trike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46C751AA" w14:textId="77777777" w:rsidR="00FC2BDF" w:rsidRPr="00CA148E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trike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Vertigo</w:t>
            </w:r>
          </w:p>
        </w:tc>
      </w:tr>
      <w:tr w:rsidR="00FC2BDF" w14:paraId="000B7C53" w14:textId="77777777" w:rsidTr="003C5D1B">
        <w:tc>
          <w:tcPr>
            <w:tcW w:w="2689" w:type="dxa"/>
          </w:tcPr>
          <w:p w14:paraId="5137790C" w14:textId="77777777" w:rsidR="00FC2BDF" w:rsidRPr="0042614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BB7A8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lastRenderedPageBreak/>
              <w:t>Cardiac disorders</w:t>
            </w:r>
          </w:p>
        </w:tc>
        <w:tc>
          <w:tcPr>
            <w:tcW w:w="2268" w:type="dxa"/>
          </w:tcPr>
          <w:p w14:paraId="582B94C1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1AF69053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Palpitation, tachycardia</w:t>
            </w:r>
          </w:p>
        </w:tc>
      </w:tr>
      <w:tr w:rsidR="00FC2BDF" w14:paraId="24C03B68" w14:textId="77777777" w:rsidTr="003C5D1B">
        <w:tc>
          <w:tcPr>
            <w:tcW w:w="2689" w:type="dxa"/>
          </w:tcPr>
          <w:p w14:paraId="53AD2A28" w14:textId="77777777" w:rsidR="00FC2BDF" w:rsidRPr="00BB7A8D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4C4747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Respiratory, thoracic and mediastinal disorders</w:t>
            </w:r>
          </w:p>
        </w:tc>
        <w:tc>
          <w:tcPr>
            <w:tcW w:w="2268" w:type="dxa"/>
          </w:tcPr>
          <w:p w14:paraId="35372E9A" w14:textId="77777777" w:rsidR="00FC2BDF" w:rsidRPr="00BB7A8D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2103AAE8" w14:textId="77777777" w:rsidR="00FC2BDF" w:rsidRPr="00BB7A8D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Dyspnoea</w:t>
            </w:r>
          </w:p>
        </w:tc>
      </w:tr>
      <w:tr w:rsidR="00FC2BDF" w14:paraId="040C34A0" w14:textId="77777777" w:rsidTr="003C5D1B">
        <w:tc>
          <w:tcPr>
            <w:tcW w:w="2689" w:type="dxa"/>
          </w:tcPr>
          <w:p w14:paraId="7DB3D64D" w14:textId="77777777" w:rsidR="00FC2BDF" w:rsidRPr="0042614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6C38A8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Gastrointestinal disorders</w:t>
            </w:r>
          </w:p>
        </w:tc>
        <w:tc>
          <w:tcPr>
            <w:tcW w:w="2268" w:type="dxa"/>
          </w:tcPr>
          <w:p w14:paraId="773139C9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Frequent</w:t>
            </w:r>
          </w:p>
          <w:p w14:paraId="3682D0ED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</w:p>
          <w:p w14:paraId="5395E625" w14:textId="77777777" w:rsidR="00FC2BDF" w:rsidRPr="00E23A2C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E23A2C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Less frequent</w:t>
            </w:r>
          </w:p>
          <w:p w14:paraId="38AAEF4F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0AB89B0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42614F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1FCDCC34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Diarrhoea, constipation, dry mouth</w:t>
            </w:r>
          </w:p>
          <w:p w14:paraId="351FA143" w14:textId="77777777" w:rsidR="00FC2BDF" w:rsidRPr="00E23A2C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E23A2C">
              <w:rPr>
                <w:rFonts w:ascii="Arial" w:eastAsia="ArialMT" w:hAnsi="Arial" w:cs="Arial"/>
                <w:sz w:val="20"/>
                <w:szCs w:val="20"/>
              </w:rPr>
              <w:t>Nausea and gastro-intestinal discomfort, abdominal pain</w:t>
            </w:r>
          </w:p>
          <w:p w14:paraId="197A4DED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E23A2C">
              <w:rPr>
                <w:rFonts w:ascii="Arial" w:eastAsia="ArialMT" w:hAnsi="Arial" w:cs="Arial"/>
                <w:sz w:val="20"/>
                <w:szCs w:val="20"/>
              </w:rPr>
              <w:t>Vomiting</w:t>
            </w:r>
          </w:p>
        </w:tc>
      </w:tr>
      <w:tr w:rsidR="00FC2BDF" w14:paraId="5FA089A2" w14:textId="77777777" w:rsidTr="003C5D1B">
        <w:tc>
          <w:tcPr>
            <w:tcW w:w="2689" w:type="dxa"/>
          </w:tcPr>
          <w:p w14:paraId="634B8217" w14:textId="77777777" w:rsidR="00FC2BDF" w:rsidRPr="004C4747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94660E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Hepato</w:t>
            </w:r>
            <w:r w:rsidRPr="00E23A2C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-</w:t>
            </w:r>
            <w:r w:rsidRPr="0094660E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biliary disorders</w:t>
            </w:r>
          </w:p>
        </w:tc>
        <w:tc>
          <w:tcPr>
            <w:tcW w:w="2268" w:type="dxa"/>
          </w:tcPr>
          <w:p w14:paraId="62CA8D63" w14:textId="77777777" w:rsidR="00FC2BDF" w:rsidRPr="004C4747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CD6B41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0F9EF16D" w14:textId="77777777" w:rsidR="00FC2BDF" w:rsidRPr="004C4747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Hepatitis, abnormal liver function test*</w:t>
            </w:r>
          </w:p>
        </w:tc>
      </w:tr>
      <w:tr w:rsidR="00FC2BDF" w14:paraId="1664D1F6" w14:textId="77777777" w:rsidTr="003C5D1B">
        <w:tc>
          <w:tcPr>
            <w:tcW w:w="2689" w:type="dxa"/>
          </w:tcPr>
          <w:p w14:paraId="2CCCFE0B" w14:textId="77777777" w:rsidR="00FC2BDF" w:rsidRPr="0042614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F55028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Skin and subcutaneous tissue disorders</w:t>
            </w:r>
          </w:p>
        </w:tc>
        <w:tc>
          <w:tcPr>
            <w:tcW w:w="2268" w:type="dxa"/>
          </w:tcPr>
          <w:p w14:paraId="4F3ABEF1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CD6B41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1BBC0051" w14:textId="77777777" w:rsidR="00FC2BDF" w:rsidRPr="00E23A2C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E23A2C">
              <w:rPr>
                <w:rFonts w:ascii="Arial" w:eastAsia="ArialMT" w:hAnsi="Arial" w:cs="Arial"/>
                <w:sz w:val="20"/>
                <w:szCs w:val="20"/>
              </w:rPr>
              <w:t>Rash, urticaria, pruritus, fixed drug eruption</w:t>
            </w:r>
          </w:p>
        </w:tc>
      </w:tr>
      <w:tr w:rsidR="00FC2BDF" w14:paraId="3E072BEF" w14:textId="77777777" w:rsidTr="003C5D1B">
        <w:tc>
          <w:tcPr>
            <w:tcW w:w="2689" w:type="dxa"/>
          </w:tcPr>
          <w:p w14:paraId="34D77620" w14:textId="77777777" w:rsidR="00FC2BDF" w:rsidRPr="00F55028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4B0CE2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Musculoskeletal</w:t>
            </w:r>
            <w:r w:rsidRPr="00E23A2C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 xml:space="preserve">, </w:t>
            </w:r>
            <w:r w:rsidRPr="004B0CE2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connective tissue d</w:t>
            </w:r>
            <w:r w:rsidRPr="00E23A2C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isorders and bone disorders</w:t>
            </w:r>
          </w:p>
        </w:tc>
        <w:tc>
          <w:tcPr>
            <w:tcW w:w="2268" w:type="dxa"/>
          </w:tcPr>
          <w:p w14:paraId="48DB8676" w14:textId="77777777" w:rsidR="00FC2BDF" w:rsidRPr="00F55028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4828BB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28C238BB" w14:textId="77777777" w:rsidR="00FC2BDF" w:rsidRPr="00F55028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Myalgia, arthralgia</w:t>
            </w:r>
          </w:p>
        </w:tc>
      </w:tr>
      <w:tr w:rsidR="00FC2BDF" w14:paraId="0024950D" w14:textId="77777777" w:rsidTr="003C5D1B">
        <w:tc>
          <w:tcPr>
            <w:tcW w:w="2689" w:type="dxa"/>
          </w:tcPr>
          <w:p w14:paraId="342D4D09" w14:textId="77777777" w:rsidR="00FC2BDF" w:rsidRPr="00CD6B41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3F06C4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Renal and urinary disorders</w:t>
            </w:r>
          </w:p>
        </w:tc>
        <w:tc>
          <w:tcPr>
            <w:tcW w:w="2268" w:type="dxa"/>
          </w:tcPr>
          <w:p w14:paraId="48F12A9C" w14:textId="77777777" w:rsidR="00FC2BDF" w:rsidRPr="00CD6B41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  <w:u w:val="single"/>
              </w:rPr>
            </w:pPr>
            <w:r w:rsidRPr="00D53932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66FC826E" w14:textId="77777777" w:rsidR="00FC2BDF" w:rsidRPr="00CD6B41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Dysuria, urinary retention</w:t>
            </w:r>
          </w:p>
        </w:tc>
      </w:tr>
      <w:tr w:rsidR="00FC2BDF" w14:paraId="1BE375C2" w14:textId="77777777" w:rsidTr="003C5D1B">
        <w:tc>
          <w:tcPr>
            <w:tcW w:w="2689" w:type="dxa"/>
          </w:tcPr>
          <w:p w14:paraId="1676B418" w14:textId="77777777" w:rsidR="00FC2BDF" w:rsidRPr="004B0CE2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A01D52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2268" w:type="dxa"/>
          </w:tcPr>
          <w:p w14:paraId="62E7C22D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D53932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Frequent</w:t>
            </w:r>
          </w:p>
          <w:p w14:paraId="70112F2A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D53932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Less frequent</w:t>
            </w:r>
          </w:p>
          <w:p w14:paraId="5E4B431C" w14:textId="77777777" w:rsidR="00FC2BDF" w:rsidRPr="004B0CE2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D53932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Frequency unknown</w:t>
            </w:r>
          </w:p>
        </w:tc>
        <w:tc>
          <w:tcPr>
            <w:tcW w:w="4252" w:type="dxa"/>
          </w:tcPr>
          <w:p w14:paraId="085A75E6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Fatigue</w:t>
            </w:r>
          </w:p>
          <w:p w14:paraId="11699B2D" w14:textId="77777777" w:rsidR="00FC2BDF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Asthenia, malaise</w:t>
            </w:r>
          </w:p>
          <w:p w14:paraId="1B72BDAE" w14:textId="77777777" w:rsidR="00FC2BDF" w:rsidRPr="004B0CE2" w:rsidRDefault="00FC2BDF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Oedema</w:t>
            </w:r>
          </w:p>
        </w:tc>
      </w:tr>
    </w:tbl>
    <w:p w14:paraId="13A48D43" w14:textId="33F16DAA" w:rsidR="00FC2BDF" w:rsidRDefault="00FC2BDF" w:rsidP="005C342C">
      <w:pPr>
        <w:spacing w:after="0" w:line="480" w:lineRule="auto"/>
        <w:jc w:val="both"/>
      </w:pPr>
    </w:p>
    <w:p w14:paraId="02974DAE" w14:textId="77777777" w:rsidR="00121C97" w:rsidRPr="00B941ED" w:rsidRDefault="00121C97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B941ED">
        <w:rPr>
          <w:rFonts w:ascii="Arial" w:eastAsia="ArialMT" w:hAnsi="Arial" w:cs="Arial"/>
          <w:b/>
          <w:bCs/>
          <w:sz w:val="20"/>
          <w:szCs w:val="20"/>
        </w:rPr>
        <w:t>c)</w:t>
      </w:r>
      <w:r w:rsidRPr="00B941ED">
        <w:rPr>
          <w:rFonts w:ascii="Arial" w:eastAsia="ArialMT" w:hAnsi="Arial" w:cs="Arial"/>
          <w:sz w:val="20"/>
          <w:szCs w:val="20"/>
        </w:rPr>
        <w:t xml:space="preserve"> </w:t>
      </w:r>
      <w:r w:rsidRPr="00B941ED">
        <w:rPr>
          <w:rFonts w:ascii="Arial" w:eastAsia="ArialMT" w:hAnsi="Arial" w:cs="Arial"/>
          <w:b/>
          <w:bCs/>
          <w:sz w:val="20"/>
          <w:szCs w:val="20"/>
        </w:rPr>
        <w:t>Description of selected adverse reactions</w:t>
      </w:r>
    </w:p>
    <w:p w14:paraId="5008F477" w14:textId="61C10AA7" w:rsidR="00121C97" w:rsidRDefault="00121C97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After levocetirizine discontinuation, pruritus has been reported.</w:t>
      </w:r>
    </w:p>
    <w:p w14:paraId="45C2831B" w14:textId="0151B7F8" w:rsidR="00121C97" w:rsidRDefault="00121C97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B941ED">
        <w:rPr>
          <w:rFonts w:ascii="Arial" w:eastAsia="ArialMT" w:hAnsi="Arial" w:cs="Arial"/>
          <w:b/>
          <w:bCs/>
          <w:sz w:val="20"/>
          <w:szCs w:val="20"/>
        </w:rPr>
        <w:t>d) Paediatric population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2268"/>
        <w:gridCol w:w="4252"/>
      </w:tblGrid>
      <w:tr w:rsidR="00121C97" w:rsidRPr="00B941ED" w14:paraId="750AA8E7" w14:textId="77777777" w:rsidTr="003C5D1B">
        <w:tc>
          <w:tcPr>
            <w:tcW w:w="2689" w:type="dxa"/>
          </w:tcPr>
          <w:p w14:paraId="4865F551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System Organ Class</w:t>
            </w:r>
          </w:p>
        </w:tc>
        <w:tc>
          <w:tcPr>
            <w:tcW w:w="2268" w:type="dxa"/>
          </w:tcPr>
          <w:p w14:paraId="0A8101F1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4252" w:type="dxa"/>
          </w:tcPr>
          <w:p w14:paraId="1234220B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Side effects</w:t>
            </w:r>
          </w:p>
        </w:tc>
      </w:tr>
      <w:tr w:rsidR="00121C97" w:rsidRPr="00B941ED" w14:paraId="47964E58" w14:textId="77777777" w:rsidTr="003C5D1B">
        <w:tc>
          <w:tcPr>
            <w:tcW w:w="2689" w:type="dxa"/>
          </w:tcPr>
          <w:p w14:paraId="34FEACDD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Psychiatric disorders</w:t>
            </w:r>
          </w:p>
        </w:tc>
        <w:tc>
          <w:tcPr>
            <w:tcW w:w="2268" w:type="dxa"/>
          </w:tcPr>
          <w:p w14:paraId="293A795F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Frequent</w:t>
            </w:r>
          </w:p>
        </w:tc>
        <w:tc>
          <w:tcPr>
            <w:tcW w:w="4252" w:type="dxa"/>
          </w:tcPr>
          <w:p w14:paraId="434EF83F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sz w:val="20"/>
                <w:szCs w:val="20"/>
              </w:rPr>
              <w:t>Sleep disorders</w:t>
            </w:r>
          </w:p>
        </w:tc>
      </w:tr>
      <w:tr w:rsidR="00121C97" w:rsidRPr="00B941ED" w14:paraId="199BF29A" w14:textId="77777777" w:rsidTr="003C5D1B">
        <w:tc>
          <w:tcPr>
            <w:tcW w:w="2689" w:type="dxa"/>
          </w:tcPr>
          <w:p w14:paraId="6C486E6B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lastRenderedPageBreak/>
              <w:t>Nervous system disorders</w:t>
            </w:r>
          </w:p>
        </w:tc>
        <w:tc>
          <w:tcPr>
            <w:tcW w:w="2268" w:type="dxa"/>
          </w:tcPr>
          <w:p w14:paraId="31C0E0A7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Frequent</w:t>
            </w:r>
          </w:p>
          <w:p w14:paraId="4F774228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Less frequent</w:t>
            </w:r>
          </w:p>
        </w:tc>
        <w:tc>
          <w:tcPr>
            <w:tcW w:w="4252" w:type="dxa"/>
          </w:tcPr>
          <w:p w14:paraId="2D31CA0E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sz w:val="20"/>
                <w:szCs w:val="20"/>
              </w:rPr>
              <w:t>Somnolence</w:t>
            </w:r>
          </w:p>
          <w:p w14:paraId="6A214689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sz w:val="20"/>
                <w:szCs w:val="20"/>
              </w:rPr>
              <w:t>Headache</w:t>
            </w:r>
          </w:p>
        </w:tc>
      </w:tr>
      <w:tr w:rsidR="00121C97" w:rsidRPr="00B941ED" w14:paraId="779FAD9C" w14:textId="77777777" w:rsidTr="003C5D1B">
        <w:tc>
          <w:tcPr>
            <w:tcW w:w="2689" w:type="dxa"/>
          </w:tcPr>
          <w:p w14:paraId="0EB6C8F4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Gastrointestinal disorders</w:t>
            </w:r>
          </w:p>
        </w:tc>
        <w:tc>
          <w:tcPr>
            <w:tcW w:w="2268" w:type="dxa"/>
          </w:tcPr>
          <w:p w14:paraId="1547E54D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Frequent</w:t>
            </w:r>
          </w:p>
          <w:p w14:paraId="02347858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i/>
                <w:iCs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i/>
                <w:iCs/>
                <w:sz w:val="20"/>
                <w:szCs w:val="20"/>
              </w:rPr>
              <w:t>Less frequent</w:t>
            </w:r>
          </w:p>
        </w:tc>
        <w:tc>
          <w:tcPr>
            <w:tcW w:w="4252" w:type="dxa"/>
          </w:tcPr>
          <w:p w14:paraId="31F97261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sz w:val="20"/>
                <w:szCs w:val="20"/>
              </w:rPr>
              <w:t>Diarrhoea, constipation</w:t>
            </w:r>
          </w:p>
          <w:p w14:paraId="49A5C5BD" w14:textId="77777777" w:rsidR="00121C97" w:rsidRPr="00B941ED" w:rsidRDefault="00121C97" w:rsidP="005C342C">
            <w:pPr>
              <w:spacing w:line="480" w:lineRule="auto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B941ED">
              <w:rPr>
                <w:rFonts w:ascii="Arial" w:eastAsia="ArialMT" w:hAnsi="Arial" w:cs="Arial"/>
                <w:sz w:val="20"/>
                <w:szCs w:val="20"/>
              </w:rPr>
              <w:t>Vomiting</w:t>
            </w:r>
          </w:p>
        </w:tc>
      </w:tr>
    </w:tbl>
    <w:p w14:paraId="104CA1BE" w14:textId="66E5B1D0" w:rsidR="00FC2BDF" w:rsidRDefault="00FC2BDF" w:rsidP="005C342C">
      <w:pPr>
        <w:spacing w:after="0" w:line="480" w:lineRule="auto"/>
        <w:jc w:val="both"/>
      </w:pPr>
    </w:p>
    <w:p w14:paraId="776BB5E5" w14:textId="77777777" w:rsidR="005137F9" w:rsidRPr="00212E55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Reporting of suspected adverse reactions</w:t>
      </w:r>
    </w:p>
    <w:p w14:paraId="61D887DE" w14:textId="2CEE4822" w:rsidR="005137F9" w:rsidRDefault="005137F9" w:rsidP="005C342C">
      <w:pPr>
        <w:spacing w:line="480" w:lineRule="auto"/>
        <w:jc w:val="both"/>
        <w:rPr>
          <w:rStyle w:val="Hyperlink"/>
          <w:rFonts w:ascii="Arial" w:hAnsi="Arial" w:cs="Arial"/>
          <w:bCs/>
          <w:sz w:val="20"/>
          <w:szCs w:val="20"/>
          <w:u w:val="single"/>
        </w:rPr>
      </w:pPr>
      <w:r w:rsidRPr="00C03B49">
        <w:rPr>
          <w:rFonts w:ascii="Arial" w:eastAsia="ArialMT" w:hAnsi="Arial" w:cs="Arial"/>
          <w:sz w:val="20"/>
          <w:szCs w:val="20"/>
        </w:rPr>
        <w:t>Reporting suspected adverse reactions after authorisation of the medicine is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C03B49">
        <w:rPr>
          <w:rFonts w:ascii="Arial" w:eastAsia="ArialMT" w:hAnsi="Arial" w:cs="Arial"/>
          <w:sz w:val="20"/>
          <w:szCs w:val="20"/>
        </w:rPr>
        <w:t>important. It allows continued monitoring of the benefit/risk balance of the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C03B49">
        <w:rPr>
          <w:rFonts w:ascii="Arial" w:eastAsia="ArialMT" w:hAnsi="Arial" w:cs="Arial"/>
          <w:sz w:val="20"/>
          <w:szCs w:val="20"/>
        </w:rPr>
        <w:t xml:space="preserve">medicine. Health care providers </w:t>
      </w:r>
      <w:r w:rsidRPr="00C03B49">
        <w:rPr>
          <w:rFonts w:ascii="Arial" w:eastAsia="ArialMT" w:hAnsi="Arial" w:cs="Arial"/>
          <w:b/>
          <w:bCs/>
          <w:sz w:val="20"/>
          <w:szCs w:val="20"/>
        </w:rPr>
        <w:t>are asked to report any suspected adverse to report any suspected adverse reactions to SAHPRA via the “6.04 Adverse Drug Reactions Reporting Form”, found online under</w:t>
      </w:r>
      <w:r w:rsidR="003C5D1B">
        <w:rPr>
          <w:rFonts w:ascii="Arial" w:eastAsia="ArialMT" w:hAnsi="Arial" w:cs="Arial"/>
          <w:b/>
          <w:bCs/>
          <w:sz w:val="20"/>
          <w:szCs w:val="20"/>
        </w:rPr>
        <w:t xml:space="preserve"> </w:t>
      </w:r>
      <w:r w:rsidRPr="0093616F">
        <w:rPr>
          <w:rFonts w:ascii="Arial" w:eastAsia="ArialMT" w:hAnsi="Arial" w:cs="Arial"/>
          <w:b/>
          <w:bCs/>
          <w:sz w:val="20"/>
          <w:szCs w:val="20"/>
        </w:rPr>
        <w:t>SAHPRA’s publications:</w:t>
      </w:r>
      <w:r w:rsidR="003C5D1B">
        <w:rPr>
          <w:rFonts w:ascii="Arial" w:eastAsia="ArialMT" w:hAnsi="Arial" w:cs="Arial"/>
          <w:b/>
          <w:bCs/>
          <w:sz w:val="20"/>
          <w:szCs w:val="20"/>
        </w:rPr>
        <w:t xml:space="preserve"> </w:t>
      </w:r>
      <w:r w:rsidRPr="0093616F">
        <w:rPr>
          <w:rFonts w:ascii="Arial" w:eastAsia="ArialMT" w:hAnsi="Arial" w:cs="Arial"/>
          <w:b/>
          <w:bCs/>
          <w:sz w:val="20"/>
          <w:szCs w:val="20"/>
          <w:u w:val="single"/>
        </w:rPr>
        <w:t>https://www.sahpra.org.za/publications/Index/8</w:t>
      </w:r>
      <w:r w:rsidRPr="0093616F">
        <w:rPr>
          <w:rFonts w:ascii="Arial" w:eastAsia="ArialMT" w:hAnsi="Arial" w:cs="Arial"/>
          <w:b/>
          <w:bCs/>
          <w:sz w:val="20"/>
          <w:szCs w:val="20"/>
        </w:rPr>
        <w:t xml:space="preserve"> or to</w:t>
      </w:r>
      <w:r w:rsidR="003C5D1B">
        <w:rPr>
          <w:rFonts w:ascii="Arial" w:eastAsia="ArialMT" w:hAnsi="Arial" w:cs="Arial"/>
          <w:b/>
          <w:bCs/>
          <w:sz w:val="20"/>
          <w:szCs w:val="20"/>
        </w:rPr>
        <w:t xml:space="preserve"> </w:t>
      </w:r>
      <w:r w:rsidRPr="0093616F">
        <w:rPr>
          <w:rFonts w:ascii="Arial" w:eastAsia="ArialMT" w:hAnsi="Arial" w:cs="Arial"/>
          <w:sz w:val="20"/>
          <w:szCs w:val="20"/>
        </w:rPr>
        <w:t>the Holder of certificate of registration through the mail: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hyperlink r:id="rId8" w:history="1">
        <w:r w:rsidRPr="0093616F">
          <w:rPr>
            <w:rStyle w:val="Hyperlink"/>
            <w:rFonts w:ascii="Arial" w:hAnsi="Arial" w:cs="Arial"/>
            <w:bCs/>
            <w:sz w:val="20"/>
            <w:szCs w:val="20"/>
            <w:u w:val="single"/>
          </w:rPr>
          <w:t>pvg.cdma@heterogroups.com</w:t>
        </w:r>
      </w:hyperlink>
    </w:p>
    <w:p w14:paraId="4C520D3A" w14:textId="77777777" w:rsidR="003C5D1B" w:rsidRPr="0093616F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4AE1498E" w14:textId="77777777" w:rsidR="005137F9" w:rsidRPr="00212E55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03B49">
        <w:rPr>
          <w:rFonts w:ascii="Arial" w:eastAsia="ArialMT" w:hAnsi="Arial" w:cs="Arial"/>
          <w:b/>
          <w:bCs/>
          <w:sz w:val="20"/>
          <w:szCs w:val="20"/>
        </w:rPr>
        <w:t>4.9 Overdose</w:t>
      </w:r>
    </w:p>
    <w:p w14:paraId="3FCFBABB" w14:textId="77777777" w:rsidR="005137F9" w:rsidRPr="007D60A2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7D60A2">
        <w:rPr>
          <w:rFonts w:ascii="Arial" w:eastAsia="ArialMT" w:hAnsi="Arial" w:cs="Arial"/>
          <w:b/>
          <w:bCs/>
          <w:sz w:val="20"/>
          <w:szCs w:val="20"/>
        </w:rPr>
        <w:t>Signs and symptoms</w:t>
      </w:r>
    </w:p>
    <w:p w14:paraId="4699C9D3" w14:textId="200ED37C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6373A4">
        <w:rPr>
          <w:rFonts w:ascii="Arial" w:eastAsia="ArialMT" w:hAnsi="Arial" w:cs="Arial"/>
          <w:sz w:val="20"/>
          <w:szCs w:val="20"/>
        </w:rPr>
        <w:t>Symptoms of overdose may include drowsiness in adults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7D60A2">
        <w:rPr>
          <w:rFonts w:ascii="Arial" w:eastAsia="ArialMT" w:hAnsi="Arial" w:cs="Arial"/>
          <w:sz w:val="20"/>
          <w:szCs w:val="20"/>
        </w:rPr>
        <w:t>and initially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8D1D71">
        <w:rPr>
          <w:rFonts w:ascii="Arial" w:eastAsia="ArialMT" w:hAnsi="Arial" w:cs="Arial"/>
          <w:sz w:val="20"/>
          <w:szCs w:val="20"/>
        </w:rPr>
        <w:t xml:space="preserve">agitation and restlessness, followed by </w:t>
      </w:r>
      <w:r w:rsidRPr="007D60A2">
        <w:rPr>
          <w:rFonts w:ascii="Arial" w:eastAsia="ArialMT" w:hAnsi="Arial" w:cs="Arial"/>
          <w:sz w:val="20"/>
          <w:szCs w:val="20"/>
        </w:rPr>
        <w:t>drowsiness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7D60A2">
        <w:rPr>
          <w:rFonts w:ascii="Arial" w:eastAsia="ArialMT" w:hAnsi="Arial" w:cs="Arial"/>
          <w:sz w:val="20"/>
          <w:szCs w:val="20"/>
        </w:rPr>
        <w:t>in children.</w:t>
      </w:r>
    </w:p>
    <w:p w14:paraId="73D3F3DE" w14:textId="77777777" w:rsidR="003C5D1B" w:rsidRPr="008D1D71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14E08AAF" w14:textId="77777777" w:rsidR="005137F9" w:rsidRPr="008D1D71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8D1D71">
        <w:rPr>
          <w:rFonts w:ascii="Arial" w:eastAsia="ArialMT" w:hAnsi="Arial" w:cs="Arial"/>
          <w:b/>
          <w:bCs/>
          <w:sz w:val="20"/>
          <w:szCs w:val="20"/>
        </w:rPr>
        <w:t>Management of overdoses</w:t>
      </w:r>
    </w:p>
    <w:p w14:paraId="3BEB42C0" w14:textId="1F2DC4FB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1C4662">
        <w:rPr>
          <w:rFonts w:ascii="Arial" w:eastAsia="ArialMT" w:hAnsi="Arial" w:cs="Arial"/>
          <w:sz w:val="20"/>
          <w:szCs w:val="20"/>
        </w:rPr>
        <w:t xml:space="preserve">There is no known specific antidote to </w:t>
      </w:r>
      <w:r w:rsidRPr="00C12A56">
        <w:rPr>
          <w:rFonts w:ascii="Arial" w:eastAsia="ArialMT" w:hAnsi="Arial" w:cs="Arial"/>
          <w:sz w:val="20"/>
          <w:szCs w:val="20"/>
        </w:rPr>
        <w:t>CETORIS O</w:t>
      </w:r>
      <w:r>
        <w:rPr>
          <w:rFonts w:ascii="Arial" w:eastAsia="ArialMT" w:hAnsi="Arial" w:cs="Arial"/>
          <w:sz w:val="20"/>
          <w:szCs w:val="20"/>
        </w:rPr>
        <w:t xml:space="preserve">ral </w:t>
      </w:r>
      <w:r w:rsidRPr="00C12A56">
        <w:rPr>
          <w:rFonts w:ascii="Arial" w:eastAsia="ArialMT" w:hAnsi="Arial" w:cs="Arial"/>
          <w:sz w:val="20"/>
          <w:szCs w:val="20"/>
        </w:rPr>
        <w:t>S</w:t>
      </w:r>
      <w:r>
        <w:rPr>
          <w:rFonts w:ascii="Arial" w:eastAsia="ArialMT" w:hAnsi="Arial" w:cs="Arial"/>
          <w:sz w:val="20"/>
          <w:szCs w:val="20"/>
        </w:rPr>
        <w:t>olution</w:t>
      </w:r>
      <w:r w:rsidRPr="00C12A56">
        <w:rPr>
          <w:rFonts w:ascii="Arial" w:eastAsia="ArialMT" w:hAnsi="Arial" w:cs="Arial"/>
          <w:sz w:val="20"/>
          <w:szCs w:val="20"/>
        </w:rPr>
        <w:t>.</w:t>
      </w:r>
      <w:r w:rsidRPr="006373A4">
        <w:rPr>
          <w:rFonts w:ascii="Arial" w:eastAsia="ArialMT" w:hAnsi="Arial" w:cs="Arial"/>
          <w:sz w:val="20"/>
          <w:szCs w:val="20"/>
        </w:rPr>
        <w:t xml:space="preserve"> Should overdose occur,symptomatic or supportive treatment is recommended. Levocetirizine is not effectively removed by haemodialysis.</w:t>
      </w:r>
    </w:p>
    <w:p w14:paraId="39EA9080" w14:textId="77777777" w:rsidR="003C5D1B" w:rsidRPr="0028022A" w:rsidRDefault="003C5D1B" w:rsidP="005C342C">
      <w:pPr>
        <w:spacing w:after="0" w:line="480" w:lineRule="auto"/>
        <w:jc w:val="both"/>
        <w:rPr>
          <w:rFonts w:ascii="Arial" w:eastAsia="ArialMT" w:hAnsi="Arial" w:cs="Arial"/>
          <w:strike/>
          <w:sz w:val="20"/>
          <w:szCs w:val="20"/>
        </w:rPr>
      </w:pPr>
    </w:p>
    <w:p w14:paraId="4B6C8582" w14:textId="77777777" w:rsidR="005137F9" w:rsidRPr="00A92D1B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A92D1B">
        <w:rPr>
          <w:rFonts w:ascii="Arial" w:eastAsia="ArialMT" w:hAnsi="Arial" w:cs="Arial"/>
          <w:b/>
          <w:bCs/>
          <w:sz w:val="20"/>
          <w:szCs w:val="20"/>
        </w:rPr>
        <w:t>5 PHARMACOLOGICAL PROPERTIES</w:t>
      </w:r>
    </w:p>
    <w:p w14:paraId="1D4AAA30" w14:textId="77777777" w:rsidR="005137F9" w:rsidRPr="00A92D1B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A92D1B">
        <w:rPr>
          <w:rFonts w:ascii="Arial" w:eastAsia="ArialMT" w:hAnsi="Arial" w:cs="Arial"/>
          <w:b/>
          <w:bCs/>
          <w:sz w:val="20"/>
          <w:szCs w:val="20"/>
        </w:rPr>
        <w:t>5.1 Pharmacodynamic properties</w:t>
      </w:r>
    </w:p>
    <w:p w14:paraId="5EDB3D35" w14:textId="76B644A1" w:rsidR="005137F9" w:rsidRPr="00212E55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A24B2D">
        <w:rPr>
          <w:rFonts w:ascii="Arial" w:eastAsia="ArialMT" w:hAnsi="Arial" w:cs="Arial"/>
          <w:sz w:val="20"/>
          <w:szCs w:val="20"/>
        </w:rPr>
        <w:t>Pharmacotherapeutic group: Antihistamines for systemic use, piperazine derivatives,</w:t>
      </w:r>
    </w:p>
    <w:p w14:paraId="1BC7FD16" w14:textId="77777777" w:rsidR="005137F9" w:rsidRPr="00A24B2D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A24B2D">
        <w:rPr>
          <w:rFonts w:ascii="Arial" w:eastAsia="ArialMT" w:hAnsi="Arial" w:cs="Arial"/>
          <w:sz w:val="20"/>
          <w:szCs w:val="20"/>
        </w:rPr>
        <w:t>ATC code: R06A E09.</w:t>
      </w:r>
    </w:p>
    <w:p w14:paraId="6244FEDF" w14:textId="4973D54A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12A56">
        <w:rPr>
          <w:rFonts w:ascii="Arial" w:eastAsia="ArialMT" w:hAnsi="Arial" w:cs="Arial"/>
          <w:sz w:val="20"/>
          <w:szCs w:val="20"/>
        </w:rPr>
        <w:lastRenderedPageBreak/>
        <w:t>Pharmacological classification: A 5.7.1 Antihistaminics</w:t>
      </w:r>
    </w:p>
    <w:p w14:paraId="7BCA5B02" w14:textId="77777777" w:rsidR="003C5D1B" w:rsidRPr="00C12A56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0BF28E9A" w14:textId="77777777" w:rsidR="005137F9" w:rsidRPr="00C12A56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C12A56">
        <w:rPr>
          <w:rFonts w:ascii="Arial" w:eastAsia="ArialMT" w:hAnsi="Arial" w:cs="Arial"/>
          <w:b/>
          <w:bCs/>
          <w:sz w:val="20"/>
          <w:szCs w:val="20"/>
        </w:rPr>
        <w:t>Mechanism of action</w:t>
      </w:r>
    </w:p>
    <w:p w14:paraId="4FEF8F89" w14:textId="096E8A8A" w:rsidR="005137F9" w:rsidRPr="00355D70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355D70">
        <w:rPr>
          <w:rFonts w:ascii="Arial" w:eastAsia="ArialMT" w:hAnsi="Arial" w:cs="Arial"/>
          <w:sz w:val="20"/>
          <w:szCs w:val="20"/>
        </w:rPr>
        <w:t>Levocetirizine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12A56">
        <w:rPr>
          <w:rFonts w:ascii="Arial" w:eastAsia="ArialMT" w:hAnsi="Arial" w:cs="Arial"/>
          <w:sz w:val="20"/>
          <w:szCs w:val="20"/>
        </w:rPr>
        <w:t>is the</w:t>
      </w:r>
      <w:r w:rsidRPr="00355D70">
        <w:rPr>
          <w:rFonts w:ascii="Arial" w:eastAsia="ArialMT" w:hAnsi="Arial" w:cs="Arial"/>
          <w:sz w:val="20"/>
          <w:szCs w:val="20"/>
        </w:rPr>
        <w:t xml:space="preserve"> R</w:t>
      </w:r>
      <w:r w:rsidRPr="00C12A56">
        <w:rPr>
          <w:rFonts w:ascii="Arial" w:eastAsia="ArialMT" w:hAnsi="Arial" w:cs="Arial"/>
          <w:sz w:val="20"/>
          <w:szCs w:val="20"/>
        </w:rPr>
        <w:t>-</w:t>
      </w:r>
      <w:r w:rsidRPr="00355D70">
        <w:rPr>
          <w:rFonts w:ascii="Arial" w:eastAsia="ArialMT" w:hAnsi="Arial" w:cs="Arial"/>
          <w:sz w:val="20"/>
          <w:szCs w:val="20"/>
        </w:rPr>
        <w:t xml:space="preserve">enantiomer of cetirizine, is a </w:t>
      </w:r>
      <w:r w:rsidRPr="00C12A56">
        <w:rPr>
          <w:rFonts w:ascii="Arial" w:eastAsia="ArialMT" w:hAnsi="Arial" w:cs="Arial"/>
          <w:sz w:val="20"/>
          <w:szCs w:val="20"/>
        </w:rPr>
        <w:t>histamine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H</w:t>
      </w:r>
      <w:r w:rsidRPr="000F668A">
        <w:rPr>
          <w:rFonts w:ascii="Arial" w:eastAsia="ArialMT" w:hAnsi="Arial" w:cs="Arial"/>
          <w:sz w:val="20"/>
          <w:szCs w:val="20"/>
          <w:vertAlign w:val="subscript"/>
        </w:rPr>
        <w:t>1</w:t>
      </w:r>
      <w:r w:rsidRPr="00355D70">
        <w:rPr>
          <w:rFonts w:ascii="Arial" w:eastAsia="ArialMT" w:hAnsi="Arial" w:cs="Arial"/>
          <w:sz w:val="20"/>
          <w:szCs w:val="20"/>
        </w:rPr>
        <w:t>-receptors.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Binding studies revealed that levocetirizine has high affinity for human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H</w:t>
      </w:r>
      <w:r w:rsidRPr="000F668A">
        <w:rPr>
          <w:rFonts w:ascii="Arial" w:eastAsia="ArialMT" w:hAnsi="Arial" w:cs="Arial"/>
          <w:sz w:val="20"/>
          <w:szCs w:val="20"/>
          <w:vertAlign w:val="subscript"/>
        </w:rPr>
        <w:t>1</w:t>
      </w:r>
      <w:r w:rsidRPr="00355D70">
        <w:rPr>
          <w:rFonts w:ascii="Arial" w:eastAsia="ArialMT" w:hAnsi="Arial" w:cs="Arial"/>
          <w:sz w:val="20"/>
          <w:szCs w:val="20"/>
        </w:rPr>
        <w:t>-receptors (Ki = 3</w:t>
      </w:r>
      <w:r w:rsidRPr="00C12A56">
        <w:rPr>
          <w:rFonts w:ascii="Arial" w:eastAsia="ArialMT" w:hAnsi="Arial" w:cs="Arial"/>
          <w:sz w:val="20"/>
          <w:szCs w:val="20"/>
        </w:rPr>
        <w:t>,2</w:t>
      </w:r>
      <w:r w:rsidRPr="00355D70">
        <w:rPr>
          <w:rFonts w:ascii="Arial" w:eastAsia="ArialMT" w:hAnsi="Arial" w:cs="Arial"/>
          <w:sz w:val="20"/>
          <w:szCs w:val="20"/>
        </w:rPr>
        <w:t xml:space="preserve"> nmol/l). Levocetirizine has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an affinity2-fold higher than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that of cetirizine (Ki = 6.3 nmol/l). Levocetirizine dissociates from H</w:t>
      </w:r>
      <w:r w:rsidRPr="000F668A">
        <w:rPr>
          <w:rFonts w:ascii="Arial" w:eastAsia="ArialMT" w:hAnsi="Arial" w:cs="Arial"/>
          <w:sz w:val="20"/>
          <w:szCs w:val="20"/>
          <w:vertAlign w:val="subscript"/>
        </w:rPr>
        <w:t>1</w:t>
      </w:r>
      <w:r w:rsidRPr="00355D70">
        <w:rPr>
          <w:rFonts w:ascii="Arial" w:eastAsia="ArialMT" w:hAnsi="Arial" w:cs="Arial"/>
          <w:sz w:val="20"/>
          <w:szCs w:val="20"/>
        </w:rPr>
        <w:t>-receptors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with a half</w:t>
      </w:r>
      <w:r w:rsidRPr="00C12A56">
        <w:rPr>
          <w:rFonts w:ascii="Arial" w:eastAsia="ArialMT" w:hAnsi="Arial" w:cs="Arial"/>
          <w:sz w:val="20"/>
          <w:szCs w:val="20"/>
        </w:rPr>
        <w:t>-</w:t>
      </w:r>
      <w:r w:rsidRPr="00355D70">
        <w:rPr>
          <w:rFonts w:ascii="Arial" w:eastAsia="ArialMT" w:hAnsi="Arial" w:cs="Arial"/>
          <w:sz w:val="20"/>
          <w:szCs w:val="20"/>
        </w:rPr>
        <w:t>life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of 115 ±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38 min.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 xml:space="preserve">After single administration, levocetirizine </w:t>
      </w:r>
      <w:r w:rsidRPr="000020C2">
        <w:rPr>
          <w:rFonts w:ascii="Arial" w:eastAsia="ArialMT" w:hAnsi="Arial" w:cs="Arial"/>
          <w:sz w:val="20"/>
          <w:szCs w:val="20"/>
        </w:rPr>
        <w:t>shows a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receptor occupancy of 90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% at 4 hours and 57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% at 24 hours.</w:t>
      </w:r>
    </w:p>
    <w:p w14:paraId="2A2A9140" w14:textId="30D6794B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355D70">
        <w:rPr>
          <w:rFonts w:ascii="Arial" w:eastAsia="ArialMT" w:hAnsi="Arial" w:cs="Arial"/>
          <w:sz w:val="20"/>
          <w:szCs w:val="20"/>
        </w:rPr>
        <w:t>Pharmacodynamic studies in healthy volunteers demonstrate that, at half the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dose, levocetirizine has comparable activity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to cetirizine, both in the skin and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355D70">
        <w:rPr>
          <w:rFonts w:ascii="Arial" w:eastAsia="ArialMT" w:hAnsi="Arial" w:cs="Arial"/>
          <w:sz w:val="20"/>
          <w:szCs w:val="20"/>
        </w:rPr>
        <w:t>in the nose.</w:t>
      </w:r>
    </w:p>
    <w:p w14:paraId="2EF7F53C" w14:textId="77777777" w:rsidR="003C5D1B" w:rsidRPr="00212E55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3E1312DA" w14:textId="77777777" w:rsidR="005137F9" w:rsidRPr="00D44FDA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D44FDA">
        <w:rPr>
          <w:rFonts w:ascii="Arial" w:eastAsia="ArialMT" w:hAnsi="Arial" w:cs="Arial"/>
          <w:b/>
          <w:bCs/>
          <w:sz w:val="20"/>
          <w:szCs w:val="20"/>
        </w:rPr>
        <w:t>5.2 Pharmacokinetic properties</w:t>
      </w:r>
    </w:p>
    <w:p w14:paraId="6E4CCBB5" w14:textId="0CFD96E9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5B4CDC">
        <w:rPr>
          <w:rFonts w:ascii="Arial" w:eastAsia="ArialMT" w:hAnsi="Arial" w:cs="Arial"/>
          <w:sz w:val="20"/>
          <w:szCs w:val="20"/>
        </w:rPr>
        <w:t>The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5B4CDC">
        <w:rPr>
          <w:rFonts w:ascii="Arial" w:eastAsia="ArialMT" w:hAnsi="Arial" w:cs="Arial"/>
          <w:sz w:val="20"/>
          <w:szCs w:val="20"/>
        </w:rPr>
        <w:t>pharmacokinetic profile is the same when given as the single enantiomer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5B4CDC">
        <w:rPr>
          <w:rFonts w:ascii="Arial" w:eastAsia="ArialMT" w:hAnsi="Arial" w:cs="Arial"/>
          <w:sz w:val="20"/>
          <w:szCs w:val="20"/>
        </w:rPr>
        <w:t>or when given as cetirizine. No chiral inversion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5B4CDC">
        <w:rPr>
          <w:rFonts w:ascii="Arial" w:eastAsia="ArialMT" w:hAnsi="Arial" w:cs="Arial"/>
          <w:sz w:val="20"/>
          <w:szCs w:val="20"/>
        </w:rPr>
        <w:t>occurs during the process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5B4CDC">
        <w:rPr>
          <w:rFonts w:ascii="Arial" w:eastAsia="ArialMT" w:hAnsi="Arial" w:cs="Arial"/>
          <w:sz w:val="20"/>
          <w:szCs w:val="20"/>
        </w:rPr>
        <w:t>of absorption and elimination.</w:t>
      </w:r>
    </w:p>
    <w:p w14:paraId="7793275B" w14:textId="77777777" w:rsidR="003C5D1B" w:rsidRPr="00212E55" w:rsidRDefault="003C5D1B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132FCF13" w14:textId="77777777" w:rsidR="005137F9" w:rsidRPr="00217E45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217E45">
        <w:rPr>
          <w:rFonts w:ascii="Arial" w:eastAsia="ArialMT" w:hAnsi="Arial" w:cs="Arial"/>
          <w:b/>
          <w:bCs/>
          <w:sz w:val="20"/>
          <w:szCs w:val="20"/>
        </w:rPr>
        <w:t>Absorption</w:t>
      </w:r>
    </w:p>
    <w:p w14:paraId="5D270055" w14:textId="2E6D105A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FF3537">
        <w:rPr>
          <w:rFonts w:ascii="Arial" w:eastAsia="ArialMT" w:hAnsi="Arial" w:cs="Arial"/>
          <w:sz w:val="20"/>
          <w:szCs w:val="20"/>
        </w:rPr>
        <w:t>Levocetirizine is rapidly and extensively absorbed following oral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FF3537">
        <w:rPr>
          <w:rFonts w:ascii="Arial" w:eastAsia="ArialMT" w:hAnsi="Arial" w:cs="Arial"/>
          <w:sz w:val="20"/>
          <w:szCs w:val="20"/>
        </w:rPr>
        <w:t>administration. In adults, peak plasma concentrations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FF3537">
        <w:rPr>
          <w:rFonts w:ascii="Arial" w:eastAsia="ArialMT" w:hAnsi="Arial" w:cs="Arial"/>
          <w:sz w:val="20"/>
          <w:szCs w:val="20"/>
        </w:rPr>
        <w:t>are achieved 0</w:t>
      </w:r>
      <w:r w:rsidRPr="00217E45">
        <w:rPr>
          <w:rFonts w:ascii="Arial" w:eastAsia="ArialMT" w:hAnsi="Arial" w:cs="Arial"/>
          <w:sz w:val="20"/>
          <w:szCs w:val="20"/>
        </w:rPr>
        <w:t>,9 hours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FF3537">
        <w:rPr>
          <w:rFonts w:ascii="Arial" w:eastAsia="ArialMT" w:hAnsi="Arial" w:cs="Arial"/>
          <w:sz w:val="20"/>
          <w:szCs w:val="20"/>
        </w:rPr>
        <w:t>after dosing. Steady state is achieved after two days. Peak concentrations are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FF3537">
        <w:rPr>
          <w:rFonts w:ascii="Arial" w:eastAsia="ArialMT" w:hAnsi="Arial" w:cs="Arial"/>
          <w:sz w:val="20"/>
          <w:szCs w:val="20"/>
        </w:rPr>
        <w:t>typically 270 ng/ml and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FF3537">
        <w:rPr>
          <w:rFonts w:ascii="Arial" w:eastAsia="ArialMT" w:hAnsi="Arial" w:cs="Arial"/>
          <w:sz w:val="20"/>
          <w:szCs w:val="20"/>
        </w:rPr>
        <w:t>308 ng/ml following a single and a repeated 5 mg o.d.</w:t>
      </w:r>
      <w:r w:rsidR="003C5D1B">
        <w:rPr>
          <w:rFonts w:ascii="Arial" w:eastAsia="ArialMT" w:hAnsi="Arial" w:cs="Arial"/>
          <w:sz w:val="20"/>
          <w:szCs w:val="20"/>
        </w:rPr>
        <w:t xml:space="preserve"> </w:t>
      </w:r>
      <w:r w:rsidRPr="00FF3537">
        <w:rPr>
          <w:rFonts w:ascii="Arial" w:eastAsia="ArialMT" w:hAnsi="Arial" w:cs="Arial"/>
          <w:sz w:val="20"/>
          <w:szCs w:val="20"/>
        </w:rPr>
        <w:t>dose, respectively. The extent of absorption is dose-independent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FF3537">
        <w:rPr>
          <w:rFonts w:ascii="Arial" w:eastAsia="ArialMT" w:hAnsi="Arial" w:cs="Arial"/>
          <w:sz w:val="20"/>
          <w:szCs w:val="20"/>
        </w:rPr>
        <w:t>and is not altered by food, but the peak concentration is reduced and delayed.</w:t>
      </w:r>
    </w:p>
    <w:p w14:paraId="29191647" w14:textId="77777777" w:rsidR="00912694" w:rsidRPr="00212E55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3C449EF6" w14:textId="77777777" w:rsidR="005137F9" w:rsidRPr="00217E45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217E45">
        <w:rPr>
          <w:rFonts w:ascii="Arial" w:eastAsia="ArialMT" w:hAnsi="Arial" w:cs="Arial"/>
          <w:b/>
          <w:bCs/>
          <w:sz w:val="20"/>
          <w:szCs w:val="20"/>
        </w:rPr>
        <w:t>Distribution</w:t>
      </w:r>
    </w:p>
    <w:p w14:paraId="3913ED82" w14:textId="7B2D3A1B" w:rsidR="005137F9" w:rsidRPr="00C831E7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831E7">
        <w:rPr>
          <w:rFonts w:ascii="Arial" w:eastAsia="ArialMT" w:hAnsi="Arial" w:cs="Arial"/>
          <w:sz w:val="20"/>
          <w:szCs w:val="20"/>
        </w:rPr>
        <w:t>No tissue distribution data are available in humans, neither concerning the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passage of levocetirizine through the blood</w:t>
      </w:r>
      <w:r w:rsidRPr="00D26FE1">
        <w:rPr>
          <w:rFonts w:ascii="Arial" w:eastAsia="ArialMT" w:hAnsi="Arial" w:cs="Arial"/>
          <w:sz w:val="20"/>
          <w:szCs w:val="20"/>
          <w:u w:val="single"/>
        </w:rPr>
        <w:t>-</w:t>
      </w:r>
      <w:r w:rsidRPr="00C831E7">
        <w:rPr>
          <w:rFonts w:ascii="Arial" w:eastAsia="ArialMT" w:hAnsi="Arial" w:cs="Arial"/>
          <w:sz w:val="20"/>
          <w:szCs w:val="20"/>
        </w:rPr>
        <w:t>brain-barrier. In rats and dogs, the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highest tissue levels are found in liver and kidneys, the lowest in the CNS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compartment.</w:t>
      </w:r>
    </w:p>
    <w:p w14:paraId="197DD135" w14:textId="589D0A47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831E7">
        <w:rPr>
          <w:rFonts w:ascii="Arial" w:eastAsia="ArialMT" w:hAnsi="Arial" w:cs="Arial"/>
          <w:sz w:val="20"/>
          <w:szCs w:val="20"/>
        </w:rPr>
        <w:lastRenderedPageBreak/>
        <w:t>In humans, levocetirizine is 90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% bound to plasma proteins. The distribution of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levocetirizine is restrictive, as the volume of distribution is 0</w:t>
      </w:r>
      <w:r w:rsidRPr="00217E45">
        <w:rPr>
          <w:rFonts w:ascii="Arial" w:eastAsia="ArialMT" w:hAnsi="Arial" w:cs="Arial"/>
          <w:sz w:val="20"/>
          <w:szCs w:val="20"/>
        </w:rPr>
        <w:t>,</w:t>
      </w:r>
      <w:r w:rsidRPr="00C831E7">
        <w:rPr>
          <w:rFonts w:ascii="Arial" w:eastAsia="ArialMT" w:hAnsi="Arial" w:cs="Arial"/>
          <w:sz w:val="20"/>
          <w:szCs w:val="20"/>
        </w:rPr>
        <w:t>4 l/kg.</w:t>
      </w:r>
    </w:p>
    <w:p w14:paraId="1BA01B97" w14:textId="77777777" w:rsidR="00912694" w:rsidRPr="00C831E7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0ACFA00B" w14:textId="77777777" w:rsidR="005137F9" w:rsidRPr="00217E45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217E45">
        <w:rPr>
          <w:rFonts w:ascii="Arial" w:eastAsia="ArialMT" w:hAnsi="Arial" w:cs="Arial"/>
          <w:b/>
          <w:bCs/>
          <w:sz w:val="20"/>
          <w:szCs w:val="20"/>
        </w:rPr>
        <w:t>Biotransformation</w:t>
      </w:r>
    </w:p>
    <w:p w14:paraId="0D2602FC" w14:textId="4874AA02" w:rsidR="005137F9" w:rsidRPr="00C831E7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831E7">
        <w:rPr>
          <w:rFonts w:ascii="Arial" w:eastAsia="ArialMT" w:hAnsi="Arial" w:cs="Arial"/>
          <w:sz w:val="20"/>
          <w:szCs w:val="20"/>
        </w:rPr>
        <w:t>The extent of metabolism of levocetirizine in humans is less than 14% of the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dose and therefore differences resulting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from genetic polymorphism or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concomitant intake of enzyme inhibitors are expected to be negligible.</w:t>
      </w:r>
    </w:p>
    <w:p w14:paraId="20D1D02E" w14:textId="6AEAD938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831E7">
        <w:rPr>
          <w:rFonts w:ascii="Arial" w:eastAsia="ArialMT" w:hAnsi="Arial" w:cs="Arial"/>
          <w:sz w:val="20"/>
          <w:szCs w:val="20"/>
        </w:rPr>
        <w:t>Metabolic pathways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include aromatic oxidation, N- and O- dealkylation and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942124">
        <w:rPr>
          <w:rFonts w:ascii="Arial" w:eastAsia="ArialMT" w:hAnsi="Arial" w:cs="Arial"/>
          <w:sz w:val="20"/>
          <w:szCs w:val="20"/>
        </w:rPr>
        <w:t>taurine conjugation. Dealkylation pathways are primarily mediated</w:t>
      </w:r>
      <w:r w:rsidRPr="00C831E7">
        <w:rPr>
          <w:rFonts w:ascii="Arial" w:eastAsia="ArialMT" w:hAnsi="Arial" w:cs="Arial"/>
          <w:sz w:val="20"/>
          <w:szCs w:val="20"/>
        </w:rPr>
        <w:t xml:space="preserve"> by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CYP 3A4 while aromatic oxidation involved multiple and/or unidentified CYP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isoforms. Levocetirizine had no effect on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the activities of CYP isoenzymes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1A2, 2C9, 2C19, 2D6, 2E1 and 3A4 at concentrations well above peak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concentrations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achieved following a 5 mg oral dose.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Due to its low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metabolism and absence of metabolic inhibition potential, the interaction of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477288">
        <w:rPr>
          <w:rFonts w:ascii="Arial" w:eastAsia="ArialMT" w:hAnsi="Arial" w:cs="Arial"/>
          <w:sz w:val="20"/>
          <w:szCs w:val="20"/>
        </w:rPr>
        <w:t>levocetirizine with other substances, or vice-versa, is unlikely.</w:t>
      </w:r>
    </w:p>
    <w:p w14:paraId="4E9C2996" w14:textId="77777777" w:rsidR="00912694" w:rsidRPr="00C831E7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2C2C4842" w14:textId="77777777" w:rsidR="005137F9" w:rsidRPr="00217E45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217E45">
        <w:rPr>
          <w:rFonts w:ascii="Arial" w:eastAsia="ArialMT" w:hAnsi="Arial" w:cs="Arial"/>
          <w:b/>
          <w:bCs/>
          <w:sz w:val="20"/>
          <w:szCs w:val="20"/>
        </w:rPr>
        <w:t>Elimination</w:t>
      </w:r>
    </w:p>
    <w:p w14:paraId="446B370A" w14:textId="2DCBE584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831E7">
        <w:rPr>
          <w:rFonts w:ascii="Arial" w:eastAsia="ArialMT" w:hAnsi="Arial" w:cs="Arial"/>
          <w:sz w:val="20"/>
          <w:szCs w:val="20"/>
        </w:rPr>
        <w:t xml:space="preserve">The plasma half-life in adults is </w:t>
      </w:r>
      <w:r w:rsidRPr="00217E45">
        <w:rPr>
          <w:rFonts w:ascii="Arial" w:eastAsia="ArialMT" w:hAnsi="Arial" w:cs="Arial"/>
          <w:sz w:val="20"/>
          <w:szCs w:val="20"/>
        </w:rPr>
        <w:t>approximately 8 hours in adults.</w:t>
      </w:r>
      <w:r w:rsidRPr="00C831E7">
        <w:rPr>
          <w:rFonts w:ascii="Arial" w:eastAsia="ArialMT" w:hAnsi="Arial" w:cs="Arial"/>
          <w:sz w:val="20"/>
          <w:szCs w:val="20"/>
        </w:rPr>
        <w:t xml:space="preserve"> The half-life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is shorter in small children. The mean apparent total body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clearance in adults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is 0.63 ml/min/kg.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292904">
        <w:rPr>
          <w:rFonts w:ascii="Arial" w:eastAsia="ArialMT" w:hAnsi="Arial" w:cs="Arial"/>
          <w:sz w:val="20"/>
          <w:szCs w:val="20"/>
        </w:rPr>
        <w:t>The</w:t>
      </w:r>
      <w:r w:rsidRPr="00217E45">
        <w:rPr>
          <w:rFonts w:ascii="Arial" w:eastAsia="ArialMT" w:hAnsi="Arial" w:cs="Arial"/>
          <w:sz w:val="20"/>
          <w:szCs w:val="20"/>
        </w:rPr>
        <w:t xml:space="preserve"> main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292904">
        <w:rPr>
          <w:rFonts w:ascii="Arial" w:eastAsia="ArialMT" w:hAnsi="Arial" w:cs="Arial"/>
          <w:sz w:val="20"/>
          <w:szCs w:val="20"/>
        </w:rPr>
        <w:t>route of excretion of levocetirizine and metabolites is via urine,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accounting for a mean of 85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 xml:space="preserve">% of the dose. </w:t>
      </w:r>
      <w:r w:rsidRPr="00D26FE1">
        <w:rPr>
          <w:rFonts w:ascii="Arial" w:eastAsia="ArialMT" w:hAnsi="Arial" w:cs="Arial"/>
          <w:sz w:val="20"/>
          <w:szCs w:val="20"/>
        </w:rPr>
        <w:t>Approximately</w:t>
      </w:r>
      <w:r>
        <w:rPr>
          <w:rFonts w:ascii="Arial" w:eastAsia="ArialMT" w:hAnsi="Arial" w:cs="Arial"/>
          <w:sz w:val="20"/>
          <w:szCs w:val="20"/>
        </w:rPr>
        <w:t xml:space="preserve"> 13 % </w:t>
      </w:r>
      <w:r w:rsidRPr="00217E45">
        <w:rPr>
          <w:rFonts w:ascii="Arial" w:eastAsia="ArialMT" w:hAnsi="Arial" w:cs="Arial"/>
          <w:sz w:val="20"/>
          <w:szCs w:val="20"/>
        </w:rPr>
        <w:t>is excreted in the faeces.</w:t>
      </w:r>
      <w:r w:rsidRPr="00C831E7">
        <w:rPr>
          <w:rFonts w:ascii="Arial" w:eastAsia="ArialMT" w:hAnsi="Arial" w:cs="Arial"/>
          <w:sz w:val="20"/>
          <w:szCs w:val="20"/>
        </w:rPr>
        <w:t xml:space="preserve"> Levocetirizine is</w:t>
      </w:r>
      <w:r>
        <w:rPr>
          <w:rFonts w:ascii="Arial" w:eastAsia="ArialMT" w:hAnsi="Arial" w:cs="Arial"/>
          <w:sz w:val="20"/>
          <w:szCs w:val="20"/>
        </w:rPr>
        <w:t xml:space="preserve"> e</w:t>
      </w:r>
      <w:r w:rsidRPr="00C831E7">
        <w:rPr>
          <w:rFonts w:ascii="Arial" w:eastAsia="ArialMT" w:hAnsi="Arial" w:cs="Arial"/>
          <w:sz w:val="20"/>
          <w:szCs w:val="20"/>
        </w:rPr>
        <w:t>xcreted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both by glomerular filtration</w:t>
      </w:r>
      <w:r w:rsidRPr="00292904">
        <w:rPr>
          <w:rFonts w:ascii="Arial" w:eastAsia="ArialMT" w:hAnsi="Arial" w:cs="Arial"/>
          <w:sz w:val="20"/>
          <w:szCs w:val="20"/>
        </w:rPr>
        <w:t xml:space="preserve"> and active tubular secretion.</w:t>
      </w:r>
    </w:p>
    <w:p w14:paraId="0230BE44" w14:textId="77777777" w:rsidR="00912694" w:rsidRPr="00C831E7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602B646E" w14:textId="77777777" w:rsidR="005137F9" w:rsidRPr="00BC61F3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BC61F3">
        <w:rPr>
          <w:rFonts w:ascii="Arial" w:eastAsia="ArialMT" w:hAnsi="Arial" w:cs="Arial"/>
          <w:b/>
          <w:bCs/>
          <w:sz w:val="20"/>
          <w:szCs w:val="20"/>
        </w:rPr>
        <w:t>Linearity</w:t>
      </w:r>
    </w:p>
    <w:p w14:paraId="79144F96" w14:textId="4EE19738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0020C2">
        <w:rPr>
          <w:rFonts w:ascii="Arial" w:eastAsia="ArialMT" w:hAnsi="Arial" w:cs="Arial"/>
          <w:sz w:val="20"/>
          <w:szCs w:val="20"/>
        </w:rPr>
        <w:t>The pharmacokinetics of levocetirizine are linear with dose- and time-independent with low inter subject variability</w:t>
      </w:r>
    </w:p>
    <w:p w14:paraId="3F733103" w14:textId="77777777" w:rsidR="00912694" w:rsidRPr="000020C2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1B3E254E" w14:textId="77777777" w:rsidR="005137F9" w:rsidRPr="00E632DC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E632DC">
        <w:rPr>
          <w:rFonts w:ascii="Arial" w:eastAsia="ArialMT" w:hAnsi="Arial" w:cs="Arial"/>
          <w:b/>
          <w:bCs/>
          <w:sz w:val="20"/>
          <w:szCs w:val="20"/>
        </w:rPr>
        <w:t>Pharmacokinetics in special patient groups</w:t>
      </w:r>
    </w:p>
    <w:p w14:paraId="3A29E5E5" w14:textId="77777777" w:rsidR="005137F9" w:rsidRPr="00BD5D47" w:rsidRDefault="005137F9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BD5D47">
        <w:rPr>
          <w:rFonts w:ascii="Arial" w:eastAsia="ArialMT" w:hAnsi="Arial" w:cs="Arial"/>
          <w:i/>
          <w:iCs/>
          <w:sz w:val="20"/>
          <w:szCs w:val="20"/>
        </w:rPr>
        <w:t>Renal impairment</w:t>
      </w:r>
    </w:p>
    <w:p w14:paraId="23EDFC82" w14:textId="36DB240F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C831E7">
        <w:rPr>
          <w:rFonts w:ascii="Arial" w:eastAsia="ArialMT" w:hAnsi="Arial" w:cs="Arial"/>
          <w:sz w:val="20"/>
          <w:szCs w:val="20"/>
        </w:rPr>
        <w:lastRenderedPageBreak/>
        <w:t>The apparent body clearance of levocetirizine is correlated to the creatinine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clearance. It is therefore recommended to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adjust the dosing intervals of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levocetirizine</w:t>
      </w:r>
      <w:r w:rsidRPr="006C1977">
        <w:rPr>
          <w:rFonts w:ascii="Arial" w:eastAsia="ArialMT" w:hAnsi="Arial" w:cs="Arial"/>
          <w:sz w:val="20"/>
          <w:szCs w:val="20"/>
        </w:rPr>
        <w:t>,</w:t>
      </w:r>
      <w:r w:rsidRPr="00C831E7">
        <w:rPr>
          <w:rFonts w:ascii="Arial" w:eastAsia="ArialMT" w:hAnsi="Arial" w:cs="Arial"/>
          <w:sz w:val="20"/>
          <w:szCs w:val="20"/>
        </w:rPr>
        <w:t xml:space="preserve"> based on creatinine clearance in patients with moderate and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severe renal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 xml:space="preserve">impairment. In anuric end stage renal disease </w:t>
      </w:r>
      <w:r w:rsidRPr="00E632DC">
        <w:rPr>
          <w:rFonts w:ascii="Arial" w:eastAsia="ArialMT" w:hAnsi="Arial" w:cs="Arial"/>
          <w:sz w:val="20"/>
          <w:szCs w:val="20"/>
        </w:rPr>
        <w:t>patients,</w:t>
      </w:r>
      <w:r w:rsidRPr="00C831E7">
        <w:rPr>
          <w:rFonts w:ascii="Arial" w:eastAsia="ArialMT" w:hAnsi="Arial" w:cs="Arial"/>
          <w:sz w:val="20"/>
          <w:szCs w:val="20"/>
        </w:rPr>
        <w:t xml:space="preserve"> the total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body clearance is decreased by approximately 80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>%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31E7">
        <w:rPr>
          <w:rFonts w:ascii="Arial" w:eastAsia="ArialMT" w:hAnsi="Arial" w:cs="Arial"/>
          <w:sz w:val="20"/>
          <w:szCs w:val="20"/>
        </w:rPr>
        <w:t xml:space="preserve">when compared to normal </w:t>
      </w:r>
      <w:r w:rsidRPr="00E632DC">
        <w:rPr>
          <w:rFonts w:ascii="Arial" w:eastAsia="ArialMT" w:hAnsi="Arial" w:cs="Arial"/>
          <w:sz w:val="20"/>
          <w:szCs w:val="20"/>
        </w:rPr>
        <w:t>patients.</w:t>
      </w:r>
      <w:r w:rsidRPr="00C831E7">
        <w:rPr>
          <w:rFonts w:ascii="Arial" w:eastAsia="ArialMT" w:hAnsi="Arial" w:cs="Arial"/>
          <w:sz w:val="20"/>
          <w:szCs w:val="20"/>
        </w:rPr>
        <w:t xml:space="preserve"> The amount of levocetirizine removed during a standard 4-</w:t>
      </w:r>
      <w:r w:rsidRPr="003108F1">
        <w:rPr>
          <w:rFonts w:ascii="Arial" w:eastAsia="ArialMT" w:hAnsi="Arial" w:cs="Arial"/>
          <w:sz w:val="20"/>
          <w:szCs w:val="20"/>
        </w:rPr>
        <w:t>hour hemodialysis procedure was &lt; 10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%.</w:t>
      </w:r>
    </w:p>
    <w:p w14:paraId="1003262D" w14:textId="77777777" w:rsidR="00912694" w:rsidRPr="00C831E7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7BFCDF6A" w14:textId="77777777" w:rsidR="005137F9" w:rsidRPr="00B83994" w:rsidRDefault="005137F9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B83994">
        <w:rPr>
          <w:rFonts w:ascii="Arial" w:eastAsia="ArialMT" w:hAnsi="Arial" w:cs="Arial"/>
          <w:i/>
          <w:iCs/>
          <w:sz w:val="20"/>
          <w:szCs w:val="20"/>
        </w:rPr>
        <w:t>Elderly</w:t>
      </w:r>
    </w:p>
    <w:p w14:paraId="5D4A0691" w14:textId="15731266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3108F1">
        <w:rPr>
          <w:rFonts w:ascii="Arial" w:eastAsia="ArialMT" w:hAnsi="Arial" w:cs="Arial"/>
          <w:sz w:val="20"/>
          <w:szCs w:val="20"/>
        </w:rPr>
        <w:t xml:space="preserve">Limited pharmacokinetic data are available in elderly </w:t>
      </w:r>
      <w:r w:rsidRPr="00E632DC">
        <w:rPr>
          <w:rFonts w:ascii="Arial" w:eastAsia="ArialMT" w:hAnsi="Arial" w:cs="Arial"/>
          <w:sz w:val="20"/>
          <w:szCs w:val="20"/>
        </w:rPr>
        <w:t>patients.</w:t>
      </w:r>
      <w:r w:rsidRPr="003108F1">
        <w:rPr>
          <w:rFonts w:ascii="Arial" w:eastAsia="ArialMT" w:hAnsi="Arial" w:cs="Arial"/>
          <w:sz w:val="20"/>
          <w:szCs w:val="20"/>
        </w:rPr>
        <w:t xml:space="preserve"> </w:t>
      </w:r>
      <w:r w:rsidRPr="00E632DC">
        <w:rPr>
          <w:rFonts w:ascii="Arial" w:eastAsia="ArialMT" w:hAnsi="Arial" w:cs="Arial"/>
          <w:sz w:val="20"/>
          <w:szCs w:val="20"/>
        </w:rPr>
        <w:t>To</w:t>
      </w:r>
      <w:r w:rsidRPr="00B83994">
        <w:rPr>
          <w:rFonts w:ascii="Arial" w:eastAsia="ArialMT" w:hAnsi="Arial" w:cs="Arial"/>
          <w:sz w:val="20"/>
          <w:szCs w:val="20"/>
        </w:rPr>
        <w:t>tal</w:t>
      </w:r>
      <w:r w:rsidRPr="003108F1">
        <w:rPr>
          <w:rFonts w:ascii="Arial" w:eastAsia="ArialMT" w:hAnsi="Arial" w:cs="Arial"/>
          <w:sz w:val="20"/>
          <w:szCs w:val="20"/>
        </w:rPr>
        <w:t xml:space="preserve"> body clearance </w:t>
      </w:r>
      <w:r w:rsidRPr="00E632DC">
        <w:rPr>
          <w:rFonts w:ascii="Arial" w:eastAsia="ArialMT" w:hAnsi="Arial" w:cs="Arial"/>
          <w:sz w:val="20"/>
          <w:szCs w:val="20"/>
        </w:rPr>
        <w:t>in the elderly is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approximately 33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%</w:t>
      </w:r>
      <w: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lower compared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 xml:space="preserve">to that in younger adults. The disposition of racemic cetirizine has been shown </w:t>
      </w:r>
      <w:r>
        <w:rPr>
          <w:rFonts w:ascii="Arial" w:eastAsia="ArialMT" w:hAnsi="Arial" w:cs="Arial"/>
          <w:sz w:val="20"/>
          <w:szCs w:val="20"/>
        </w:rPr>
        <w:t>t</w:t>
      </w:r>
      <w:r w:rsidRPr="003108F1">
        <w:rPr>
          <w:rFonts w:ascii="Arial" w:eastAsia="ArialMT" w:hAnsi="Arial" w:cs="Arial"/>
          <w:sz w:val="20"/>
          <w:szCs w:val="20"/>
        </w:rPr>
        <w:t>o be dependent on renal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function rather than age. This would also be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 xml:space="preserve">applicable for levocetirizine, as </w:t>
      </w:r>
      <w:r w:rsidRPr="00E632DC">
        <w:rPr>
          <w:rFonts w:ascii="Arial" w:eastAsia="ArialMT" w:hAnsi="Arial" w:cs="Arial"/>
          <w:sz w:val="20"/>
          <w:szCs w:val="20"/>
        </w:rPr>
        <w:t>both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cetirizine and levocetirizine are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both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3108F1">
        <w:rPr>
          <w:rFonts w:ascii="Arial" w:eastAsia="ArialMT" w:hAnsi="Arial" w:cs="Arial"/>
          <w:sz w:val="20"/>
          <w:szCs w:val="20"/>
        </w:rPr>
        <w:t>predominantly excreted in urine.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C85B52">
        <w:rPr>
          <w:rFonts w:ascii="Arial" w:eastAsia="ArialMT" w:hAnsi="Arial" w:cs="Arial"/>
          <w:sz w:val="20"/>
          <w:szCs w:val="20"/>
        </w:rPr>
        <w:t xml:space="preserve">Therefore, the </w:t>
      </w:r>
      <w:r w:rsidRPr="00E632DC">
        <w:rPr>
          <w:rFonts w:ascii="Arial" w:eastAsia="ArialMT" w:hAnsi="Arial" w:cs="Arial"/>
          <w:sz w:val="20"/>
          <w:szCs w:val="20"/>
        </w:rPr>
        <w:t>dose of levocetirizine</w:t>
      </w:r>
      <w:r w:rsidRPr="00C85B52">
        <w:rPr>
          <w:rFonts w:ascii="Arial" w:eastAsia="ArialMT" w:hAnsi="Arial" w:cs="Arial"/>
          <w:sz w:val="20"/>
          <w:szCs w:val="20"/>
        </w:rPr>
        <w:t xml:space="preserve"> should be adjusted in accordance with renal</w:t>
      </w:r>
      <w:r w:rsidRPr="003108F1">
        <w:rPr>
          <w:rFonts w:ascii="Arial" w:eastAsia="ArialMT" w:hAnsi="Arial" w:cs="Arial"/>
          <w:sz w:val="20"/>
          <w:szCs w:val="20"/>
        </w:rPr>
        <w:t xml:space="preserve"> function in elderly patients.</w:t>
      </w:r>
    </w:p>
    <w:p w14:paraId="7A95937D" w14:textId="77777777" w:rsidR="00912694" w:rsidRPr="003108F1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7BEAC86E" w14:textId="77777777" w:rsidR="005137F9" w:rsidRPr="001A1C8F" w:rsidRDefault="005137F9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1A1C8F">
        <w:rPr>
          <w:rFonts w:ascii="Arial" w:eastAsia="ArialMT" w:hAnsi="Arial" w:cs="Arial"/>
          <w:i/>
          <w:iCs/>
          <w:sz w:val="20"/>
          <w:szCs w:val="20"/>
        </w:rPr>
        <w:t>Hepatic impairment</w:t>
      </w:r>
    </w:p>
    <w:p w14:paraId="7F6458E8" w14:textId="5EBB2B22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BD1139">
        <w:rPr>
          <w:rFonts w:ascii="Arial" w:eastAsia="ArialMT" w:hAnsi="Arial" w:cs="Arial"/>
          <w:sz w:val="20"/>
          <w:szCs w:val="20"/>
        </w:rPr>
        <w:t xml:space="preserve">The pharmacokinetics of levocetirizine in hepatically impaired </w:t>
      </w:r>
      <w:r w:rsidRPr="00E636AA">
        <w:rPr>
          <w:rFonts w:ascii="Arial" w:eastAsia="ArialMT" w:hAnsi="Arial" w:cs="Arial"/>
          <w:sz w:val="20"/>
          <w:szCs w:val="20"/>
        </w:rPr>
        <w:t xml:space="preserve">patients </w:t>
      </w:r>
      <w:r w:rsidRPr="00BD1139">
        <w:rPr>
          <w:rFonts w:ascii="Arial" w:eastAsia="ArialMT" w:hAnsi="Arial" w:cs="Arial"/>
          <w:sz w:val="20"/>
          <w:szCs w:val="20"/>
        </w:rPr>
        <w:t>have not been tested. Patients with chronic liver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BD1139">
        <w:rPr>
          <w:rFonts w:ascii="Arial" w:eastAsia="ArialMT" w:hAnsi="Arial" w:cs="Arial"/>
          <w:sz w:val="20"/>
          <w:szCs w:val="20"/>
        </w:rPr>
        <w:t>diseases (hepatocellular,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BD1139">
        <w:rPr>
          <w:rFonts w:ascii="Arial" w:eastAsia="ArialMT" w:hAnsi="Arial" w:cs="Arial"/>
          <w:sz w:val="20"/>
          <w:szCs w:val="20"/>
        </w:rPr>
        <w:t>cholestatic, and biliary cirrhosis) given 10 or 20 mg of the racemic compound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BD1139">
        <w:rPr>
          <w:rFonts w:ascii="Arial" w:eastAsia="ArialMT" w:hAnsi="Arial" w:cs="Arial"/>
          <w:sz w:val="20"/>
          <w:szCs w:val="20"/>
        </w:rPr>
        <w:t>cetirizine as a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BD1139">
        <w:rPr>
          <w:rFonts w:ascii="Arial" w:eastAsia="ArialMT" w:hAnsi="Arial" w:cs="Arial"/>
          <w:sz w:val="20"/>
          <w:szCs w:val="20"/>
        </w:rPr>
        <w:t>single dose had a 50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BD1139">
        <w:rPr>
          <w:rFonts w:ascii="Arial" w:eastAsia="ArialMT" w:hAnsi="Arial" w:cs="Arial"/>
          <w:sz w:val="20"/>
          <w:szCs w:val="20"/>
        </w:rPr>
        <w:t>% increase in half</w:t>
      </w:r>
      <w:r w:rsidRPr="00280C87">
        <w:rPr>
          <w:rFonts w:ascii="Arial" w:eastAsia="ArialMT" w:hAnsi="Arial" w:cs="Arial"/>
          <w:sz w:val="20"/>
          <w:szCs w:val="20"/>
        </w:rPr>
        <w:t>-</w:t>
      </w:r>
      <w:r w:rsidRPr="00BD1139">
        <w:rPr>
          <w:rFonts w:ascii="Arial" w:eastAsia="ArialMT" w:hAnsi="Arial" w:cs="Arial"/>
          <w:sz w:val="20"/>
          <w:szCs w:val="20"/>
        </w:rPr>
        <w:t>life along with a 40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BD1139">
        <w:rPr>
          <w:rFonts w:ascii="Arial" w:eastAsia="ArialMT" w:hAnsi="Arial" w:cs="Arial"/>
          <w:sz w:val="20"/>
          <w:szCs w:val="20"/>
        </w:rPr>
        <w:t>%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BD1139">
        <w:rPr>
          <w:rFonts w:ascii="Arial" w:eastAsia="ArialMT" w:hAnsi="Arial" w:cs="Arial"/>
          <w:sz w:val="20"/>
          <w:szCs w:val="20"/>
        </w:rPr>
        <w:t xml:space="preserve">decrease in clearance compared to </w:t>
      </w:r>
      <w:r w:rsidRPr="005318AE">
        <w:rPr>
          <w:rFonts w:ascii="Arial" w:eastAsia="ArialMT" w:hAnsi="Arial" w:cs="Arial"/>
          <w:sz w:val="20"/>
          <w:szCs w:val="20"/>
        </w:rPr>
        <w:t>healthy patients.</w:t>
      </w:r>
    </w:p>
    <w:p w14:paraId="4D72A040" w14:textId="77777777" w:rsidR="00912694" w:rsidRPr="00BD1139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47B3BAE9" w14:textId="77777777" w:rsidR="005137F9" w:rsidRPr="005318AE" w:rsidRDefault="005137F9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5318AE">
        <w:rPr>
          <w:rFonts w:ascii="Arial" w:eastAsia="ArialMT" w:hAnsi="Arial" w:cs="Arial"/>
          <w:i/>
          <w:iCs/>
          <w:sz w:val="20"/>
          <w:szCs w:val="20"/>
        </w:rPr>
        <w:t>Gender</w:t>
      </w:r>
    </w:p>
    <w:p w14:paraId="54DE2645" w14:textId="0ADAC650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5318AE">
        <w:rPr>
          <w:rFonts w:ascii="Arial" w:eastAsia="ArialMT" w:hAnsi="Arial" w:cs="Arial"/>
          <w:sz w:val="20"/>
          <w:szCs w:val="20"/>
        </w:rPr>
        <w:t>The same daily dose and dosing intervals are applicable for men and women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5318AE">
        <w:rPr>
          <w:rFonts w:ascii="Arial" w:eastAsia="ArialMT" w:hAnsi="Arial" w:cs="Arial"/>
          <w:sz w:val="20"/>
          <w:szCs w:val="20"/>
        </w:rPr>
        <w:t>with normal renal function.</w:t>
      </w:r>
    </w:p>
    <w:p w14:paraId="05F6ABF4" w14:textId="77777777" w:rsidR="00912694" w:rsidRPr="005318AE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696F098B" w14:textId="77777777" w:rsidR="005137F9" w:rsidRPr="005318AE" w:rsidRDefault="005137F9" w:rsidP="005C342C">
      <w:pPr>
        <w:spacing w:after="0" w:line="480" w:lineRule="auto"/>
        <w:jc w:val="both"/>
        <w:rPr>
          <w:rFonts w:ascii="Arial" w:eastAsia="ArialMT" w:hAnsi="Arial" w:cs="Arial"/>
          <w:i/>
          <w:iCs/>
          <w:sz w:val="20"/>
          <w:szCs w:val="20"/>
        </w:rPr>
      </w:pPr>
      <w:r w:rsidRPr="005318AE">
        <w:rPr>
          <w:rFonts w:ascii="Arial" w:eastAsia="ArialMT" w:hAnsi="Arial" w:cs="Arial"/>
          <w:i/>
          <w:iCs/>
          <w:sz w:val="20"/>
          <w:szCs w:val="20"/>
        </w:rPr>
        <w:t>Race</w:t>
      </w:r>
    </w:p>
    <w:p w14:paraId="4EBF2E3E" w14:textId="692276E6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5318AE">
        <w:rPr>
          <w:rFonts w:ascii="Arial" w:eastAsia="ArialMT" w:hAnsi="Arial" w:cs="Arial"/>
          <w:sz w:val="20"/>
          <w:szCs w:val="20"/>
        </w:rPr>
        <w:t>The effect of race on levocetirizine has not been studied. As levocetirizine is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5318AE">
        <w:rPr>
          <w:rFonts w:ascii="Arial" w:eastAsia="ArialMT" w:hAnsi="Arial" w:cs="Arial"/>
          <w:sz w:val="20"/>
          <w:szCs w:val="20"/>
        </w:rPr>
        <w:t>primarily renally excreted, and there are no important racial differences in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5318AE">
        <w:rPr>
          <w:rFonts w:ascii="Arial" w:eastAsia="ArialMT" w:hAnsi="Arial" w:cs="Arial"/>
          <w:sz w:val="20"/>
          <w:szCs w:val="20"/>
        </w:rPr>
        <w:t>creatinine clearance, pharmacokinetic characteristics of levocetirizine are not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5318AE">
        <w:rPr>
          <w:rFonts w:ascii="Arial" w:eastAsia="ArialMT" w:hAnsi="Arial" w:cs="Arial"/>
          <w:sz w:val="20"/>
          <w:szCs w:val="20"/>
        </w:rPr>
        <w:t>expected to be different across races. No race-related differences in the</w:t>
      </w:r>
      <w:r w:rsidR="00912694">
        <w:rPr>
          <w:rFonts w:ascii="Arial" w:eastAsia="ArialMT" w:hAnsi="Arial" w:cs="Arial"/>
          <w:sz w:val="20"/>
          <w:szCs w:val="20"/>
        </w:rPr>
        <w:t xml:space="preserve"> </w:t>
      </w:r>
      <w:r w:rsidRPr="005318AE">
        <w:rPr>
          <w:rFonts w:ascii="Arial" w:eastAsia="ArialMT" w:hAnsi="Arial" w:cs="Arial"/>
          <w:sz w:val="20"/>
          <w:szCs w:val="20"/>
        </w:rPr>
        <w:t>kinetics of racemic cetirizine have been observed.</w:t>
      </w:r>
    </w:p>
    <w:p w14:paraId="6A3831B7" w14:textId="77777777" w:rsidR="00912694" w:rsidRPr="005318AE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175DD69E" w14:textId="77777777" w:rsidR="005137F9" w:rsidRPr="001121F4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1121F4">
        <w:rPr>
          <w:rFonts w:ascii="Arial" w:eastAsia="ArialMT" w:hAnsi="Arial" w:cs="Arial"/>
          <w:b/>
          <w:bCs/>
          <w:sz w:val="20"/>
          <w:szCs w:val="20"/>
        </w:rPr>
        <w:t>Paediatric population</w:t>
      </w:r>
    </w:p>
    <w:p w14:paraId="257603E2" w14:textId="495DBE85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5318AE">
        <w:rPr>
          <w:rFonts w:ascii="Arial" w:eastAsia="ArialMT" w:hAnsi="Arial" w:cs="Arial"/>
          <w:sz w:val="20"/>
          <w:szCs w:val="20"/>
        </w:rPr>
        <w:t>In children age 6 to 11 years with body weight ranging between 20 and 40 kg the C</w:t>
      </w:r>
      <w:r w:rsidRPr="005318AE">
        <w:rPr>
          <w:rFonts w:ascii="Arial" w:eastAsia="ArialMT" w:hAnsi="Arial" w:cs="Arial"/>
          <w:sz w:val="20"/>
          <w:szCs w:val="20"/>
          <w:vertAlign w:val="subscript"/>
        </w:rPr>
        <w:t>max</w:t>
      </w:r>
      <w:r w:rsidRPr="005318AE">
        <w:rPr>
          <w:rFonts w:ascii="Arial" w:eastAsia="ArialMT" w:hAnsi="Arial" w:cs="Arial"/>
          <w:sz w:val="20"/>
          <w:szCs w:val="20"/>
        </w:rPr>
        <w:t xml:space="preserve"> and AUC values are about 2-fold greater than in healthy adults, following oral administration of a single dose of 5 mg levocetirizine. Total body clearance is 30 % greater and the elimination half-life 24 % shorter in the paediatric population than in adults. Administration of 1,25 mg once daily to children 6 months to 5 years of age is expected to result in plasma concentrations similar to those of adults receiving 5 mg once daily.</w:t>
      </w:r>
    </w:p>
    <w:p w14:paraId="2C62D8F2" w14:textId="77777777" w:rsidR="00912694" w:rsidRPr="005318AE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3B7FAF06" w14:textId="77777777" w:rsidR="005137F9" w:rsidRPr="00696F02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696F02">
        <w:rPr>
          <w:rFonts w:ascii="Arial" w:eastAsia="ArialMT" w:hAnsi="Arial" w:cs="Arial"/>
          <w:b/>
          <w:bCs/>
          <w:sz w:val="20"/>
          <w:szCs w:val="20"/>
        </w:rPr>
        <w:t>6 PHARMACEUTICAL PARTICULARS</w:t>
      </w:r>
    </w:p>
    <w:p w14:paraId="2C6A3C51" w14:textId="77777777" w:rsidR="005137F9" w:rsidRPr="00696F02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696F02">
        <w:rPr>
          <w:rFonts w:ascii="Arial" w:eastAsia="ArialMT" w:hAnsi="Arial" w:cs="Arial"/>
          <w:b/>
          <w:bCs/>
          <w:sz w:val="20"/>
          <w:szCs w:val="20"/>
        </w:rPr>
        <w:t>6.1 List of excipients</w:t>
      </w:r>
    </w:p>
    <w:p w14:paraId="0298BFAE" w14:textId="77777777" w:rsidR="005137F9" w:rsidRPr="004827C6" w:rsidRDefault="005137F9" w:rsidP="005C342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Methyl paraben</w:t>
      </w:r>
    </w:p>
    <w:p w14:paraId="38FE17EE" w14:textId="77777777" w:rsidR="005137F9" w:rsidRPr="004827C6" w:rsidRDefault="005137F9" w:rsidP="005C342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Propyl paraben</w:t>
      </w:r>
    </w:p>
    <w:p w14:paraId="06E8D544" w14:textId="77777777" w:rsidR="005137F9" w:rsidRPr="004827C6" w:rsidRDefault="005137F9" w:rsidP="005C342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Glycerin</w:t>
      </w:r>
    </w:p>
    <w:p w14:paraId="2D4A46FB" w14:textId="77777777" w:rsidR="005137F9" w:rsidRPr="004827C6" w:rsidRDefault="005137F9" w:rsidP="005C342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Sodium acetate trihydrate</w:t>
      </w:r>
    </w:p>
    <w:p w14:paraId="1591C448" w14:textId="77777777" w:rsidR="005137F9" w:rsidRPr="004827C6" w:rsidRDefault="005137F9" w:rsidP="005C342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Glacial acetic acid</w:t>
      </w:r>
    </w:p>
    <w:p w14:paraId="1423C15F" w14:textId="77777777" w:rsidR="005137F9" w:rsidRDefault="005137F9" w:rsidP="005C342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Saccharin sodium</w:t>
      </w:r>
    </w:p>
    <w:p w14:paraId="3ABE0A5E" w14:textId="77777777" w:rsidR="005137F9" w:rsidRDefault="005137F9" w:rsidP="005C342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Maltitol solution</w:t>
      </w:r>
    </w:p>
    <w:p w14:paraId="27A07C1C" w14:textId="77777777" w:rsidR="005137F9" w:rsidRPr="004827C6" w:rsidRDefault="005137F9" w:rsidP="0091269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4827C6">
        <w:rPr>
          <w:rFonts w:ascii="Arial" w:eastAsia="ArialMT" w:hAnsi="Arial" w:cs="Arial"/>
          <w:sz w:val="20"/>
          <w:szCs w:val="20"/>
        </w:rPr>
        <w:t>ART Grape FL#10273 Composition</w:t>
      </w:r>
    </w:p>
    <w:p w14:paraId="52C60E58" w14:textId="77777777" w:rsidR="005137F9" w:rsidRDefault="005137F9" w:rsidP="00912694">
      <w:pPr>
        <w:pStyle w:val="ListParagraph"/>
        <w:numPr>
          <w:ilvl w:val="1"/>
          <w:numId w:val="4"/>
        </w:num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Flavouring ingredients approved for use in a regulation of FDA </w:t>
      </w:r>
    </w:p>
    <w:p w14:paraId="13212D73" w14:textId="14976E40" w:rsidR="005137F9" w:rsidRDefault="005137F9" w:rsidP="00912694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Propylene glycol</w:t>
      </w:r>
    </w:p>
    <w:p w14:paraId="106D3D95" w14:textId="77777777" w:rsidR="00912694" w:rsidRDefault="00912694" w:rsidP="00912694">
      <w:pPr>
        <w:pStyle w:val="ListParagraph"/>
        <w:spacing w:after="0" w:line="480" w:lineRule="auto"/>
        <w:ind w:left="1440"/>
        <w:jc w:val="both"/>
        <w:rPr>
          <w:rFonts w:ascii="Arial" w:eastAsia="ArialMT" w:hAnsi="Arial" w:cs="Arial"/>
          <w:sz w:val="20"/>
          <w:szCs w:val="20"/>
        </w:rPr>
      </w:pPr>
    </w:p>
    <w:p w14:paraId="7AD94255" w14:textId="77777777" w:rsidR="005137F9" w:rsidRPr="00855EC4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855EC4">
        <w:rPr>
          <w:rFonts w:ascii="Arial" w:eastAsia="ArialMT" w:hAnsi="Arial" w:cs="Arial"/>
          <w:b/>
          <w:bCs/>
          <w:sz w:val="20"/>
          <w:szCs w:val="20"/>
        </w:rPr>
        <w:t>6.2 Incompatibilities</w:t>
      </w:r>
    </w:p>
    <w:p w14:paraId="7BD2A180" w14:textId="49E036AC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Not applicable</w:t>
      </w:r>
    </w:p>
    <w:p w14:paraId="399E5181" w14:textId="77777777" w:rsidR="00912694" w:rsidRPr="00855EC4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5A8A979F" w14:textId="77777777" w:rsidR="005137F9" w:rsidRPr="00855EC4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855EC4">
        <w:rPr>
          <w:rFonts w:ascii="Arial" w:eastAsia="ArialMT" w:hAnsi="Arial" w:cs="Arial"/>
          <w:b/>
          <w:bCs/>
          <w:sz w:val="20"/>
          <w:szCs w:val="20"/>
        </w:rPr>
        <w:t>6.3 Shelf life</w:t>
      </w:r>
    </w:p>
    <w:p w14:paraId="11E78CCD" w14:textId="09A9A6B8" w:rsidR="005137F9" w:rsidRDefault="005137F9" w:rsidP="00912694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24 months</w:t>
      </w:r>
    </w:p>
    <w:p w14:paraId="4C6DA70D" w14:textId="77777777" w:rsidR="00912694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7B11465F" w14:textId="77777777" w:rsidR="005137F9" w:rsidRPr="00657544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657544">
        <w:rPr>
          <w:rFonts w:ascii="Arial" w:eastAsia="ArialMT" w:hAnsi="Arial" w:cs="Arial"/>
          <w:b/>
          <w:bCs/>
          <w:sz w:val="20"/>
          <w:szCs w:val="20"/>
        </w:rPr>
        <w:lastRenderedPageBreak/>
        <w:t>6.4 Special precautions for storage</w:t>
      </w:r>
    </w:p>
    <w:p w14:paraId="60C5A9AA" w14:textId="77777777" w:rsidR="005137F9" w:rsidRPr="00033B9C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033B9C">
        <w:rPr>
          <w:rFonts w:ascii="Arial" w:eastAsia="ArialMT" w:hAnsi="Arial" w:cs="Arial"/>
          <w:sz w:val="20"/>
          <w:szCs w:val="20"/>
        </w:rPr>
        <w:t>Store at or below 25 °C. Protect from light and moisture.</w:t>
      </w:r>
    </w:p>
    <w:p w14:paraId="29C2C6F6" w14:textId="25734306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 w:rsidRPr="00033B9C">
        <w:rPr>
          <w:rFonts w:ascii="Arial" w:eastAsia="ArialMT" w:hAnsi="Arial" w:cs="Arial"/>
          <w:sz w:val="20"/>
          <w:szCs w:val="20"/>
        </w:rPr>
        <w:t>KEEP OUT OF REACH OF CHILDREN.</w:t>
      </w:r>
    </w:p>
    <w:p w14:paraId="51DEFA78" w14:textId="77777777" w:rsidR="00912694" w:rsidRPr="00033B9C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3057903A" w14:textId="77777777" w:rsidR="005137F9" w:rsidRPr="00657544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>
        <w:rPr>
          <w:rFonts w:ascii="Arial" w:eastAsia="ArialMT" w:hAnsi="Arial" w:cs="Arial"/>
          <w:b/>
          <w:bCs/>
          <w:sz w:val="20"/>
          <w:szCs w:val="20"/>
        </w:rPr>
        <w:t>6.5 Nature and contents of container</w:t>
      </w:r>
    </w:p>
    <w:p w14:paraId="2E24931A" w14:textId="503549D8" w:rsidR="005137F9" w:rsidRDefault="005137F9" w:rsidP="002B4A18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White opaque round shaped polypropylene </w:t>
      </w:r>
      <w:r w:rsidRPr="000579E2">
        <w:rPr>
          <w:rFonts w:ascii="Arial" w:eastAsia="ArialMT" w:hAnsi="Arial" w:cs="Arial"/>
          <w:sz w:val="20"/>
          <w:szCs w:val="20"/>
        </w:rPr>
        <w:t xml:space="preserve">185 ml </w:t>
      </w:r>
      <w:r>
        <w:rPr>
          <w:rFonts w:ascii="Arial" w:eastAsia="ArialMT" w:hAnsi="Arial" w:cs="Arial"/>
          <w:sz w:val="20"/>
          <w:szCs w:val="20"/>
        </w:rPr>
        <w:t>container pack filled with 148 ml, child resistant plastic cap with FSE wad, 28 mm</w:t>
      </w:r>
    </w:p>
    <w:p w14:paraId="78EBB874" w14:textId="77777777" w:rsidR="00912694" w:rsidRPr="000579E2" w:rsidRDefault="00912694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4C2C24DC" w14:textId="77777777" w:rsidR="005137F9" w:rsidRPr="003D0D54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3D0D54">
        <w:rPr>
          <w:rFonts w:ascii="Arial" w:eastAsia="ArialMT" w:hAnsi="Arial" w:cs="Arial"/>
          <w:b/>
          <w:bCs/>
          <w:sz w:val="20"/>
          <w:szCs w:val="20"/>
        </w:rPr>
        <w:t>6.6 Special precautions for disposal and other handling</w:t>
      </w:r>
    </w:p>
    <w:p w14:paraId="548EF2A6" w14:textId="275EB9A3" w:rsidR="005137F9" w:rsidRDefault="005137F9" w:rsidP="005C342C">
      <w:pPr>
        <w:spacing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No special requirements</w:t>
      </w:r>
    </w:p>
    <w:p w14:paraId="780477B4" w14:textId="77777777" w:rsidR="002B4A18" w:rsidRPr="000579E2" w:rsidRDefault="002B4A18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0AFFA545" w14:textId="77777777" w:rsidR="005137F9" w:rsidRPr="00C6447B" w:rsidRDefault="005137F9" w:rsidP="005C342C">
      <w:pPr>
        <w:spacing w:after="0" w:line="48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C6447B">
        <w:rPr>
          <w:rFonts w:ascii="Arial" w:eastAsia="ArialMT" w:hAnsi="Arial" w:cs="Arial"/>
          <w:b/>
          <w:bCs/>
          <w:sz w:val="20"/>
          <w:szCs w:val="20"/>
        </w:rPr>
        <w:t>7 HOLDER OF CERTIFICATE OF REGISTRATION</w:t>
      </w:r>
    </w:p>
    <w:p w14:paraId="0C740F2D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Hetero Drugs South Africa (Pty) Ltd</w:t>
      </w:r>
    </w:p>
    <w:p w14:paraId="5B76F349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Waterfall Corporate Campus,</w:t>
      </w:r>
    </w:p>
    <w:p w14:paraId="7D600B5C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Building No.2, First Floor,</w:t>
      </w:r>
    </w:p>
    <w:p w14:paraId="68A0D270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74 Waterfall Drive,</w:t>
      </w:r>
    </w:p>
    <w:p w14:paraId="7CB60300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Midrand</w:t>
      </w:r>
    </w:p>
    <w:p w14:paraId="6D9E21EA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2066</w:t>
      </w:r>
    </w:p>
    <w:p w14:paraId="66880537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 number: 012 644 1220</w:t>
      </w:r>
    </w:p>
    <w:p w14:paraId="0B3D0EE3" w14:textId="77777777" w:rsidR="005137F9" w:rsidRPr="000579E2" w:rsidRDefault="005137F9" w:rsidP="005C342C">
      <w:pPr>
        <w:spacing w:after="0" w:line="48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number: 012 644 1564</w:t>
      </w:r>
    </w:p>
    <w:p w14:paraId="4070D043" w14:textId="38596A3F" w:rsidR="005137F9" w:rsidRDefault="005137F9" w:rsidP="005C342C">
      <w:pPr>
        <w:spacing w:line="480" w:lineRule="auto"/>
        <w:jc w:val="both"/>
        <w:rPr>
          <w:rFonts w:ascii="Arial" w:hAnsi="Arial" w:cs="Arial"/>
          <w:color w:val="2E74B5" w:themeColor="accent5" w:themeShade="B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e-mail address: </w:t>
      </w:r>
      <w:hyperlink r:id="rId9" w:history="1">
        <w:r w:rsidR="002B4A18" w:rsidRPr="008A3BC6">
          <w:rPr>
            <w:rStyle w:val="Hyperlink"/>
            <w:rFonts w:ascii="Arial" w:hAnsi="Arial" w:cs="Arial"/>
            <w:sz w:val="20"/>
            <w:szCs w:val="20"/>
          </w:rPr>
          <w:t>nokuthula.n@heterodrugs.com</w:t>
        </w:r>
      </w:hyperlink>
    </w:p>
    <w:p w14:paraId="396E4C35" w14:textId="77777777" w:rsidR="002B4A18" w:rsidRDefault="002B4A18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42F28437" w14:textId="77777777" w:rsidR="005137F9" w:rsidRPr="00DD38EF" w:rsidRDefault="005137F9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D38EF">
        <w:rPr>
          <w:rFonts w:ascii="Arial" w:hAnsi="Arial" w:cs="Arial"/>
          <w:b/>
          <w:bCs/>
          <w:sz w:val="20"/>
          <w:szCs w:val="20"/>
        </w:rPr>
        <w:t>8 REGISTRATION NUMBER</w:t>
      </w:r>
    </w:p>
    <w:p w14:paraId="1840D26B" w14:textId="557A4781" w:rsidR="002B4A18" w:rsidRDefault="00DB21CF" w:rsidP="005C342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21CF">
        <w:rPr>
          <w:rFonts w:ascii="Arial" w:hAnsi="Arial" w:cs="Arial"/>
          <w:sz w:val="20"/>
          <w:szCs w:val="20"/>
        </w:rPr>
        <w:t>52/5.7.1/0935</w:t>
      </w:r>
    </w:p>
    <w:p w14:paraId="4F15FD60" w14:textId="77777777" w:rsidR="00DB21CF" w:rsidRDefault="00DB21CF" w:rsidP="005C34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3B627BF7" w14:textId="09D5114A" w:rsidR="005137F9" w:rsidRPr="00DD38EF" w:rsidRDefault="005137F9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D38EF">
        <w:rPr>
          <w:rFonts w:ascii="Arial" w:hAnsi="Arial" w:cs="Arial"/>
          <w:b/>
          <w:bCs/>
          <w:sz w:val="20"/>
          <w:szCs w:val="20"/>
        </w:rPr>
        <w:t>9 DATE OF FIRST AUTHORISATION/RENEWAL OF THE AUTHORISATION</w:t>
      </w:r>
    </w:p>
    <w:p w14:paraId="3155A1CA" w14:textId="2779F884" w:rsidR="002B4A18" w:rsidRDefault="00DB21CF" w:rsidP="005C342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21CF">
        <w:rPr>
          <w:rFonts w:ascii="Arial" w:hAnsi="Arial" w:cs="Arial"/>
          <w:sz w:val="20"/>
          <w:szCs w:val="20"/>
        </w:rPr>
        <w:lastRenderedPageBreak/>
        <w:t>06 September 2022</w:t>
      </w:r>
    </w:p>
    <w:p w14:paraId="0D3FA56A" w14:textId="77777777" w:rsidR="00DB21CF" w:rsidRPr="00DD38EF" w:rsidRDefault="00DB21CF" w:rsidP="005C342C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E376D2" w14:textId="7E29A375" w:rsidR="00FC2BDF" w:rsidRDefault="005137F9" w:rsidP="005C342C">
      <w:pPr>
        <w:spacing w:after="0" w:line="480" w:lineRule="auto"/>
        <w:jc w:val="both"/>
      </w:pPr>
      <w:r w:rsidRPr="00471722">
        <w:rPr>
          <w:rFonts w:ascii="Arial" w:hAnsi="Arial" w:cs="Arial"/>
          <w:b/>
          <w:bCs/>
          <w:sz w:val="20"/>
          <w:szCs w:val="20"/>
        </w:rPr>
        <w:t>10 DATE OF REVISION OF THE TEXT</w:t>
      </w:r>
    </w:p>
    <w:p w14:paraId="67AC519B" w14:textId="51C0BC15" w:rsidR="00FC2BDF" w:rsidRDefault="00DB21CF" w:rsidP="005C342C">
      <w:pPr>
        <w:spacing w:after="0" w:line="480" w:lineRule="auto"/>
        <w:jc w:val="both"/>
      </w:pPr>
      <w:r w:rsidRPr="00DB21CF">
        <w:t>06 September 2022</w:t>
      </w:r>
    </w:p>
    <w:p w14:paraId="61CDC2FD" w14:textId="2DBE50C8" w:rsidR="00FC2BDF" w:rsidRDefault="00FC2BDF" w:rsidP="005C342C">
      <w:pPr>
        <w:spacing w:after="0" w:line="480" w:lineRule="auto"/>
        <w:jc w:val="both"/>
      </w:pPr>
    </w:p>
    <w:p w14:paraId="792DDF92" w14:textId="77777777" w:rsidR="00FC2BDF" w:rsidRDefault="00FC2BDF" w:rsidP="005C342C">
      <w:pPr>
        <w:spacing w:after="0" w:line="480" w:lineRule="auto"/>
        <w:jc w:val="both"/>
      </w:pPr>
    </w:p>
    <w:p w14:paraId="6596F55E" w14:textId="77777777" w:rsidR="00FC2BDF" w:rsidRDefault="00FC2BDF" w:rsidP="005C342C">
      <w:pPr>
        <w:spacing w:after="0" w:line="480" w:lineRule="auto"/>
        <w:jc w:val="both"/>
      </w:pPr>
    </w:p>
    <w:p w14:paraId="60084E25" w14:textId="39AAD894" w:rsidR="00A143A8" w:rsidRDefault="00A143A8" w:rsidP="005C342C">
      <w:pPr>
        <w:spacing w:after="0" w:line="480" w:lineRule="auto"/>
        <w:jc w:val="both"/>
      </w:pPr>
    </w:p>
    <w:p w14:paraId="6A437842" w14:textId="77777777" w:rsidR="00A143A8" w:rsidRDefault="00A143A8" w:rsidP="005C342C">
      <w:pPr>
        <w:spacing w:after="0" w:line="480" w:lineRule="auto"/>
        <w:jc w:val="both"/>
      </w:pPr>
    </w:p>
    <w:sectPr w:rsidR="00A143A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DEC1" w14:textId="77777777" w:rsidR="00692998" w:rsidRDefault="00692998" w:rsidP="0045490B">
      <w:pPr>
        <w:spacing w:after="0" w:line="240" w:lineRule="auto"/>
      </w:pPr>
      <w:r>
        <w:separator/>
      </w:r>
    </w:p>
  </w:endnote>
  <w:endnote w:type="continuationSeparator" w:id="0">
    <w:p w14:paraId="2F7D9ADE" w14:textId="77777777" w:rsidR="00692998" w:rsidRDefault="00692998" w:rsidP="0045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965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84DEC9" w14:textId="74800032" w:rsidR="00692998" w:rsidRDefault="00692998">
            <w:pPr>
              <w:pStyle w:val="Footer"/>
              <w:jc w:val="right"/>
            </w:pPr>
          </w:p>
          <w:p w14:paraId="3660D74E" w14:textId="67A3E15E" w:rsidR="00692998" w:rsidRDefault="00DB21CF" w:rsidP="0045490B">
            <w:pPr>
              <w:pStyle w:val="Footer"/>
            </w:pPr>
            <w:r>
              <w:t>SEP</w:t>
            </w:r>
            <w:r w:rsidR="00A93817">
              <w:t xml:space="preserve"> 2022</w:t>
            </w:r>
            <w:r w:rsidR="00692998">
              <w:t xml:space="preserve">                 Initial:………………………                                                                             Page </w:t>
            </w:r>
            <w:r w:rsidR="00692998">
              <w:rPr>
                <w:b/>
                <w:bCs/>
                <w:sz w:val="24"/>
                <w:szCs w:val="24"/>
              </w:rPr>
              <w:fldChar w:fldCharType="begin"/>
            </w:r>
            <w:r w:rsidR="00692998">
              <w:rPr>
                <w:b/>
                <w:bCs/>
              </w:rPr>
              <w:instrText xml:space="preserve"> PAGE </w:instrText>
            </w:r>
            <w:r w:rsidR="00692998">
              <w:rPr>
                <w:b/>
                <w:bCs/>
                <w:sz w:val="24"/>
                <w:szCs w:val="24"/>
              </w:rPr>
              <w:fldChar w:fldCharType="separate"/>
            </w:r>
            <w:r w:rsidR="00692998">
              <w:rPr>
                <w:b/>
                <w:bCs/>
                <w:noProof/>
              </w:rPr>
              <w:t>2</w:t>
            </w:r>
            <w:r w:rsidR="00692998">
              <w:rPr>
                <w:b/>
                <w:bCs/>
                <w:sz w:val="24"/>
                <w:szCs w:val="24"/>
              </w:rPr>
              <w:fldChar w:fldCharType="end"/>
            </w:r>
            <w:r w:rsidR="00692998">
              <w:t xml:space="preserve"> of </w:t>
            </w:r>
            <w:r w:rsidR="00692998">
              <w:rPr>
                <w:b/>
                <w:bCs/>
                <w:sz w:val="24"/>
                <w:szCs w:val="24"/>
              </w:rPr>
              <w:fldChar w:fldCharType="begin"/>
            </w:r>
            <w:r w:rsidR="00692998">
              <w:rPr>
                <w:b/>
                <w:bCs/>
              </w:rPr>
              <w:instrText xml:space="preserve"> NUMPAGES  </w:instrText>
            </w:r>
            <w:r w:rsidR="00692998">
              <w:rPr>
                <w:b/>
                <w:bCs/>
                <w:sz w:val="24"/>
                <w:szCs w:val="24"/>
              </w:rPr>
              <w:fldChar w:fldCharType="separate"/>
            </w:r>
            <w:r w:rsidR="00692998">
              <w:rPr>
                <w:b/>
                <w:bCs/>
                <w:noProof/>
              </w:rPr>
              <w:t>2</w:t>
            </w:r>
            <w:r w:rsidR="006929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202BEC" w14:textId="77777777" w:rsidR="00692998" w:rsidRDefault="00692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9C09" w14:textId="77777777" w:rsidR="00692998" w:rsidRDefault="00692998" w:rsidP="0045490B">
      <w:pPr>
        <w:spacing w:after="0" w:line="240" w:lineRule="auto"/>
      </w:pPr>
      <w:r>
        <w:separator/>
      </w:r>
    </w:p>
  </w:footnote>
  <w:footnote w:type="continuationSeparator" w:id="0">
    <w:p w14:paraId="7BC0468E" w14:textId="77777777" w:rsidR="00692998" w:rsidRDefault="00692998" w:rsidP="0045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CC3E" w14:textId="77777777" w:rsidR="00692998" w:rsidRPr="0045490B" w:rsidRDefault="00692998" w:rsidP="0045490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bCs/>
        <w:i/>
        <w:iCs/>
        <w:sz w:val="20"/>
        <w:szCs w:val="20"/>
        <w:lang w:val="en-GB"/>
      </w:rPr>
    </w:pPr>
    <w:r w:rsidRPr="0045490B">
      <w:rPr>
        <w:rFonts w:ascii="Arial" w:hAnsi="Arial" w:cs="Arial"/>
        <w:i/>
        <w:iCs/>
        <w:sz w:val="20"/>
        <w:szCs w:val="20"/>
        <w:lang w:val="en-GB"/>
      </w:rPr>
      <w:t xml:space="preserve">Applicant/PHRC: </w:t>
    </w:r>
    <w:r w:rsidRPr="0045490B">
      <w:rPr>
        <w:rFonts w:ascii="Arial" w:hAnsi="Arial" w:cs="Arial"/>
        <w:b/>
        <w:bCs/>
        <w:i/>
        <w:iCs/>
        <w:sz w:val="20"/>
        <w:szCs w:val="20"/>
        <w:lang w:val="en-GB"/>
      </w:rPr>
      <w:t>Hetero Drugs South Africa (Pty) Ltd</w:t>
    </w:r>
  </w:p>
  <w:p w14:paraId="40381461" w14:textId="7329B971" w:rsidR="00692998" w:rsidRPr="0045490B" w:rsidRDefault="00692998" w:rsidP="0045490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bCs/>
        <w:i/>
        <w:iCs/>
        <w:sz w:val="20"/>
        <w:szCs w:val="20"/>
        <w:lang w:val="en-GB"/>
      </w:rPr>
    </w:pPr>
    <w:r w:rsidRPr="0045490B">
      <w:rPr>
        <w:rFonts w:ascii="Arial" w:hAnsi="Arial" w:cs="Arial"/>
        <w:i/>
        <w:iCs/>
        <w:sz w:val="20"/>
        <w:szCs w:val="20"/>
        <w:lang w:val="en-GB"/>
      </w:rPr>
      <w:t>Product proprietary name:</w:t>
    </w:r>
    <w:r w:rsidRPr="0045490B">
      <w:rPr>
        <w:rFonts w:ascii="Arial" w:hAnsi="Arial" w:cs="Arial"/>
        <w:b/>
        <w:bCs/>
        <w:i/>
        <w:iCs/>
        <w:sz w:val="20"/>
        <w:szCs w:val="20"/>
        <w:lang w:val="en-GB"/>
      </w:rPr>
      <w:t xml:space="preserve"> </w:t>
    </w:r>
    <w:r w:rsidR="006F7D0B" w:rsidRPr="006F7D0B">
      <w:rPr>
        <w:rFonts w:ascii="Arial" w:hAnsi="Arial" w:cs="Arial"/>
        <w:b/>
        <w:bCs/>
        <w:i/>
        <w:iCs/>
        <w:sz w:val="20"/>
        <w:szCs w:val="20"/>
      </w:rPr>
      <w:t>Cetorin Oral Solution 2,5 mg/ 5 mL</w:t>
    </w:r>
  </w:p>
  <w:p w14:paraId="4272AD5F" w14:textId="1DFC66D1" w:rsidR="00692998" w:rsidRPr="0045490B" w:rsidRDefault="00692998" w:rsidP="0045490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i/>
        <w:iCs/>
        <w:sz w:val="20"/>
        <w:szCs w:val="20"/>
        <w:lang w:val="en-GB"/>
      </w:rPr>
    </w:pPr>
    <w:r w:rsidRPr="0045490B">
      <w:rPr>
        <w:rFonts w:ascii="Arial" w:hAnsi="Arial" w:cs="Arial"/>
        <w:i/>
        <w:iCs/>
        <w:sz w:val="20"/>
        <w:szCs w:val="20"/>
        <w:lang w:val="en-GB"/>
      </w:rPr>
      <w:t>Dosage form and strength: Oral solution, Each 5 m</w:t>
    </w:r>
    <w:r w:rsidR="006F7D0B">
      <w:rPr>
        <w:rFonts w:ascii="Arial" w:hAnsi="Arial" w:cs="Arial"/>
        <w:i/>
        <w:iCs/>
        <w:sz w:val="20"/>
        <w:szCs w:val="20"/>
        <w:lang w:val="en-GB"/>
      </w:rPr>
      <w:t>L</w:t>
    </w:r>
    <w:r w:rsidRPr="0045490B">
      <w:rPr>
        <w:rFonts w:ascii="Arial" w:hAnsi="Arial" w:cs="Arial"/>
        <w:i/>
        <w:iCs/>
        <w:sz w:val="20"/>
        <w:szCs w:val="20"/>
        <w:lang w:val="en-GB"/>
      </w:rPr>
      <w:t xml:space="preserve"> contains </w:t>
    </w:r>
    <w:r>
      <w:rPr>
        <w:rFonts w:ascii="Arial" w:hAnsi="Arial" w:cs="Arial"/>
        <w:i/>
        <w:iCs/>
        <w:sz w:val="20"/>
        <w:szCs w:val="20"/>
        <w:lang w:val="en-GB"/>
      </w:rPr>
      <w:t>2,</w:t>
    </w:r>
    <w:r w:rsidRPr="0045490B">
      <w:rPr>
        <w:rFonts w:ascii="Arial" w:hAnsi="Arial" w:cs="Arial"/>
        <w:i/>
        <w:iCs/>
        <w:sz w:val="20"/>
        <w:szCs w:val="20"/>
        <w:lang w:val="en-GB"/>
      </w:rPr>
      <w:t xml:space="preserve">5 mg </w:t>
    </w:r>
    <w:r>
      <w:rPr>
        <w:rFonts w:ascii="Arial" w:hAnsi="Arial" w:cs="Arial"/>
        <w:i/>
        <w:iCs/>
        <w:sz w:val="20"/>
        <w:szCs w:val="20"/>
        <w:lang w:val="en-GB"/>
      </w:rPr>
      <w:t>Levo</w:t>
    </w:r>
    <w:r w:rsidRPr="0045490B">
      <w:rPr>
        <w:rFonts w:ascii="Arial" w:hAnsi="Arial" w:cs="Arial"/>
        <w:i/>
        <w:iCs/>
        <w:sz w:val="20"/>
        <w:szCs w:val="20"/>
        <w:lang w:val="en-GB"/>
      </w:rPr>
      <w:t>cetirizine dihydrochloride</w:t>
    </w:r>
  </w:p>
  <w:p w14:paraId="6AD4A119" w14:textId="77777777" w:rsidR="00692998" w:rsidRDefault="00692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7EF"/>
    <w:multiLevelType w:val="hybridMultilevel"/>
    <w:tmpl w:val="80C6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759A"/>
    <w:multiLevelType w:val="hybridMultilevel"/>
    <w:tmpl w:val="048A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7D18"/>
    <w:multiLevelType w:val="hybridMultilevel"/>
    <w:tmpl w:val="AD169BAA"/>
    <w:lvl w:ilvl="0" w:tplc="5FC0B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71F2"/>
    <w:multiLevelType w:val="hybridMultilevel"/>
    <w:tmpl w:val="30C0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D1AE6"/>
    <w:multiLevelType w:val="hybridMultilevel"/>
    <w:tmpl w:val="86F636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00069488">
    <w:abstractNumId w:val="3"/>
  </w:num>
  <w:num w:numId="2" w16cid:durableId="2062821578">
    <w:abstractNumId w:val="4"/>
  </w:num>
  <w:num w:numId="3" w16cid:durableId="92477578">
    <w:abstractNumId w:val="1"/>
  </w:num>
  <w:num w:numId="4" w16cid:durableId="206992041">
    <w:abstractNumId w:val="2"/>
  </w:num>
  <w:num w:numId="5" w16cid:durableId="17874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AE"/>
    <w:rsid w:val="000020C2"/>
    <w:rsid w:val="00002B90"/>
    <w:rsid w:val="00010CF8"/>
    <w:rsid w:val="00023D7A"/>
    <w:rsid w:val="00030904"/>
    <w:rsid w:val="00033B9C"/>
    <w:rsid w:val="00037117"/>
    <w:rsid w:val="000579E2"/>
    <w:rsid w:val="00062BC0"/>
    <w:rsid w:val="00085476"/>
    <w:rsid w:val="00090297"/>
    <w:rsid w:val="000A1BC0"/>
    <w:rsid w:val="000A1FA5"/>
    <w:rsid w:val="000D3DCD"/>
    <w:rsid w:val="000D5EBD"/>
    <w:rsid w:val="000F58EC"/>
    <w:rsid w:val="000F668A"/>
    <w:rsid w:val="000F6737"/>
    <w:rsid w:val="001049E9"/>
    <w:rsid w:val="00107043"/>
    <w:rsid w:val="001121F4"/>
    <w:rsid w:val="001164AD"/>
    <w:rsid w:val="00121C97"/>
    <w:rsid w:val="001405EB"/>
    <w:rsid w:val="00144565"/>
    <w:rsid w:val="0016752F"/>
    <w:rsid w:val="00175241"/>
    <w:rsid w:val="001963B7"/>
    <w:rsid w:val="001A1C8F"/>
    <w:rsid w:val="001B1880"/>
    <w:rsid w:val="001B51E2"/>
    <w:rsid w:val="001B6DD7"/>
    <w:rsid w:val="001C24A4"/>
    <w:rsid w:val="001C4662"/>
    <w:rsid w:val="001C6D36"/>
    <w:rsid w:val="001D3645"/>
    <w:rsid w:val="001E6885"/>
    <w:rsid w:val="0020105D"/>
    <w:rsid w:val="0020643B"/>
    <w:rsid w:val="00210D80"/>
    <w:rsid w:val="00212E55"/>
    <w:rsid w:val="00216AC3"/>
    <w:rsid w:val="00217E45"/>
    <w:rsid w:val="002274ED"/>
    <w:rsid w:val="0023745B"/>
    <w:rsid w:val="0024311C"/>
    <w:rsid w:val="00243383"/>
    <w:rsid w:val="00256E8C"/>
    <w:rsid w:val="0028022A"/>
    <w:rsid w:val="00280C87"/>
    <w:rsid w:val="0029012D"/>
    <w:rsid w:val="00292904"/>
    <w:rsid w:val="002A5695"/>
    <w:rsid w:val="002B4768"/>
    <w:rsid w:val="002B47AC"/>
    <w:rsid w:val="002B4A18"/>
    <w:rsid w:val="002D1492"/>
    <w:rsid w:val="002D1B21"/>
    <w:rsid w:val="002E0DB0"/>
    <w:rsid w:val="002F2A99"/>
    <w:rsid w:val="0030633F"/>
    <w:rsid w:val="003108F1"/>
    <w:rsid w:val="00355D70"/>
    <w:rsid w:val="00360B70"/>
    <w:rsid w:val="0036726F"/>
    <w:rsid w:val="00375DA9"/>
    <w:rsid w:val="00376B0A"/>
    <w:rsid w:val="00387454"/>
    <w:rsid w:val="00390C25"/>
    <w:rsid w:val="003A4E80"/>
    <w:rsid w:val="003C4B4C"/>
    <w:rsid w:val="003C5BFF"/>
    <w:rsid w:val="003C5D1B"/>
    <w:rsid w:val="003D0D54"/>
    <w:rsid w:val="003E32A3"/>
    <w:rsid w:val="003F06C4"/>
    <w:rsid w:val="003F29C6"/>
    <w:rsid w:val="0042614F"/>
    <w:rsid w:val="00440252"/>
    <w:rsid w:val="0045490B"/>
    <w:rsid w:val="004562E2"/>
    <w:rsid w:val="004669A7"/>
    <w:rsid w:val="00472F23"/>
    <w:rsid w:val="00477288"/>
    <w:rsid w:val="004827C6"/>
    <w:rsid w:val="004828BB"/>
    <w:rsid w:val="00485EAF"/>
    <w:rsid w:val="00492BE5"/>
    <w:rsid w:val="00494F59"/>
    <w:rsid w:val="0049738D"/>
    <w:rsid w:val="004B0CE2"/>
    <w:rsid w:val="004B1B0E"/>
    <w:rsid w:val="004C4747"/>
    <w:rsid w:val="004E3559"/>
    <w:rsid w:val="004F0D4D"/>
    <w:rsid w:val="004F4097"/>
    <w:rsid w:val="00504176"/>
    <w:rsid w:val="005137F9"/>
    <w:rsid w:val="0053095E"/>
    <w:rsid w:val="005318AE"/>
    <w:rsid w:val="0054478E"/>
    <w:rsid w:val="005638CE"/>
    <w:rsid w:val="005703C1"/>
    <w:rsid w:val="00571CF9"/>
    <w:rsid w:val="00575BE2"/>
    <w:rsid w:val="00580B62"/>
    <w:rsid w:val="0059280D"/>
    <w:rsid w:val="005B4CDC"/>
    <w:rsid w:val="005B756C"/>
    <w:rsid w:val="005C342C"/>
    <w:rsid w:val="005C3B58"/>
    <w:rsid w:val="005C64BC"/>
    <w:rsid w:val="005D4BB1"/>
    <w:rsid w:val="005E7C6A"/>
    <w:rsid w:val="00613071"/>
    <w:rsid w:val="006135A5"/>
    <w:rsid w:val="006373A4"/>
    <w:rsid w:val="00645FAA"/>
    <w:rsid w:val="00657544"/>
    <w:rsid w:val="00666406"/>
    <w:rsid w:val="00671AF1"/>
    <w:rsid w:val="00687634"/>
    <w:rsid w:val="0069209C"/>
    <w:rsid w:val="00692998"/>
    <w:rsid w:val="00696F02"/>
    <w:rsid w:val="006A14AA"/>
    <w:rsid w:val="006B1746"/>
    <w:rsid w:val="006C1977"/>
    <w:rsid w:val="006C3823"/>
    <w:rsid w:val="006C38A8"/>
    <w:rsid w:val="006C5457"/>
    <w:rsid w:val="006F7D0B"/>
    <w:rsid w:val="0071072C"/>
    <w:rsid w:val="00711ACE"/>
    <w:rsid w:val="00713703"/>
    <w:rsid w:val="0071628B"/>
    <w:rsid w:val="00716B61"/>
    <w:rsid w:val="0073276F"/>
    <w:rsid w:val="00750722"/>
    <w:rsid w:val="00761118"/>
    <w:rsid w:val="00770727"/>
    <w:rsid w:val="00795791"/>
    <w:rsid w:val="007963F7"/>
    <w:rsid w:val="007A047B"/>
    <w:rsid w:val="007D60A2"/>
    <w:rsid w:val="00805BAA"/>
    <w:rsid w:val="008123DD"/>
    <w:rsid w:val="00825D0A"/>
    <w:rsid w:val="008419C9"/>
    <w:rsid w:val="008444B5"/>
    <w:rsid w:val="00855EC4"/>
    <w:rsid w:val="00873F83"/>
    <w:rsid w:val="008840B3"/>
    <w:rsid w:val="00896A95"/>
    <w:rsid w:val="008C0F39"/>
    <w:rsid w:val="008C478C"/>
    <w:rsid w:val="008D1D71"/>
    <w:rsid w:val="008E20C6"/>
    <w:rsid w:val="008F15BD"/>
    <w:rsid w:val="008F7A9F"/>
    <w:rsid w:val="00910FFC"/>
    <w:rsid w:val="00912694"/>
    <w:rsid w:val="00930481"/>
    <w:rsid w:val="0093616F"/>
    <w:rsid w:val="00942124"/>
    <w:rsid w:val="00944915"/>
    <w:rsid w:val="0094660E"/>
    <w:rsid w:val="00947F2A"/>
    <w:rsid w:val="0095381A"/>
    <w:rsid w:val="00954CA7"/>
    <w:rsid w:val="00955698"/>
    <w:rsid w:val="00975EB0"/>
    <w:rsid w:val="00977ECD"/>
    <w:rsid w:val="009804B5"/>
    <w:rsid w:val="009C0605"/>
    <w:rsid w:val="009C2077"/>
    <w:rsid w:val="009F0320"/>
    <w:rsid w:val="00A01D52"/>
    <w:rsid w:val="00A143A8"/>
    <w:rsid w:val="00A1794B"/>
    <w:rsid w:val="00A24B2D"/>
    <w:rsid w:val="00A36DDF"/>
    <w:rsid w:val="00A438BD"/>
    <w:rsid w:val="00A44A90"/>
    <w:rsid w:val="00A644BC"/>
    <w:rsid w:val="00A6766B"/>
    <w:rsid w:val="00A73BEC"/>
    <w:rsid w:val="00A761F2"/>
    <w:rsid w:val="00A77AE0"/>
    <w:rsid w:val="00A8216B"/>
    <w:rsid w:val="00A87570"/>
    <w:rsid w:val="00A92D1B"/>
    <w:rsid w:val="00A93817"/>
    <w:rsid w:val="00AC7FB2"/>
    <w:rsid w:val="00B421B8"/>
    <w:rsid w:val="00B61218"/>
    <w:rsid w:val="00B76790"/>
    <w:rsid w:val="00B83994"/>
    <w:rsid w:val="00B847A9"/>
    <w:rsid w:val="00B941ED"/>
    <w:rsid w:val="00B95F97"/>
    <w:rsid w:val="00BB7A8D"/>
    <w:rsid w:val="00BC30D3"/>
    <w:rsid w:val="00BC61F3"/>
    <w:rsid w:val="00BC6D05"/>
    <w:rsid w:val="00BD1139"/>
    <w:rsid w:val="00BD5D47"/>
    <w:rsid w:val="00BF2C40"/>
    <w:rsid w:val="00C03B49"/>
    <w:rsid w:val="00C07FA0"/>
    <w:rsid w:val="00C12A56"/>
    <w:rsid w:val="00C1406B"/>
    <w:rsid w:val="00C36292"/>
    <w:rsid w:val="00C45207"/>
    <w:rsid w:val="00C54758"/>
    <w:rsid w:val="00C6447B"/>
    <w:rsid w:val="00C720C2"/>
    <w:rsid w:val="00C831E7"/>
    <w:rsid w:val="00C859B2"/>
    <w:rsid w:val="00C85B52"/>
    <w:rsid w:val="00C8768E"/>
    <w:rsid w:val="00CA148E"/>
    <w:rsid w:val="00CB32E6"/>
    <w:rsid w:val="00CD6B41"/>
    <w:rsid w:val="00D163F5"/>
    <w:rsid w:val="00D1780E"/>
    <w:rsid w:val="00D26FE1"/>
    <w:rsid w:val="00D433F6"/>
    <w:rsid w:val="00D44FDA"/>
    <w:rsid w:val="00D45D57"/>
    <w:rsid w:val="00D536EB"/>
    <w:rsid w:val="00D53932"/>
    <w:rsid w:val="00D5444F"/>
    <w:rsid w:val="00D66CB2"/>
    <w:rsid w:val="00D85325"/>
    <w:rsid w:val="00D85A6B"/>
    <w:rsid w:val="00D9571D"/>
    <w:rsid w:val="00DA7CD0"/>
    <w:rsid w:val="00DB21CF"/>
    <w:rsid w:val="00DB7128"/>
    <w:rsid w:val="00DC325B"/>
    <w:rsid w:val="00DD388F"/>
    <w:rsid w:val="00DD38EF"/>
    <w:rsid w:val="00DD3BED"/>
    <w:rsid w:val="00DD4DE3"/>
    <w:rsid w:val="00DE45C9"/>
    <w:rsid w:val="00E14269"/>
    <w:rsid w:val="00E1587A"/>
    <w:rsid w:val="00E23A2C"/>
    <w:rsid w:val="00E50C3E"/>
    <w:rsid w:val="00E626E6"/>
    <w:rsid w:val="00E632DC"/>
    <w:rsid w:val="00E636AA"/>
    <w:rsid w:val="00E637EC"/>
    <w:rsid w:val="00E84D31"/>
    <w:rsid w:val="00EA01BB"/>
    <w:rsid w:val="00EB2A20"/>
    <w:rsid w:val="00EB49AE"/>
    <w:rsid w:val="00EC3466"/>
    <w:rsid w:val="00EC6A82"/>
    <w:rsid w:val="00EE3E0B"/>
    <w:rsid w:val="00EF63EC"/>
    <w:rsid w:val="00F12824"/>
    <w:rsid w:val="00F151B0"/>
    <w:rsid w:val="00F221C3"/>
    <w:rsid w:val="00F3019E"/>
    <w:rsid w:val="00F55028"/>
    <w:rsid w:val="00F72BDD"/>
    <w:rsid w:val="00F72FD1"/>
    <w:rsid w:val="00F95523"/>
    <w:rsid w:val="00FA00B8"/>
    <w:rsid w:val="00FA2529"/>
    <w:rsid w:val="00FA3E37"/>
    <w:rsid w:val="00FC2BDF"/>
    <w:rsid w:val="00FD056E"/>
    <w:rsid w:val="00FF3537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7BCD531"/>
  <w15:chartTrackingRefBased/>
  <w15:docId w15:val="{8FB46D7E-5D51-4BAF-BDF7-26157CA7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BD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F2A"/>
    <w:pPr>
      <w:ind w:left="720"/>
      <w:contextualSpacing/>
    </w:pPr>
  </w:style>
  <w:style w:type="paragraph" w:customStyle="1" w:styleId="Default">
    <w:name w:val="Default"/>
    <w:rsid w:val="0014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9C20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C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D1B2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DD3BED"/>
    <w:pPr>
      <w:autoSpaceDE w:val="0"/>
      <w:autoSpaceDN w:val="0"/>
      <w:adjustRightInd w:val="0"/>
      <w:spacing w:after="0" w:line="240" w:lineRule="auto"/>
      <w:ind w:left="2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5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6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3616F"/>
    <w:rPr>
      <w:strike w:val="0"/>
      <w:dstrike w:val="0"/>
      <w:color w:val="0066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54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0B"/>
  </w:style>
  <w:style w:type="paragraph" w:styleId="Footer">
    <w:name w:val="footer"/>
    <w:basedOn w:val="Normal"/>
    <w:link w:val="FooterChar"/>
    <w:uiPriority w:val="99"/>
    <w:unhideWhenUsed/>
    <w:rsid w:val="00454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0B"/>
  </w:style>
  <w:style w:type="character" w:styleId="UnresolvedMention">
    <w:name w:val="Unresolved Mention"/>
    <w:basedOn w:val="DefaultParagraphFont"/>
    <w:uiPriority w:val="99"/>
    <w:semiHidden/>
    <w:unhideWhenUsed/>
    <w:rsid w:val="002B4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g.cdma@heterogroup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kuthula.n@heterodru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4E10-BFE4-40B1-B44B-247C0F4D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2647</Words>
  <Characters>15094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Jigna Chawda</dc:creator>
  <cp:keywords/>
  <dc:description/>
  <cp:lastModifiedBy>Thealdi Mitchell</cp:lastModifiedBy>
  <cp:revision>2</cp:revision>
  <cp:lastPrinted>2022-12-20T10:06:00Z</cp:lastPrinted>
  <dcterms:created xsi:type="dcterms:W3CDTF">2023-09-20T06:16:00Z</dcterms:created>
  <dcterms:modified xsi:type="dcterms:W3CDTF">2023-09-20T06:16:00Z</dcterms:modified>
</cp:coreProperties>
</file>