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1741" w14:textId="4F6E9275" w:rsidR="009B74CB" w:rsidRPr="009B74CB" w:rsidRDefault="009B74CB" w:rsidP="009B74CB">
      <w:pPr>
        <w:widowControl w:val="0"/>
        <w:spacing w:line="480" w:lineRule="auto"/>
        <w:jc w:val="center"/>
        <w:rPr>
          <w:rFonts w:ascii="Arial" w:hAnsi="Arial" w:cs="Arial"/>
          <w:b/>
        </w:rPr>
      </w:pPr>
      <w:bookmarkStart w:id="0" w:name="_Hlk135814612"/>
      <w:r w:rsidRPr="009B74CB">
        <w:rPr>
          <w:rFonts w:ascii="Arial" w:hAnsi="Arial" w:cs="Arial"/>
          <w:b/>
        </w:rPr>
        <w:t>Proposed Professional Information for INDOMETHACIN BIOTECH 25 (Clean Copy)</w:t>
      </w:r>
    </w:p>
    <w:p w14:paraId="2F0BF932" w14:textId="77777777" w:rsidR="009B74CB" w:rsidRPr="009B74CB" w:rsidRDefault="009B74CB" w:rsidP="009B74CB">
      <w:pPr>
        <w:widowControl w:val="0"/>
        <w:spacing w:after="0" w:line="480" w:lineRule="auto"/>
        <w:rPr>
          <w:rFonts w:ascii="Arial" w:hAnsi="Arial" w:cs="Arial"/>
        </w:rPr>
      </w:pPr>
      <w:r w:rsidRPr="009B74CB">
        <w:rPr>
          <w:rFonts w:ascii="Arial" w:hAnsi="Arial" w:cs="Arial"/>
          <w:b/>
        </w:rPr>
        <w:t>SCHEDULING STATUS:</w:t>
      </w:r>
    </w:p>
    <w:p w14:paraId="7963D22C" w14:textId="77777777" w:rsidR="009B74CB" w:rsidRPr="009B74CB" w:rsidRDefault="009B74CB" w:rsidP="009B74CB">
      <w:pPr>
        <w:widowControl w:val="0"/>
        <w:spacing w:after="0" w:line="480" w:lineRule="auto"/>
        <w:rPr>
          <w:rFonts w:ascii="Arial" w:hAnsi="Arial" w:cs="Arial"/>
        </w:rPr>
      </w:pPr>
      <w:r w:rsidRPr="009B74CB">
        <w:rPr>
          <w:rFonts w:ascii="Arial" w:hAnsi="Arial" w:cs="Arial"/>
          <w:bdr w:val="single" w:sz="4" w:space="0" w:color="auto" w:frame="1"/>
        </w:rPr>
        <w:t>S3</w:t>
      </w:r>
    </w:p>
    <w:p w14:paraId="0582C81E" w14:textId="77777777" w:rsidR="009B74CB" w:rsidRPr="009B74CB" w:rsidRDefault="009B74CB" w:rsidP="009B74CB">
      <w:pPr>
        <w:widowControl w:val="0"/>
        <w:spacing w:after="0" w:line="480" w:lineRule="auto"/>
        <w:jc w:val="center"/>
        <w:rPr>
          <w:rFonts w:ascii="Arial" w:hAnsi="Arial" w:cs="Arial"/>
          <w:b/>
        </w:rPr>
      </w:pPr>
    </w:p>
    <w:p w14:paraId="0543CA32" w14:textId="77777777" w:rsidR="009B74CB" w:rsidRPr="009B74CB" w:rsidRDefault="009B74CB" w:rsidP="000C2019">
      <w:pPr>
        <w:widowControl w:val="0"/>
        <w:spacing w:after="0" w:line="480" w:lineRule="auto"/>
        <w:ind w:left="567" w:hanging="567"/>
        <w:jc w:val="both"/>
        <w:rPr>
          <w:rFonts w:ascii="Arial" w:eastAsia="Times New Roman" w:hAnsi="Arial" w:cs="Arial"/>
          <w:b/>
          <w:lang w:val="en-GB"/>
        </w:rPr>
      </w:pPr>
      <w:r w:rsidRPr="009B74CB">
        <w:rPr>
          <w:rFonts w:ascii="Arial" w:eastAsia="Times New Roman" w:hAnsi="Arial" w:cs="Arial"/>
          <w:b/>
          <w:bCs/>
          <w:lang w:val="en-GB"/>
        </w:rPr>
        <w:t>1.</w:t>
      </w:r>
      <w:r w:rsidRPr="009B74CB">
        <w:rPr>
          <w:rFonts w:ascii="Arial" w:eastAsia="Times New Roman" w:hAnsi="Arial" w:cs="Arial"/>
          <w:b/>
          <w:bCs/>
          <w:lang w:val="en-GB"/>
        </w:rPr>
        <w:tab/>
        <w:t>NAME OF THE MEDICINE:</w:t>
      </w:r>
    </w:p>
    <w:p w14:paraId="14B0827C"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b/>
        </w:rPr>
        <w:t xml:space="preserve">INDOMETHACIN BIOTECH 25 </w:t>
      </w:r>
      <w:r w:rsidRPr="009B74CB">
        <w:rPr>
          <w:rFonts w:ascii="Arial" w:hAnsi="Arial" w:cs="Arial"/>
          <w:bCs/>
        </w:rPr>
        <w:t>Capsules</w:t>
      </w:r>
    </w:p>
    <w:p w14:paraId="528A89DD" w14:textId="77777777" w:rsidR="009B74CB" w:rsidRPr="009B74CB" w:rsidRDefault="009B74CB" w:rsidP="000C2019">
      <w:pPr>
        <w:widowControl w:val="0"/>
        <w:spacing w:after="0" w:line="480" w:lineRule="auto"/>
        <w:jc w:val="both"/>
        <w:rPr>
          <w:rFonts w:ascii="Arial" w:hAnsi="Arial" w:cs="Arial"/>
        </w:rPr>
      </w:pPr>
    </w:p>
    <w:p w14:paraId="27D7D3AE" w14:textId="77777777" w:rsidR="009B74CB" w:rsidRPr="009B74CB" w:rsidRDefault="009B74CB" w:rsidP="000C2019">
      <w:pPr>
        <w:widowControl w:val="0"/>
        <w:spacing w:after="0" w:line="480" w:lineRule="auto"/>
        <w:ind w:left="567" w:hanging="567"/>
        <w:jc w:val="both"/>
        <w:rPr>
          <w:rFonts w:ascii="Arial" w:eastAsia="Times New Roman" w:hAnsi="Arial" w:cs="Arial"/>
          <w:b/>
          <w:bCs/>
          <w:lang w:val="en-GB"/>
        </w:rPr>
      </w:pPr>
      <w:r w:rsidRPr="009B74CB">
        <w:rPr>
          <w:rFonts w:ascii="Arial" w:hAnsi="Arial" w:cs="Arial"/>
          <w:b/>
        </w:rPr>
        <w:t>2.</w:t>
      </w:r>
      <w:r w:rsidRPr="009B74CB">
        <w:rPr>
          <w:rFonts w:ascii="Arial" w:hAnsi="Arial" w:cs="Arial"/>
          <w:b/>
        </w:rPr>
        <w:tab/>
        <w:t>QUALITATIVE AND QUANTITATIVE COMPOSITION:</w:t>
      </w:r>
    </w:p>
    <w:p w14:paraId="1DE07F5F"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Each capsule contains indomethacin 25 mg.</w:t>
      </w:r>
    </w:p>
    <w:p w14:paraId="48832C17" w14:textId="77777777" w:rsidR="009B74CB" w:rsidRPr="009B74CB" w:rsidRDefault="009B74CB" w:rsidP="000C2019">
      <w:pPr>
        <w:widowControl w:val="0"/>
        <w:spacing w:after="0" w:line="480" w:lineRule="auto"/>
        <w:jc w:val="both"/>
        <w:rPr>
          <w:rFonts w:ascii="Arial" w:hAnsi="Arial" w:cs="Arial"/>
        </w:rPr>
      </w:pPr>
    </w:p>
    <w:p w14:paraId="6B3F3A41"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Sugar free.</w:t>
      </w:r>
    </w:p>
    <w:p w14:paraId="73AACFE3" w14:textId="77777777" w:rsidR="009B74CB" w:rsidRPr="009B74CB" w:rsidRDefault="009B74CB" w:rsidP="000C2019">
      <w:pPr>
        <w:widowControl w:val="0"/>
        <w:spacing w:after="0" w:line="480" w:lineRule="auto"/>
        <w:jc w:val="both"/>
        <w:rPr>
          <w:rFonts w:ascii="Arial" w:hAnsi="Arial" w:cs="Arial"/>
          <w:bCs/>
          <w:noProof/>
          <w:highlight w:val="yellow"/>
        </w:rPr>
      </w:pPr>
    </w:p>
    <w:p w14:paraId="7AF63677" w14:textId="77777777" w:rsidR="009B74CB" w:rsidRPr="009B74CB" w:rsidRDefault="009B74CB" w:rsidP="000C2019">
      <w:pPr>
        <w:widowControl w:val="0"/>
        <w:spacing w:after="0" w:line="480" w:lineRule="auto"/>
        <w:jc w:val="both"/>
        <w:rPr>
          <w:rFonts w:ascii="Arial" w:hAnsi="Arial" w:cs="Arial"/>
          <w:bCs/>
          <w:noProof/>
          <w:lang w:val="en-GB"/>
        </w:rPr>
      </w:pPr>
      <w:r w:rsidRPr="009B74CB">
        <w:rPr>
          <w:rFonts w:ascii="Arial" w:hAnsi="Arial" w:cs="Arial"/>
          <w:bCs/>
          <w:noProof/>
          <w:lang w:val="en-GB"/>
        </w:rPr>
        <w:t>For the full list of excipients, see section 6 .1.</w:t>
      </w:r>
    </w:p>
    <w:p w14:paraId="52946EF0" w14:textId="77777777" w:rsidR="009B74CB" w:rsidRPr="009B74CB" w:rsidRDefault="009B74CB" w:rsidP="000C2019">
      <w:pPr>
        <w:widowControl w:val="0"/>
        <w:spacing w:after="0" w:line="480" w:lineRule="auto"/>
        <w:jc w:val="both"/>
        <w:rPr>
          <w:rFonts w:ascii="Arial" w:eastAsia="Times New Roman" w:hAnsi="Arial" w:cs="Arial"/>
          <w:b/>
          <w:lang w:val="en-GB"/>
        </w:rPr>
      </w:pPr>
    </w:p>
    <w:p w14:paraId="2370C2D5" w14:textId="77777777" w:rsidR="009B74CB" w:rsidRPr="009B74CB" w:rsidRDefault="009B74CB" w:rsidP="000C2019">
      <w:pPr>
        <w:widowControl w:val="0"/>
        <w:spacing w:after="0" w:line="480" w:lineRule="auto"/>
        <w:ind w:left="567" w:hanging="567"/>
        <w:jc w:val="both"/>
        <w:rPr>
          <w:rFonts w:ascii="Arial" w:hAnsi="Arial" w:cs="Arial"/>
          <w:b/>
        </w:rPr>
      </w:pPr>
      <w:r w:rsidRPr="009B74CB">
        <w:rPr>
          <w:rFonts w:ascii="Arial" w:hAnsi="Arial" w:cs="Arial"/>
          <w:b/>
        </w:rPr>
        <w:t>3.</w:t>
      </w:r>
      <w:r w:rsidRPr="009B74CB">
        <w:rPr>
          <w:rFonts w:ascii="Arial" w:hAnsi="Arial" w:cs="Arial"/>
          <w:b/>
        </w:rPr>
        <w:tab/>
        <w:t>PHARMACEUTICAL FORM:</w:t>
      </w:r>
    </w:p>
    <w:p w14:paraId="37EF3075"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Capsules, hard.</w:t>
      </w:r>
    </w:p>
    <w:p w14:paraId="6E22D27E" w14:textId="77777777" w:rsidR="009B74CB" w:rsidRPr="009B74CB" w:rsidRDefault="009B74CB" w:rsidP="000C2019">
      <w:pPr>
        <w:widowControl w:val="0"/>
        <w:spacing w:after="0" w:line="480" w:lineRule="auto"/>
        <w:jc w:val="both"/>
        <w:rPr>
          <w:rFonts w:ascii="Arial" w:hAnsi="Arial" w:cs="Arial"/>
          <w:bCs/>
          <w:iCs/>
          <w:highlight w:val="green"/>
        </w:rPr>
      </w:pPr>
      <w:r w:rsidRPr="009B74CB">
        <w:rPr>
          <w:rFonts w:ascii="Arial" w:hAnsi="Arial" w:cs="Arial"/>
          <w:iCs/>
        </w:rPr>
        <w:t>Opaque, yellow, hard gelatine capsule containing a white powder.</w:t>
      </w:r>
    </w:p>
    <w:p w14:paraId="48F20B62" w14:textId="77777777" w:rsidR="009B74CB" w:rsidRPr="009B74CB" w:rsidRDefault="009B74CB" w:rsidP="000C2019">
      <w:pPr>
        <w:widowControl w:val="0"/>
        <w:spacing w:after="0" w:line="480" w:lineRule="auto"/>
        <w:jc w:val="both"/>
        <w:rPr>
          <w:rFonts w:ascii="Arial" w:hAnsi="Arial" w:cs="Arial"/>
          <w:bCs/>
          <w:highlight w:val="yellow"/>
        </w:rPr>
      </w:pPr>
    </w:p>
    <w:p w14:paraId="08AB7FC1" w14:textId="77777777" w:rsidR="009B74CB" w:rsidRPr="009B74CB" w:rsidRDefault="009B74CB" w:rsidP="000C2019">
      <w:pPr>
        <w:widowControl w:val="0"/>
        <w:spacing w:after="0" w:line="480" w:lineRule="auto"/>
        <w:ind w:left="567" w:hanging="567"/>
        <w:jc w:val="both"/>
        <w:rPr>
          <w:rFonts w:ascii="Arial" w:hAnsi="Arial" w:cs="Arial"/>
          <w:caps/>
        </w:rPr>
      </w:pPr>
      <w:r w:rsidRPr="009B74CB">
        <w:rPr>
          <w:rFonts w:ascii="Arial" w:hAnsi="Arial" w:cs="Arial"/>
          <w:b/>
          <w:caps/>
        </w:rPr>
        <w:t>4.</w:t>
      </w:r>
      <w:r w:rsidRPr="009B74CB">
        <w:rPr>
          <w:rFonts w:ascii="Arial" w:hAnsi="Arial" w:cs="Arial"/>
          <w:b/>
          <w:caps/>
        </w:rPr>
        <w:tab/>
        <w:t>Clinical particulars:</w:t>
      </w:r>
    </w:p>
    <w:p w14:paraId="3650B7BA" w14:textId="77777777" w:rsidR="009B74CB" w:rsidRPr="009B74CB" w:rsidRDefault="009B74CB" w:rsidP="000C2019">
      <w:pPr>
        <w:widowControl w:val="0"/>
        <w:spacing w:after="0" w:line="480" w:lineRule="auto"/>
        <w:ind w:left="567" w:hanging="567"/>
        <w:jc w:val="both"/>
        <w:rPr>
          <w:rFonts w:ascii="Arial" w:hAnsi="Arial" w:cs="Arial"/>
          <w:b/>
        </w:rPr>
      </w:pPr>
      <w:r w:rsidRPr="009B74CB">
        <w:rPr>
          <w:rFonts w:ascii="Arial" w:hAnsi="Arial" w:cs="Arial"/>
          <w:b/>
        </w:rPr>
        <w:t>4.1</w:t>
      </w:r>
      <w:r w:rsidRPr="009B74CB">
        <w:rPr>
          <w:rFonts w:ascii="Arial" w:hAnsi="Arial" w:cs="Arial"/>
          <w:b/>
        </w:rPr>
        <w:tab/>
        <w:t>Therapeutic indications:</w:t>
      </w:r>
    </w:p>
    <w:p w14:paraId="51A51F47"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INDOMETHACIN BIOTECH 25 is indicated in active stages of:</w:t>
      </w:r>
    </w:p>
    <w:p w14:paraId="46ADD649"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t>rheumatoid arthritis;</w:t>
      </w:r>
    </w:p>
    <w:p w14:paraId="16029327"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t>osteoarthritis;</w:t>
      </w:r>
    </w:p>
    <w:p w14:paraId="7BD3F078"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t>ankylosing spondylitis;</w:t>
      </w:r>
    </w:p>
    <w:p w14:paraId="0CBD195E"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t>degenerative joint disease of the hip;</w:t>
      </w:r>
    </w:p>
    <w:p w14:paraId="4D82E2AB"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t>acute gouty arthritis.</w:t>
      </w:r>
    </w:p>
    <w:p w14:paraId="313EAAD1"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INDOMETHACIN BIOTECH 25 is also indicated for:</w:t>
      </w:r>
    </w:p>
    <w:p w14:paraId="4C2BCE98"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lastRenderedPageBreak/>
        <w:t>acute musculoskeletal disorders, such as, bursitis, tendonitis, synovitis, tenosynovitis, capsulitis of the shoulder, sprains and strains;</w:t>
      </w:r>
    </w:p>
    <w:p w14:paraId="47A17FAD"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t>low back pain (commonly referred to as lumbago);</w:t>
      </w:r>
    </w:p>
    <w:p w14:paraId="19ABDD40"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t>fever (as a short-term adjunct to specific therapy);</w:t>
      </w:r>
    </w:p>
    <w:p w14:paraId="7153AC13"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t>inflammation, pain, trismus and swelling following dental procedures;</w:t>
      </w:r>
    </w:p>
    <w:p w14:paraId="31FD4E36"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t>inflammation, pain and swelling following orthopaedic surgical procedures and nonsurgical procedures associated with reduction and immobilisation of fractures or dislocations;</w:t>
      </w:r>
    </w:p>
    <w:p w14:paraId="5DAE4A74"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sz w:val="22"/>
          <w:szCs w:val="22"/>
        </w:rPr>
      </w:pPr>
      <w:r w:rsidRPr="009B74CB">
        <w:rPr>
          <w:rFonts w:ascii="Arial" w:hAnsi="Arial" w:cs="Arial"/>
          <w:bCs/>
          <w:sz w:val="22"/>
          <w:szCs w:val="22"/>
        </w:rPr>
        <w:t>pain and associated symptoms of primary dysmenorrhoea</w:t>
      </w:r>
    </w:p>
    <w:p w14:paraId="026B2002" w14:textId="77777777" w:rsidR="009B74CB" w:rsidRPr="009B74CB" w:rsidRDefault="009B74CB" w:rsidP="000C2019">
      <w:pPr>
        <w:widowControl w:val="0"/>
        <w:spacing w:after="0" w:line="480" w:lineRule="auto"/>
        <w:jc w:val="both"/>
        <w:rPr>
          <w:rFonts w:ascii="Arial" w:hAnsi="Arial" w:cs="Arial"/>
        </w:rPr>
      </w:pPr>
    </w:p>
    <w:p w14:paraId="62B7945D" w14:textId="77777777" w:rsidR="009B74CB" w:rsidRPr="009B74CB" w:rsidRDefault="009B74CB" w:rsidP="000C2019">
      <w:pPr>
        <w:widowControl w:val="0"/>
        <w:spacing w:after="0" w:line="480" w:lineRule="auto"/>
        <w:ind w:left="567" w:hanging="567"/>
        <w:jc w:val="both"/>
        <w:rPr>
          <w:rFonts w:ascii="Arial" w:hAnsi="Arial" w:cs="Arial"/>
          <w:b/>
          <w:highlight w:val="yellow"/>
        </w:rPr>
      </w:pPr>
      <w:r w:rsidRPr="009B74CB">
        <w:rPr>
          <w:rFonts w:ascii="Arial" w:hAnsi="Arial" w:cs="Arial"/>
          <w:b/>
        </w:rPr>
        <w:t>4.2</w:t>
      </w:r>
      <w:r w:rsidRPr="009B74CB">
        <w:rPr>
          <w:rFonts w:ascii="Arial" w:hAnsi="Arial" w:cs="Arial"/>
          <w:b/>
        </w:rPr>
        <w:tab/>
        <w:t xml:space="preserve">Posology and method of administration: </w:t>
      </w:r>
    </w:p>
    <w:p w14:paraId="37C39100" w14:textId="77777777" w:rsidR="009B74CB" w:rsidRPr="009B74CB" w:rsidRDefault="009B74CB" w:rsidP="000C2019">
      <w:pPr>
        <w:widowControl w:val="0"/>
        <w:spacing w:after="0" w:line="480" w:lineRule="auto"/>
        <w:jc w:val="both"/>
        <w:rPr>
          <w:rFonts w:ascii="Arial" w:hAnsi="Arial" w:cs="Arial"/>
          <w:b/>
        </w:rPr>
      </w:pPr>
      <w:r w:rsidRPr="009B74CB">
        <w:rPr>
          <w:rFonts w:ascii="Arial" w:hAnsi="Arial" w:cs="Arial"/>
          <w:b/>
        </w:rPr>
        <w:t>Posology:</w:t>
      </w:r>
    </w:p>
    <w:p w14:paraId="649E75FA" w14:textId="77777777" w:rsidR="009B74CB" w:rsidRPr="009B74CB" w:rsidRDefault="009B74CB" w:rsidP="000C2019">
      <w:pPr>
        <w:widowControl w:val="0"/>
        <w:spacing w:after="0" w:line="480" w:lineRule="auto"/>
        <w:jc w:val="both"/>
        <w:rPr>
          <w:rFonts w:ascii="Arial" w:hAnsi="Arial" w:cs="Arial"/>
          <w:b/>
          <w:i/>
          <w:iCs/>
        </w:rPr>
      </w:pPr>
      <w:r w:rsidRPr="009B74CB">
        <w:rPr>
          <w:rFonts w:ascii="Arial" w:hAnsi="Arial" w:cs="Arial"/>
          <w:b/>
          <w:i/>
          <w:iCs/>
        </w:rPr>
        <w:t>Adults:</w:t>
      </w:r>
    </w:p>
    <w:p w14:paraId="2E20F4E1" w14:textId="77777777" w:rsidR="009B74CB" w:rsidRPr="009B74CB" w:rsidRDefault="009B74CB" w:rsidP="000C2019">
      <w:pPr>
        <w:widowControl w:val="0"/>
        <w:spacing w:after="0" w:line="480" w:lineRule="auto"/>
        <w:jc w:val="both"/>
        <w:rPr>
          <w:rFonts w:ascii="Arial" w:hAnsi="Arial" w:cs="Arial"/>
          <w:lang w:val="en-US"/>
        </w:rPr>
      </w:pPr>
      <w:r w:rsidRPr="009B74CB">
        <w:rPr>
          <w:rFonts w:ascii="Arial" w:hAnsi="Arial" w:cs="Arial"/>
          <w:lang w:val="en-US"/>
        </w:rPr>
        <w:t xml:space="preserve">The recommended dose of </w:t>
      </w:r>
      <w:r w:rsidRPr="009B74CB">
        <w:rPr>
          <w:rFonts w:ascii="Arial" w:hAnsi="Arial" w:cs="Arial"/>
          <w:bCs/>
        </w:rPr>
        <w:t xml:space="preserve">INDOMETHACIN BIOTECH 25 </w:t>
      </w:r>
      <w:r w:rsidRPr="009B74CB">
        <w:rPr>
          <w:rFonts w:ascii="Arial" w:hAnsi="Arial" w:cs="Arial"/>
          <w:lang w:val="en-US"/>
        </w:rPr>
        <w:t xml:space="preserve">is 50 mg to 200 mg daily in divided doses, </w:t>
      </w:r>
      <w:r w:rsidRPr="009B74CB">
        <w:rPr>
          <w:rFonts w:ascii="Arial" w:hAnsi="Arial" w:cs="Arial"/>
        </w:rPr>
        <w:t>individually adjusted to the patient’s response and tolerability to the medicines. Use the lowest effective dose for the shortest duration consistent with individual patient treatment goals, starting with a low dose.</w:t>
      </w:r>
      <w:r w:rsidRPr="009B74CB">
        <w:rPr>
          <w:rFonts w:ascii="Arial" w:hAnsi="Arial" w:cs="Arial"/>
          <w:lang w:val="en-US"/>
        </w:rPr>
        <w:t xml:space="preserve"> </w:t>
      </w:r>
    </w:p>
    <w:p w14:paraId="415F1549" w14:textId="77777777" w:rsidR="009B74CB" w:rsidRPr="009B74CB" w:rsidRDefault="009B74CB" w:rsidP="000C2019">
      <w:pPr>
        <w:widowControl w:val="0"/>
        <w:spacing w:after="0" w:line="480" w:lineRule="auto"/>
        <w:jc w:val="both"/>
        <w:rPr>
          <w:rFonts w:ascii="Arial" w:hAnsi="Arial" w:cs="Arial"/>
          <w:lang w:val="en-US"/>
        </w:rPr>
      </w:pPr>
    </w:p>
    <w:p w14:paraId="77C0582D"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 xml:space="preserve">A loading dose of </w:t>
      </w:r>
      <w:r w:rsidRPr="009B74CB">
        <w:rPr>
          <w:rFonts w:ascii="Arial" w:hAnsi="Arial" w:cs="Arial"/>
          <w:bCs/>
        </w:rPr>
        <w:t>INDOMETHACIN BIOTECH 25</w:t>
      </w:r>
      <w:r w:rsidRPr="009B74CB">
        <w:rPr>
          <w:rFonts w:ascii="Arial" w:hAnsi="Arial" w:cs="Arial"/>
        </w:rPr>
        <w:t xml:space="preserve"> is not necessary. In chronic rheumatic disorders, initiating therapy with low doses, increasing gradually when necessary, and continuing for an adequate period (up to one month is recommended), will produce maximum benefit and minimise adverse reactions.</w:t>
      </w:r>
    </w:p>
    <w:p w14:paraId="29039B34" w14:textId="77777777" w:rsidR="009B74CB" w:rsidRPr="009B74CB" w:rsidRDefault="009B74CB" w:rsidP="000C2019">
      <w:pPr>
        <w:widowControl w:val="0"/>
        <w:spacing w:after="0" w:line="480" w:lineRule="auto"/>
        <w:jc w:val="both"/>
        <w:rPr>
          <w:rFonts w:ascii="Arial" w:hAnsi="Arial" w:cs="Arial"/>
        </w:rPr>
      </w:pPr>
    </w:p>
    <w:p w14:paraId="0A65E040" w14:textId="77777777" w:rsidR="009B74CB" w:rsidRPr="009B74CB" w:rsidRDefault="009B74CB" w:rsidP="000C2019">
      <w:pPr>
        <w:widowControl w:val="0"/>
        <w:spacing w:after="0" w:line="480" w:lineRule="auto"/>
        <w:jc w:val="both"/>
        <w:rPr>
          <w:rFonts w:ascii="Arial" w:hAnsi="Arial" w:cs="Arial"/>
          <w:lang w:val="en-US"/>
        </w:rPr>
      </w:pPr>
      <w:r w:rsidRPr="009B74CB">
        <w:rPr>
          <w:rFonts w:ascii="Arial" w:hAnsi="Arial" w:cs="Arial"/>
        </w:rPr>
        <w:t>In patients with persistent night pain and/or morning stiffness, a dose of up to 100 mg at bedtime may be helpful in affording relief. A dosage of 200 mg per day should not be exceeded.</w:t>
      </w:r>
      <w:r w:rsidRPr="009B74CB">
        <w:rPr>
          <w:rFonts w:ascii="Arial" w:hAnsi="Arial" w:cs="Arial"/>
          <w:lang w:val="en-US"/>
        </w:rPr>
        <w:t xml:space="preserve"> </w:t>
      </w:r>
    </w:p>
    <w:p w14:paraId="0158C03C" w14:textId="77777777" w:rsidR="009B74CB" w:rsidRPr="009B74CB" w:rsidRDefault="009B74CB" w:rsidP="000C2019">
      <w:pPr>
        <w:widowControl w:val="0"/>
        <w:spacing w:after="0" w:line="480" w:lineRule="auto"/>
        <w:jc w:val="both"/>
        <w:rPr>
          <w:rFonts w:ascii="Arial" w:hAnsi="Arial" w:cs="Arial"/>
          <w:lang w:val="en-US"/>
        </w:rPr>
      </w:pPr>
    </w:p>
    <w:p w14:paraId="44D36E20" w14:textId="77777777" w:rsidR="009B74CB" w:rsidRPr="009B74CB" w:rsidRDefault="009B74CB" w:rsidP="000C2019">
      <w:pPr>
        <w:widowControl w:val="0"/>
        <w:spacing w:after="0" w:line="480" w:lineRule="auto"/>
        <w:jc w:val="both"/>
        <w:rPr>
          <w:rFonts w:ascii="Arial" w:hAnsi="Arial" w:cs="Arial"/>
          <w:lang w:val="en-US"/>
        </w:rPr>
      </w:pPr>
      <w:r w:rsidRPr="009B74CB">
        <w:rPr>
          <w:rFonts w:ascii="Arial" w:hAnsi="Arial" w:cs="Arial"/>
          <w:lang w:val="en-US"/>
        </w:rPr>
        <w:t>In the treatment of acute gouty arthritis, the recommended daily dosage of 150 mg to 200 mg in divided doses until symptoms and signs subside.</w:t>
      </w:r>
    </w:p>
    <w:p w14:paraId="7E34A188" w14:textId="77777777" w:rsidR="009B74CB" w:rsidRPr="009B74CB" w:rsidRDefault="009B74CB" w:rsidP="000C2019">
      <w:pPr>
        <w:widowControl w:val="0"/>
        <w:spacing w:after="0" w:line="480" w:lineRule="auto"/>
        <w:jc w:val="both"/>
        <w:rPr>
          <w:rFonts w:ascii="Arial" w:hAnsi="Arial" w:cs="Arial"/>
          <w:lang w:val="en-US"/>
        </w:rPr>
      </w:pPr>
    </w:p>
    <w:p w14:paraId="4425D6E4" w14:textId="77777777" w:rsidR="009B74CB" w:rsidRPr="009B74CB" w:rsidRDefault="009B74CB" w:rsidP="000C2019">
      <w:pPr>
        <w:widowControl w:val="0"/>
        <w:spacing w:after="0" w:line="480" w:lineRule="auto"/>
        <w:jc w:val="both"/>
        <w:rPr>
          <w:rFonts w:ascii="Arial" w:hAnsi="Arial" w:cs="Arial"/>
          <w:lang w:val="en-US"/>
        </w:rPr>
      </w:pPr>
      <w:r w:rsidRPr="009B74CB">
        <w:rPr>
          <w:rFonts w:ascii="Arial" w:hAnsi="Arial" w:cs="Arial"/>
          <w:lang w:val="en-US"/>
        </w:rPr>
        <w:t xml:space="preserve">In primary dysmenorrhea, the recommended dosage is 75 mg daily as a single or divided dose, starting at the onset of cramps and bleeding and continuing for as long as symptoms usually last. </w:t>
      </w:r>
    </w:p>
    <w:p w14:paraId="7AB1C5A9" w14:textId="77777777" w:rsidR="009B74CB" w:rsidRPr="009B74CB" w:rsidRDefault="009B74CB" w:rsidP="000C2019">
      <w:pPr>
        <w:widowControl w:val="0"/>
        <w:spacing w:after="0" w:line="480" w:lineRule="auto"/>
        <w:jc w:val="both"/>
        <w:rPr>
          <w:rFonts w:ascii="Arial" w:hAnsi="Arial" w:cs="Arial"/>
          <w:b/>
          <w:lang w:val="en-US"/>
        </w:rPr>
      </w:pPr>
    </w:p>
    <w:p w14:paraId="10F8E6A0" w14:textId="77777777" w:rsidR="009B74CB" w:rsidRPr="009B74CB" w:rsidRDefault="009B74CB" w:rsidP="000C2019">
      <w:pPr>
        <w:widowControl w:val="0"/>
        <w:spacing w:after="0" w:line="480" w:lineRule="auto"/>
        <w:jc w:val="both"/>
        <w:rPr>
          <w:rFonts w:ascii="Arial" w:hAnsi="Arial" w:cs="Arial"/>
          <w:lang w:val="en-US"/>
        </w:rPr>
      </w:pPr>
      <w:r w:rsidRPr="009B74CB">
        <w:rPr>
          <w:rFonts w:ascii="Arial" w:hAnsi="Arial" w:cs="Arial"/>
          <w:lang w:val="en-US"/>
        </w:rPr>
        <w:t xml:space="preserve">To minimise or reduce the possibility of gastrointestinal disturbances, it is recommended that </w:t>
      </w:r>
      <w:r w:rsidRPr="009B74CB">
        <w:rPr>
          <w:rFonts w:ascii="Arial" w:hAnsi="Arial" w:cs="Arial"/>
          <w:bCs/>
        </w:rPr>
        <w:t>INDOMETHACIN BIOTECH 25</w:t>
      </w:r>
      <w:r w:rsidRPr="009B74CB">
        <w:rPr>
          <w:rFonts w:ascii="Arial" w:hAnsi="Arial" w:cs="Arial"/>
          <w:lang w:val="en-US"/>
        </w:rPr>
        <w:t xml:space="preserve"> be taken with food, milk or an antacid. In chronic conditions start the therapy with a low dosage, increasing as required.</w:t>
      </w:r>
    </w:p>
    <w:p w14:paraId="37B42FEA" w14:textId="77777777" w:rsidR="009B74CB" w:rsidRPr="009B74CB" w:rsidRDefault="009B74CB" w:rsidP="000C2019">
      <w:pPr>
        <w:widowControl w:val="0"/>
        <w:spacing w:after="0" w:line="480" w:lineRule="auto"/>
        <w:jc w:val="both"/>
        <w:rPr>
          <w:rFonts w:ascii="Arial" w:hAnsi="Arial" w:cs="Arial"/>
          <w:lang w:val="en-US"/>
        </w:rPr>
      </w:pPr>
    </w:p>
    <w:p w14:paraId="169EE8CB" w14:textId="77777777" w:rsidR="009B74CB" w:rsidRPr="009B74CB" w:rsidRDefault="009B74CB" w:rsidP="000C2019">
      <w:pPr>
        <w:widowControl w:val="0"/>
        <w:spacing w:after="0" w:line="480" w:lineRule="auto"/>
        <w:jc w:val="both"/>
        <w:rPr>
          <w:rFonts w:ascii="Arial" w:hAnsi="Arial" w:cs="Arial"/>
          <w:lang w:val="en-US"/>
        </w:rPr>
      </w:pPr>
      <w:r w:rsidRPr="009B74CB">
        <w:rPr>
          <w:rFonts w:ascii="Arial" w:hAnsi="Arial" w:cs="Arial"/>
          <w:lang w:val="en-US"/>
        </w:rPr>
        <w:t>Undesirable effects may be minimised by using the lowest effective dose for the shortest duration necessary to control symptoms (see section 4.4).</w:t>
      </w:r>
    </w:p>
    <w:p w14:paraId="695583D8" w14:textId="77777777" w:rsidR="009B74CB" w:rsidRPr="009B74CB" w:rsidRDefault="009B74CB" w:rsidP="000C2019">
      <w:pPr>
        <w:widowControl w:val="0"/>
        <w:spacing w:after="0" w:line="480" w:lineRule="auto"/>
        <w:jc w:val="both"/>
        <w:rPr>
          <w:rFonts w:ascii="Arial" w:hAnsi="Arial" w:cs="Arial"/>
          <w:lang w:val="en-US"/>
        </w:rPr>
      </w:pPr>
    </w:p>
    <w:p w14:paraId="10AFD5FB" w14:textId="77777777" w:rsidR="009B74CB" w:rsidRPr="009B74CB" w:rsidRDefault="009B74CB" w:rsidP="000C2019">
      <w:pPr>
        <w:widowControl w:val="0"/>
        <w:spacing w:after="0" w:line="480" w:lineRule="auto"/>
        <w:jc w:val="both"/>
        <w:rPr>
          <w:rFonts w:ascii="Arial" w:hAnsi="Arial" w:cs="Arial"/>
          <w:b/>
          <w:bCs/>
          <w:i/>
          <w:iCs/>
          <w:lang w:val="en-US"/>
        </w:rPr>
      </w:pPr>
      <w:r w:rsidRPr="009B74CB">
        <w:rPr>
          <w:rFonts w:ascii="Arial" w:hAnsi="Arial" w:cs="Arial"/>
          <w:b/>
          <w:bCs/>
          <w:i/>
          <w:iCs/>
          <w:lang w:val="en-US"/>
        </w:rPr>
        <w:t>Paediatric population:</w:t>
      </w:r>
    </w:p>
    <w:p w14:paraId="44B0AFDC" w14:textId="77777777" w:rsidR="009B74CB" w:rsidRPr="009B74CB" w:rsidRDefault="009B74CB" w:rsidP="000C2019">
      <w:pPr>
        <w:widowControl w:val="0"/>
        <w:spacing w:after="0" w:line="480" w:lineRule="auto"/>
        <w:jc w:val="both"/>
        <w:rPr>
          <w:rFonts w:ascii="Arial" w:hAnsi="Arial" w:cs="Arial"/>
          <w:lang w:val="en-US"/>
        </w:rPr>
      </w:pPr>
      <w:r w:rsidRPr="009B74CB">
        <w:rPr>
          <w:rFonts w:ascii="Arial" w:hAnsi="Arial" w:cs="Arial"/>
          <w:lang w:val="en-US"/>
        </w:rPr>
        <w:t>The safety and efficacy of indomethacin, as in I</w:t>
      </w:r>
      <w:r w:rsidRPr="009B74CB">
        <w:rPr>
          <w:rFonts w:ascii="Arial" w:hAnsi="Arial" w:cs="Arial"/>
          <w:bCs/>
        </w:rPr>
        <w:t>NDOMETHACIN BIOTECH 25</w:t>
      </w:r>
      <w:r w:rsidRPr="009B74CB">
        <w:rPr>
          <w:rFonts w:ascii="Arial" w:hAnsi="Arial" w:cs="Arial"/>
          <w:lang w:val="en-US"/>
        </w:rPr>
        <w:t>, in children have not been established.</w:t>
      </w:r>
    </w:p>
    <w:p w14:paraId="4957752C" w14:textId="77777777" w:rsidR="009B74CB" w:rsidRPr="009B74CB" w:rsidRDefault="009B74CB" w:rsidP="000C2019">
      <w:pPr>
        <w:widowControl w:val="0"/>
        <w:spacing w:after="0" w:line="480" w:lineRule="auto"/>
        <w:jc w:val="both"/>
        <w:rPr>
          <w:rFonts w:ascii="Arial" w:eastAsia="Times New Roman" w:hAnsi="Arial" w:cs="Arial"/>
          <w:lang w:val="en-GB"/>
        </w:rPr>
      </w:pPr>
    </w:p>
    <w:p w14:paraId="3B36E231" w14:textId="77777777" w:rsidR="009B74CB" w:rsidRPr="009B74CB" w:rsidRDefault="009B74CB" w:rsidP="000C2019">
      <w:pPr>
        <w:widowControl w:val="0"/>
        <w:spacing w:after="0" w:line="480" w:lineRule="auto"/>
        <w:ind w:left="567" w:hanging="567"/>
        <w:jc w:val="both"/>
        <w:rPr>
          <w:rFonts w:ascii="Arial" w:hAnsi="Arial" w:cs="Arial"/>
          <w:noProof/>
          <w:highlight w:val="yellow"/>
          <w:lang w:val="en-GB"/>
        </w:rPr>
      </w:pPr>
      <w:r w:rsidRPr="009B74CB">
        <w:rPr>
          <w:rFonts w:ascii="Arial" w:hAnsi="Arial" w:cs="Arial"/>
          <w:b/>
        </w:rPr>
        <w:t>4.3</w:t>
      </w:r>
      <w:r w:rsidRPr="009B74CB">
        <w:rPr>
          <w:rFonts w:ascii="Arial" w:hAnsi="Arial" w:cs="Arial"/>
          <w:b/>
        </w:rPr>
        <w:tab/>
        <w:t>Contraindications:</w:t>
      </w:r>
    </w:p>
    <w:p w14:paraId="43903709" w14:textId="77777777" w:rsidR="009B74CB" w:rsidRPr="009B74CB" w:rsidRDefault="009B74CB" w:rsidP="000C2019">
      <w:pPr>
        <w:widowControl w:val="0"/>
        <w:spacing w:after="0" w:line="480" w:lineRule="auto"/>
        <w:jc w:val="both"/>
        <w:rPr>
          <w:rFonts w:ascii="Arial" w:hAnsi="Arial" w:cs="Arial"/>
          <w:bCs/>
          <w:lang w:val="en-GB"/>
        </w:rPr>
      </w:pPr>
      <w:r w:rsidRPr="009B74CB">
        <w:rPr>
          <w:rFonts w:ascii="Arial" w:hAnsi="Arial" w:cs="Arial"/>
          <w:bCs/>
          <w:lang w:val="en-GB"/>
        </w:rPr>
        <w:t>INDOMETHACIN BIOTECH 25 is contraindicated in:</w:t>
      </w:r>
    </w:p>
    <w:p w14:paraId="0E9C27D1"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patients hypersensitive to indomethacin, or to aspirin or to any of the other ingredients of INDOMETHACIN BIOTECH 25 (see section 6.1);</w:t>
      </w:r>
    </w:p>
    <w:p w14:paraId="17B044B6"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patients in whom acute asthmatic attacks, urticaria or rhinitis and nasal polyps are precipitated by acetylsalicylic acid (aspirin) or other nonsteroidal anti-inflammatory drugs (NSAIDs);</w:t>
      </w:r>
      <w:r w:rsidRPr="009B74CB">
        <w:rPr>
          <w:rFonts w:ascii="Arial" w:hAnsi="Arial" w:cs="Arial"/>
          <w:color w:val="000000"/>
          <w:sz w:val="22"/>
          <w:szCs w:val="22"/>
        </w:rPr>
        <w:t xml:space="preserve"> </w:t>
      </w:r>
    </w:p>
    <w:p w14:paraId="6048AE0A"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INDOMETHACIN BIOTECH 25 and diflunisal should not be used concomitantly;</w:t>
      </w:r>
    </w:p>
    <w:p w14:paraId="5F49B11D"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 xml:space="preserve">persons operating machinery; </w:t>
      </w:r>
    </w:p>
    <w:p w14:paraId="291C8C90"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 xml:space="preserve">patients with psychiatric disorders, epilepsy or Parkinsonism; </w:t>
      </w:r>
    </w:p>
    <w:p w14:paraId="474940C9"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 xml:space="preserve">patients with severe hepatic failure and renal failure; </w:t>
      </w:r>
    </w:p>
    <w:p w14:paraId="60473C01"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lang w:val="en-ZA"/>
        </w:rPr>
      </w:pPr>
      <w:r w:rsidRPr="009B74CB">
        <w:rPr>
          <w:rFonts w:ascii="Arial" w:hAnsi="Arial" w:cs="Arial"/>
          <w:bCs/>
          <w:sz w:val="22"/>
          <w:szCs w:val="22"/>
        </w:rPr>
        <w:t xml:space="preserve">in patients with current and/ a history of perforation, peptic ulcers or active peptic ulcers or bleeding (PUBS) related to previous NSAIDs, including INDOMETHACIN BIOTECH 25, gastritis, </w:t>
      </w:r>
      <w:r w:rsidRPr="009B74CB">
        <w:rPr>
          <w:rFonts w:ascii="Arial" w:hAnsi="Arial" w:cs="Arial"/>
          <w:bCs/>
          <w:sz w:val="22"/>
          <w:szCs w:val="22"/>
        </w:rPr>
        <w:lastRenderedPageBreak/>
        <w:t>regional enteritis and ulcerative colitis, or with a recurrent history of gastrointestinal ulceration;</w:t>
      </w:r>
    </w:p>
    <w:p w14:paraId="27D5DC2A"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patients with a history of, or current gastrointestinal lesions, including ulcer, haemorrhage or perforations;</w:t>
      </w:r>
    </w:p>
    <w:p w14:paraId="526BFD04" w14:textId="3865E444"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patients with a history of angioedema following exposure to NSAIDs and/</w:t>
      </w:r>
      <w:r w:rsidR="000C2019">
        <w:rPr>
          <w:rFonts w:ascii="Arial" w:hAnsi="Arial" w:cs="Arial"/>
          <w:bCs/>
          <w:sz w:val="22"/>
          <w:szCs w:val="22"/>
        </w:rPr>
        <w:t xml:space="preserve"> </w:t>
      </w:r>
      <w:r w:rsidRPr="009B74CB">
        <w:rPr>
          <w:rFonts w:ascii="Arial" w:hAnsi="Arial" w:cs="Arial"/>
          <w:bCs/>
          <w:sz w:val="22"/>
          <w:szCs w:val="22"/>
        </w:rPr>
        <w:t>or aspirin;</w:t>
      </w:r>
    </w:p>
    <w:p w14:paraId="13D6606B"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the treatment of peri-operative pain relief in the setting of coronary artery surgery;</w:t>
      </w:r>
    </w:p>
    <w:p w14:paraId="223D93CF"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patients with heart failure, established ischaemic heart disease and/or cerebrovascular disease (stroke), and peripheral arterial disease;</w:t>
      </w:r>
    </w:p>
    <w:p w14:paraId="2F5C22C0" w14:textId="77777777" w:rsidR="009B74CB" w:rsidRPr="009B74CB" w:rsidRDefault="009B74CB" w:rsidP="000C2019">
      <w:pPr>
        <w:pStyle w:val="ListParagraph"/>
        <w:widowControl w:val="0"/>
        <w:numPr>
          <w:ilvl w:val="0"/>
          <w:numId w:val="17"/>
        </w:numPr>
        <w:spacing w:line="480" w:lineRule="auto"/>
        <w:ind w:left="372" w:hanging="339"/>
        <w:contextualSpacing w:val="0"/>
        <w:jc w:val="both"/>
        <w:rPr>
          <w:rFonts w:ascii="Arial" w:hAnsi="Arial" w:cs="Arial"/>
          <w:bCs/>
          <w:sz w:val="22"/>
          <w:szCs w:val="22"/>
        </w:rPr>
      </w:pPr>
      <w:r w:rsidRPr="009B74CB">
        <w:rPr>
          <w:rFonts w:ascii="Arial" w:hAnsi="Arial" w:cs="Arial"/>
          <w:bCs/>
          <w:sz w:val="22"/>
          <w:szCs w:val="22"/>
        </w:rPr>
        <w:t xml:space="preserve">pregnancy and lactation (see section 4.6); </w:t>
      </w:r>
    </w:p>
    <w:p w14:paraId="7CADDC37"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lang w:val="en-GB"/>
        </w:rPr>
        <w:t xml:space="preserve">The safety of INDOMETHACIN BIOTECH 25 in children has not been established. </w:t>
      </w:r>
    </w:p>
    <w:p w14:paraId="34E61A39" w14:textId="77777777" w:rsidR="009B74CB" w:rsidRPr="009B74CB" w:rsidRDefault="009B74CB" w:rsidP="000C2019">
      <w:pPr>
        <w:widowControl w:val="0"/>
        <w:spacing w:after="0" w:line="480" w:lineRule="auto"/>
        <w:jc w:val="both"/>
        <w:rPr>
          <w:rFonts w:ascii="Arial" w:hAnsi="Arial" w:cs="Arial"/>
          <w:lang w:eastAsia="en-ZA"/>
        </w:rPr>
      </w:pPr>
    </w:p>
    <w:p w14:paraId="7A88DA70" w14:textId="77777777" w:rsidR="009B74CB" w:rsidRPr="009B74CB" w:rsidRDefault="009B74CB" w:rsidP="000C2019">
      <w:pPr>
        <w:widowControl w:val="0"/>
        <w:spacing w:after="0" w:line="480" w:lineRule="auto"/>
        <w:ind w:left="567" w:hanging="567"/>
        <w:jc w:val="both"/>
        <w:rPr>
          <w:rFonts w:ascii="Arial" w:hAnsi="Arial" w:cs="Arial"/>
          <w:b/>
          <w:highlight w:val="yellow"/>
        </w:rPr>
      </w:pPr>
      <w:r w:rsidRPr="009B74CB">
        <w:rPr>
          <w:rFonts w:ascii="Arial" w:hAnsi="Arial" w:cs="Arial"/>
          <w:b/>
        </w:rPr>
        <w:t>4.4</w:t>
      </w:r>
      <w:r w:rsidRPr="009B74CB">
        <w:rPr>
          <w:rFonts w:ascii="Arial" w:hAnsi="Arial" w:cs="Arial"/>
          <w:b/>
        </w:rPr>
        <w:tab/>
        <w:t>Special warnings and precautions for use:</w:t>
      </w:r>
    </w:p>
    <w:tbl>
      <w:tblPr>
        <w:tblStyle w:val="TableGrid"/>
        <w:tblW w:w="9776" w:type="dxa"/>
        <w:tblLayout w:type="fixed"/>
        <w:tblLook w:val="04A0" w:firstRow="1" w:lastRow="0" w:firstColumn="1" w:lastColumn="0" w:noHBand="0" w:noVBand="1"/>
      </w:tblPr>
      <w:tblGrid>
        <w:gridCol w:w="9776"/>
      </w:tblGrid>
      <w:tr w:rsidR="009B74CB" w:rsidRPr="009B74CB" w14:paraId="466BDF43" w14:textId="77777777" w:rsidTr="009B74CB">
        <w:tc>
          <w:tcPr>
            <w:tcW w:w="9776" w:type="dxa"/>
            <w:tcBorders>
              <w:top w:val="single" w:sz="4" w:space="0" w:color="auto"/>
              <w:left w:val="single" w:sz="4" w:space="0" w:color="auto"/>
              <w:bottom w:val="single" w:sz="4" w:space="0" w:color="auto"/>
              <w:right w:val="single" w:sz="4" w:space="0" w:color="auto"/>
            </w:tcBorders>
            <w:hideMark/>
          </w:tcPr>
          <w:p w14:paraId="6F3103CE" w14:textId="77777777" w:rsidR="009B74CB" w:rsidRPr="009B74CB" w:rsidRDefault="009B74CB" w:rsidP="000C2019">
            <w:pPr>
              <w:widowControl w:val="0"/>
              <w:spacing w:line="480" w:lineRule="auto"/>
              <w:jc w:val="both"/>
              <w:rPr>
                <w:rFonts w:ascii="Arial" w:hAnsi="Arial" w:cs="Arial"/>
                <w:bCs/>
              </w:rPr>
            </w:pPr>
            <w:r w:rsidRPr="009B74CB">
              <w:rPr>
                <w:rFonts w:ascii="Arial" w:hAnsi="Arial" w:cs="Arial"/>
                <w:bCs/>
                <w:lang w:val="en-GB"/>
              </w:rPr>
              <w:t>INDOMETHACIN BIOTECH 25</w:t>
            </w:r>
            <w:r w:rsidRPr="009B74CB">
              <w:rPr>
                <w:rFonts w:ascii="Arial" w:hAnsi="Arial" w:cs="Arial"/>
                <w:bCs/>
              </w:rPr>
              <w:t xml:space="preserve"> may predispose to cardiovascular events, gastrointestinal events, or cutaneous reactions which may be fatal.</w:t>
            </w:r>
          </w:p>
        </w:tc>
      </w:tr>
    </w:tbl>
    <w:p w14:paraId="3360D6B2" w14:textId="77777777" w:rsidR="009B74CB" w:rsidRPr="009B74CB" w:rsidRDefault="009B74CB" w:rsidP="000C2019">
      <w:pPr>
        <w:widowControl w:val="0"/>
        <w:spacing w:after="0" w:line="480" w:lineRule="auto"/>
        <w:jc w:val="both"/>
        <w:rPr>
          <w:rFonts w:ascii="Arial" w:hAnsi="Arial" w:cs="Arial"/>
          <w:bCs/>
        </w:rPr>
      </w:pPr>
    </w:p>
    <w:p w14:paraId="25193DD6" w14:textId="77777777" w:rsidR="009B74CB" w:rsidRPr="009B74CB" w:rsidRDefault="009B74CB" w:rsidP="000C2019">
      <w:pPr>
        <w:widowControl w:val="0"/>
        <w:spacing w:after="0" w:line="480" w:lineRule="auto"/>
        <w:ind w:right="-255"/>
        <w:jc w:val="both"/>
        <w:rPr>
          <w:rFonts w:ascii="Arial" w:hAnsi="Arial" w:cs="Arial"/>
          <w:color w:val="000000"/>
          <w:lang w:val="en-GB"/>
        </w:rPr>
      </w:pPr>
      <w:r w:rsidRPr="009B74CB">
        <w:rPr>
          <w:rFonts w:ascii="Arial" w:hAnsi="Arial" w:cs="Arial"/>
          <w:color w:val="000000"/>
          <w:lang w:val="en-GB"/>
        </w:rPr>
        <w:t>Severe hypokalaemia and renal tubular acidosis have been reported due to prolonged use of NSAIDs, such as INDOMETHACIN BIOTECH 25 at higher than recommended doses (see sections 4.8 and 4.9). Presenting signs and symptoms included reduced level of consciousness and generalised weakness. NSAID-induced renal tubular acidosis should be considered in patients with unexplained hypokalaemia and metabolic acidosis.</w:t>
      </w:r>
    </w:p>
    <w:p w14:paraId="5466060B" w14:textId="77777777" w:rsidR="009B74CB" w:rsidRPr="009B74CB" w:rsidRDefault="009B74CB" w:rsidP="000C2019">
      <w:pPr>
        <w:widowControl w:val="0"/>
        <w:tabs>
          <w:tab w:val="left" w:pos="916"/>
        </w:tabs>
        <w:spacing w:after="0" w:line="480" w:lineRule="auto"/>
        <w:jc w:val="both"/>
        <w:rPr>
          <w:rFonts w:ascii="Arial" w:hAnsi="Arial" w:cs="Arial"/>
          <w:bCs/>
        </w:rPr>
      </w:pPr>
    </w:p>
    <w:p w14:paraId="6902C2E3" w14:textId="77777777" w:rsidR="009B74CB" w:rsidRPr="009B74CB" w:rsidRDefault="009B74CB" w:rsidP="000C2019">
      <w:pPr>
        <w:widowControl w:val="0"/>
        <w:tabs>
          <w:tab w:val="left" w:pos="916"/>
        </w:tabs>
        <w:spacing w:after="0" w:line="480" w:lineRule="auto"/>
        <w:jc w:val="both"/>
        <w:rPr>
          <w:rFonts w:ascii="Arial" w:hAnsi="Arial" w:cs="Arial"/>
          <w:bCs/>
        </w:rPr>
      </w:pPr>
      <w:r w:rsidRPr="009B74CB">
        <w:rPr>
          <w:rFonts w:ascii="Arial" w:hAnsi="Arial" w:cs="Arial"/>
          <w:bCs/>
        </w:rPr>
        <w:t>Undesirable effects may be minimised by using the lowest effective dose for the shortest duration necessary to control symptoms (see section 4.2).</w:t>
      </w:r>
    </w:p>
    <w:p w14:paraId="29FB7813" w14:textId="77777777" w:rsidR="009B74CB" w:rsidRPr="009B74CB" w:rsidRDefault="009B74CB" w:rsidP="000C2019">
      <w:pPr>
        <w:widowControl w:val="0"/>
        <w:tabs>
          <w:tab w:val="left" w:pos="916"/>
        </w:tabs>
        <w:spacing w:after="0" w:line="480" w:lineRule="auto"/>
        <w:jc w:val="both"/>
        <w:rPr>
          <w:rFonts w:ascii="Arial" w:hAnsi="Arial" w:cs="Arial"/>
          <w:bCs/>
          <w:highlight w:val="yellow"/>
        </w:rPr>
      </w:pPr>
    </w:p>
    <w:p w14:paraId="2F3A432D"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 xml:space="preserve">The use of </w:t>
      </w:r>
      <w:r w:rsidRPr="009B74CB">
        <w:rPr>
          <w:rFonts w:ascii="Arial" w:hAnsi="Arial" w:cs="Arial"/>
          <w:bCs/>
          <w:lang w:val="en-GB"/>
        </w:rPr>
        <w:t>INDOMETHACIN BIOTECH 25 with concomitant NSAIDs, including cyclooxygenase-2 selective inhibitors, should be avoided (see section 4.5).</w:t>
      </w:r>
    </w:p>
    <w:p w14:paraId="692FD9C1"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lang w:val="en-GB"/>
        </w:rPr>
        <w:t>INDOMETHACIN BIOTECH 25</w:t>
      </w:r>
      <w:r w:rsidRPr="009B74CB">
        <w:rPr>
          <w:rFonts w:ascii="Arial" w:hAnsi="Arial" w:cs="Arial"/>
          <w:bCs/>
        </w:rPr>
        <w:t xml:space="preserve"> should be used cautiously in patients with impaired renal function and bleeding disorders, as it may tend to aggravate these. </w:t>
      </w:r>
      <w:r w:rsidRPr="009B74CB">
        <w:rPr>
          <w:rFonts w:ascii="Arial" w:hAnsi="Arial" w:cs="Arial"/>
          <w:bCs/>
          <w:lang w:val="en-GB"/>
        </w:rPr>
        <w:t>INDOMETHACIN BIOTECH 25</w:t>
      </w:r>
      <w:r w:rsidRPr="009B74CB">
        <w:rPr>
          <w:rFonts w:ascii="Arial" w:hAnsi="Arial" w:cs="Arial"/>
          <w:bCs/>
        </w:rPr>
        <w:t xml:space="preserve"> is </w:t>
      </w:r>
      <w:r w:rsidRPr="009B74CB">
        <w:rPr>
          <w:rFonts w:ascii="Arial" w:hAnsi="Arial" w:cs="Arial"/>
          <w:bCs/>
        </w:rPr>
        <w:lastRenderedPageBreak/>
        <w:t>contraindicated in patients with severe renal failure, psychiatric disorders, epilepsy or Parkinsonism (see section 4.3).</w:t>
      </w:r>
    </w:p>
    <w:p w14:paraId="6BC1BB18"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Patients should be carefully observed to detect any unusual manifestations of medicine sensitivity.</w:t>
      </w:r>
    </w:p>
    <w:p w14:paraId="02337CD6" w14:textId="77777777" w:rsidR="009B74CB" w:rsidRPr="009B74CB" w:rsidRDefault="009B74CB" w:rsidP="000C2019">
      <w:pPr>
        <w:widowControl w:val="0"/>
        <w:spacing w:after="0" w:line="480" w:lineRule="auto"/>
        <w:jc w:val="both"/>
        <w:rPr>
          <w:rFonts w:ascii="Arial" w:hAnsi="Arial" w:cs="Arial"/>
          <w:bCs/>
        </w:rPr>
      </w:pPr>
    </w:p>
    <w:p w14:paraId="0C48CDA0" w14:textId="77777777" w:rsidR="009B74CB" w:rsidRPr="009B74CB" w:rsidRDefault="009B74CB" w:rsidP="000C2019">
      <w:pPr>
        <w:widowControl w:val="0"/>
        <w:spacing w:after="0" w:line="480" w:lineRule="auto"/>
        <w:jc w:val="both"/>
        <w:rPr>
          <w:rFonts w:ascii="Arial" w:hAnsi="Arial" w:cs="Arial"/>
          <w:b/>
        </w:rPr>
      </w:pPr>
      <w:r w:rsidRPr="009B74CB">
        <w:rPr>
          <w:rFonts w:ascii="Arial" w:hAnsi="Arial" w:cs="Arial"/>
          <w:b/>
        </w:rPr>
        <w:t>Cardiovascular and cerebrovascular effects</w:t>
      </w:r>
    </w:p>
    <w:p w14:paraId="60052939" w14:textId="77777777"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r w:rsidRPr="009B74CB">
        <w:rPr>
          <w:color w:val="000000"/>
          <w:sz w:val="22"/>
          <w:szCs w:val="22"/>
          <w:lang w:val="en-US" w:bidi="en-US"/>
        </w:rPr>
        <w:t>Appropriate monitoring and advice are required for patients with a history of hypertension, as fluid retention and oedema have been reported in association with NSAID therapy (see below).</w:t>
      </w:r>
    </w:p>
    <w:p w14:paraId="410B6616"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lang w:val="en-US" w:bidi="en-US"/>
        </w:rPr>
      </w:pPr>
      <w:r w:rsidRPr="009B74CB">
        <w:rPr>
          <w:color w:val="000000"/>
          <w:sz w:val="22"/>
          <w:szCs w:val="22"/>
          <w:lang w:val="en-US" w:bidi="en-US"/>
        </w:rPr>
        <w:t>Clinical trial and epidemiological data suggest that use of some NSAIDs (particularly at high doses and in long</w:t>
      </w:r>
      <w:r w:rsidRPr="009B74CB">
        <w:rPr>
          <w:strike/>
          <w:color w:val="000000"/>
          <w:sz w:val="22"/>
          <w:szCs w:val="22"/>
          <w:lang w:val="en-US" w:bidi="en-US"/>
        </w:rPr>
        <w:t xml:space="preserve"> </w:t>
      </w:r>
      <w:r w:rsidRPr="009B74CB">
        <w:rPr>
          <w:color w:val="000000"/>
          <w:sz w:val="22"/>
          <w:szCs w:val="22"/>
          <w:lang w:val="en-US" w:bidi="en-US"/>
        </w:rPr>
        <w:t xml:space="preserve">term treatment) may be associated with a small increased risk of arterial thrombotic events (for example myocardial infarction or stroke). </w:t>
      </w:r>
    </w:p>
    <w:p w14:paraId="6D58243E"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lang w:val="en-US" w:bidi="en-US"/>
        </w:rPr>
      </w:pPr>
      <w:r w:rsidRPr="009B74CB">
        <w:rPr>
          <w:color w:val="000000"/>
          <w:sz w:val="22"/>
          <w:szCs w:val="22"/>
          <w:lang w:val="en-US" w:bidi="en-US"/>
        </w:rPr>
        <w:t>There are insufficient data to exclude such a risk for I</w:t>
      </w:r>
      <w:r w:rsidRPr="009B74CB">
        <w:rPr>
          <w:bCs/>
          <w:color w:val="000000"/>
          <w:sz w:val="22"/>
          <w:szCs w:val="22"/>
          <w:lang w:val="en-GB" w:bidi="en-US"/>
        </w:rPr>
        <w:t>NDOMETHACIN BIOTECH 25</w:t>
      </w:r>
      <w:r w:rsidRPr="009B74CB">
        <w:rPr>
          <w:color w:val="000000"/>
          <w:sz w:val="22"/>
          <w:szCs w:val="22"/>
          <w:lang w:val="en-US" w:bidi="en-US"/>
        </w:rPr>
        <w:t>.</w:t>
      </w:r>
    </w:p>
    <w:p w14:paraId="69735EF3" w14:textId="23E89CA0"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lang w:val="en-US" w:bidi="en-US"/>
        </w:rPr>
      </w:pPr>
      <w:r w:rsidRPr="009B74CB">
        <w:rPr>
          <w:color w:val="000000"/>
          <w:sz w:val="22"/>
          <w:szCs w:val="22"/>
          <w:lang w:val="en-US" w:bidi="en-US"/>
        </w:rPr>
        <w:t xml:space="preserve">Patients with uncontrolled hypertension </w:t>
      </w:r>
      <w:r w:rsidRPr="009B74CB">
        <w:rPr>
          <w:color w:val="000000"/>
          <w:sz w:val="22"/>
          <w:szCs w:val="22"/>
          <w:lang w:bidi="en-US"/>
        </w:rPr>
        <w:t xml:space="preserve">should only be treated with </w:t>
      </w:r>
      <w:r w:rsidRPr="009B74CB">
        <w:rPr>
          <w:bCs/>
          <w:color w:val="000000"/>
          <w:sz w:val="22"/>
          <w:szCs w:val="22"/>
          <w:lang w:val="en-GB" w:bidi="en-US"/>
        </w:rPr>
        <w:t>INDOMETHACIN BIOTECH 25</w:t>
      </w:r>
      <w:r w:rsidRPr="009B74CB">
        <w:rPr>
          <w:color w:val="000000"/>
          <w:sz w:val="22"/>
          <w:szCs w:val="22"/>
          <w:lang w:bidi="en-US"/>
        </w:rPr>
        <w:t xml:space="preserve"> after careful consideration. </w:t>
      </w:r>
      <w:r w:rsidRPr="009B74CB">
        <w:rPr>
          <w:color w:val="000000"/>
          <w:sz w:val="22"/>
          <w:szCs w:val="22"/>
          <w:lang w:val="en-US" w:bidi="en-US"/>
        </w:rPr>
        <w:t>Similar consideration should be made before initiating longer-term treatment of patients with risk factors for cardiovascular disease (</w:t>
      </w:r>
      <w:r w:rsidR="000C2019" w:rsidRPr="009B74CB">
        <w:rPr>
          <w:color w:val="000000"/>
          <w:sz w:val="22"/>
          <w:szCs w:val="22"/>
          <w:lang w:val="en-US" w:bidi="en-US"/>
        </w:rPr>
        <w:t>e.g.,</w:t>
      </w:r>
      <w:r w:rsidRPr="009B74CB">
        <w:rPr>
          <w:color w:val="000000"/>
          <w:sz w:val="22"/>
          <w:szCs w:val="22"/>
          <w:lang w:val="en-US" w:bidi="en-US"/>
        </w:rPr>
        <w:t xml:space="preserve"> hypertension, hyperlipidaemia, diabetes mellitus, smoking).</w:t>
      </w:r>
    </w:p>
    <w:p w14:paraId="0A0E7702" w14:textId="77777777"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r w:rsidRPr="009B74CB">
        <w:rPr>
          <w:bCs/>
          <w:color w:val="000000"/>
          <w:sz w:val="22"/>
          <w:szCs w:val="22"/>
          <w:lang w:val="en-GB" w:bidi="en-US"/>
        </w:rPr>
        <w:t>INDOMETHACIN BIOTECH 25 is contraindicated in patients with</w:t>
      </w:r>
      <w:r w:rsidRPr="009B74CB">
        <w:rPr>
          <w:rFonts w:eastAsiaTheme="minorHAnsi"/>
          <w:bCs/>
          <w:sz w:val="22"/>
          <w:szCs w:val="22"/>
        </w:rPr>
        <w:t xml:space="preserve"> </w:t>
      </w:r>
      <w:r w:rsidRPr="009B74CB">
        <w:rPr>
          <w:bCs/>
          <w:color w:val="000000"/>
          <w:sz w:val="22"/>
          <w:szCs w:val="22"/>
          <w:lang w:bidi="en-US"/>
        </w:rPr>
        <w:t>heart failure, established ischaemic heart disease and/or cerebrovascular disease (stroke), and peripheral arterial disease (see section 4.3).</w:t>
      </w:r>
      <w:r w:rsidRPr="009B74CB">
        <w:rPr>
          <w:bCs/>
          <w:color w:val="000000"/>
          <w:sz w:val="22"/>
          <w:szCs w:val="22"/>
          <w:lang w:val="en-GB" w:bidi="en-US"/>
        </w:rPr>
        <w:t xml:space="preserve"> </w:t>
      </w:r>
    </w:p>
    <w:p w14:paraId="67F83C53"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lang w:val="en-US" w:bidi="en-US"/>
        </w:rPr>
      </w:pPr>
    </w:p>
    <w:p w14:paraId="392F29A0" w14:textId="77777777" w:rsidR="009B74CB" w:rsidRPr="009B74CB" w:rsidRDefault="009B74CB" w:rsidP="000C2019">
      <w:pPr>
        <w:widowControl w:val="0"/>
        <w:spacing w:after="0" w:line="480" w:lineRule="auto"/>
        <w:jc w:val="both"/>
        <w:rPr>
          <w:rFonts w:ascii="Arial" w:hAnsi="Arial" w:cs="Arial"/>
          <w:b/>
        </w:rPr>
      </w:pPr>
      <w:r w:rsidRPr="009B74CB">
        <w:rPr>
          <w:rFonts w:ascii="Arial" w:hAnsi="Arial" w:cs="Arial"/>
          <w:b/>
        </w:rPr>
        <w:t>Hypertension:</w:t>
      </w:r>
    </w:p>
    <w:p w14:paraId="615CA10F"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 xml:space="preserve">NSAIDs, including </w:t>
      </w:r>
      <w:r w:rsidRPr="009B74CB">
        <w:rPr>
          <w:rFonts w:ascii="Arial" w:hAnsi="Arial" w:cs="Arial"/>
          <w:bCs/>
          <w:lang w:val="en-GB"/>
        </w:rPr>
        <w:t>INDOMETHACIN BIOTECH 25</w:t>
      </w:r>
      <w:r w:rsidRPr="009B74CB">
        <w:rPr>
          <w:rFonts w:ascii="Arial" w:hAnsi="Arial" w:cs="Arial"/>
          <w:bCs/>
        </w:rPr>
        <w:t>, can lead to onset or exacerbation of hypertension, either of which may contribute to the increased incidence of cardiovascular events.</w:t>
      </w:r>
    </w:p>
    <w:p w14:paraId="399BB6A8"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 xml:space="preserve">Patients taking thiazides or loop diuretics may have impaired response to these therapies when taking NSAIDs. NSAIDs, including </w:t>
      </w:r>
      <w:r w:rsidRPr="009B74CB">
        <w:rPr>
          <w:rFonts w:ascii="Arial" w:hAnsi="Arial" w:cs="Arial"/>
          <w:bCs/>
          <w:lang w:val="en-GB"/>
        </w:rPr>
        <w:t>INDOMETHACIN BIOTECH 25</w:t>
      </w:r>
      <w:r w:rsidRPr="009B74CB">
        <w:rPr>
          <w:rFonts w:ascii="Arial" w:hAnsi="Arial" w:cs="Arial"/>
          <w:bCs/>
        </w:rPr>
        <w:t>, should be used with caution in patients with hypertension.</w:t>
      </w:r>
    </w:p>
    <w:p w14:paraId="25BB2EB0"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Blood pressure (BP) should be monitored closely during the initiation of NSAID treatment and throughout the course of therapy.</w:t>
      </w:r>
    </w:p>
    <w:p w14:paraId="18FADFBF" w14:textId="77777777" w:rsidR="009B74CB" w:rsidRPr="009B74CB" w:rsidRDefault="009B74CB" w:rsidP="000C2019">
      <w:pPr>
        <w:widowControl w:val="0"/>
        <w:spacing w:after="0" w:line="480" w:lineRule="auto"/>
        <w:jc w:val="both"/>
        <w:rPr>
          <w:rFonts w:ascii="Arial" w:hAnsi="Arial" w:cs="Arial"/>
          <w:bCs/>
        </w:rPr>
      </w:pPr>
    </w:p>
    <w:p w14:paraId="6B6652A3"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
        </w:rPr>
        <w:t>Congestive heart failure, fluid retention and oedema:</w:t>
      </w:r>
    </w:p>
    <w:p w14:paraId="11A1572C" w14:textId="2DCD66A4"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Congestive heart failure, fluid retention and peripheral oedema have been observed in some patients taking INDOMETHACIN BIOTECH 25. Thus, INDOMETHACIN BIOTECH 25 should be used with caution in patients with cardiac dysfunction, hypertension or other conditions predisposing to fluid retention.</w:t>
      </w:r>
    </w:p>
    <w:p w14:paraId="7599F811"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In view of the inherent potential of INDOMETHACIN BIOTECH 25 to cause fluid retention, heart failure may be precipitated in some compromised patients.</w:t>
      </w:r>
    </w:p>
    <w:p w14:paraId="2ECE9026" w14:textId="77777777" w:rsidR="009B74CB" w:rsidRPr="009B74CB" w:rsidRDefault="009B74CB" w:rsidP="000C2019">
      <w:pPr>
        <w:widowControl w:val="0"/>
        <w:spacing w:after="0" w:line="480" w:lineRule="auto"/>
        <w:jc w:val="both"/>
        <w:rPr>
          <w:rFonts w:ascii="Arial" w:hAnsi="Arial" w:cs="Arial"/>
          <w:bCs/>
        </w:rPr>
      </w:pPr>
    </w:p>
    <w:p w14:paraId="457CD1E7" w14:textId="77777777" w:rsidR="009B74CB" w:rsidRPr="009B74CB" w:rsidRDefault="009B74CB" w:rsidP="000C2019">
      <w:pPr>
        <w:widowControl w:val="0"/>
        <w:spacing w:after="0" w:line="480" w:lineRule="auto"/>
        <w:jc w:val="both"/>
        <w:rPr>
          <w:rFonts w:ascii="Arial" w:hAnsi="Arial" w:cs="Arial"/>
          <w:b/>
          <w:bCs/>
        </w:rPr>
      </w:pPr>
      <w:r w:rsidRPr="009B74CB">
        <w:rPr>
          <w:rFonts w:ascii="Arial" w:hAnsi="Arial" w:cs="Arial"/>
          <w:b/>
          <w:bCs/>
        </w:rPr>
        <w:t xml:space="preserve">Infection: </w:t>
      </w:r>
    </w:p>
    <w:p w14:paraId="608D6B6D"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bCs/>
          <w:lang w:val="en-GB"/>
        </w:rPr>
        <w:t xml:space="preserve">INDOMETHACIN BIOTECH 25 </w:t>
      </w:r>
      <w:r w:rsidRPr="009B74CB">
        <w:rPr>
          <w:rFonts w:ascii="Arial" w:hAnsi="Arial" w:cs="Arial"/>
        </w:rPr>
        <w:t xml:space="preserve">may mask the signs and symptoms of infection, so antibiotic therapy should be initiated promptly if an infection occurs during therapy with </w:t>
      </w:r>
      <w:r w:rsidRPr="009B74CB">
        <w:rPr>
          <w:rFonts w:ascii="Arial" w:hAnsi="Arial" w:cs="Arial"/>
          <w:bCs/>
          <w:lang w:val="en-GB"/>
        </w:rPr>
        <w:t>INDOMETHACIN BIOTECH 25</w:t>
      </w:r>
      <w:r w:rsidRPr="009B74CB">
        <w:rPr>
          <w:rFonts w:ascii="Arial" w:hAnsi="Arial" w:cs="Arial"/>
        </w:rPr>
        <w:t>. It should be used cautiously in patients with existing but controlled infection. Caution is advised with concomitant use of live vaccines.</w:t>
      </w:r>
    </w:p>
    <w:p w14:paraId="2C5F0CA4" w14:textId="77777777" w:rsidR="009B74CB" w:rsidRPr="009B74CB" w:rsidRDefault="009B74CB" w:rsidP="000C2019">
      <w:pPr>
        <w:widowControl w:val="0"/>
        <w:spacing w:after="0" w:line="480" w:lineRule="auto"/>
        <w:jc w:val="both"/>
        <w:rPr>
          <w:rFonts w:ascii="Arial" w:hAnsi="Arial" w:cs="Arial"/>
          <w:bCs/>
          <w:highlight w:val="yellow"/>
          <w:lang w:val="en-GB"/>
        </w:rPr>
      </w:pPr>
    </w:p>
    <w:p w14:paraId="5574B376" w14:textId="77777777" w:rsidR="009B74CB" w:rsidRPr="009B74CB" w:rsidRDefault="009B74CB" w:rsidP="000C2019">
      <w:pPr>
        <w:widowControl w:val="0"/>
        <w:spacing w:after="0" w:line="480" w:lineRule="auto"/>
        <w:jc w:val="both"/>
        <w:rPr>
          <w:rFonts w:ascii="Arial" w:hAnsi="Arial" w:cs="Arial"/>
          <w:b/>
          <w:lang w:val="en-GB"/>
        </w:rPr>
      </w:pPr>
      <w:r w:rsidRPr="009B74CB">
        <w:rPr>
          <w:rFonts w:ascii="Arial" w:hAnsi="Arial" w:cs="Arial"/>
          <w:b/>
          <w:lang w:val="en-GB"/>
        </w:rPr>
        <w:t>Ocular effects:</w:t>
      </w:r>
    </w:p>
    <w:p w14:paraId="7915A56F"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During prolonged therapy, periodic ophthalmic examinations are recommended, as corneal deposits and retinal disturbances have been reported. In patients with rheumatoid arthritis, eye changes may occur, which may be related to the underlying disease or to the therapy.</w:t>
      </w:r>
    </w:p>
    <w:p w14:paraId="4E787EEC"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Therefore, in chronic rheumatoid disease, ophthalmological examinations are periodic intervals are recommended. Therapy should be discontinued if eye changes are observed.</w:t>
      </w:r>
    </w:p>
    <w:p w14:paraId="7FA9F747" w14:textId="77777777" w:rsidR="009B74CB" w:rsidRPr="009B74CB" w:rsidRDefault="009B74CB" w:rsidP="000C2019">
      <w:pPr>
        <w:widowControl w:val="0"/>
        <w:spacing w:after="0" w:line="480" w:lineRule="auto"/>
        <w:jc w:val="both"/>
        <w:rPr>
          <w:rFonts w:ascii="Arial" w:hAnsi="Arial" w:cs="Arial"/>
        </w:rPr>
      </w:pPr>
    </w:p>
    <w:p w14:paraId="36804CF0" w14:textId="77777777" w:rsidR="009B74CB" w:rsidRPr="009B74CB" w:rsidRDefault="009B74CB" w:rsidP="000C2019">
      <w:pPr>
        <w:widowControl w:val="0"/>
        <w:spacing w:after="0" w:line="480" w:lineRule="auto"/>
        <w:jc w:val="both"/>
        <w:rPr>
          <w:rFonts w:ascii="Arial" w:hAnsi="Arial" w:cs="Arial"/>
          <w:b/>
        </w:rPr>
      </w:pPr>
      <w:r w:rsidRPr="009B74CB">
        <w:rPr>
          <w:rFonts w:ascii="Arial" w:hAnsi="Arial" w:cs="Arial"/>
          <w:b/>
        </w:rPr>
        <w:t>Cardiovascular, renal and hepatic impairment:</w:t>
      </w:r>
    </w:p>
    <w:p w14:paraId="73146DA0"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 xml:space="preserve">In patients with renal, cardiac, hepatic impairment, hypertension or conditions predisposing to fluid retention, caution is required since the use of NSAIDs may result in deterioration of renal function (see section 4.8). The dose should be kept as low as possible and renal function should be monitored. NSAIDs may also cause fluid retention which may further aggravate these conditions. </w:t>
      </w:r>
      <w:r w:rsidRPr="009B74CB">
        <w:rPr>
          <w:rFonts w:ascii="Arial" w:hAnsi="Arial" w:cs="Arial"/>
          <w:bCs/>
          <w:lang w:val="en-GB"/>
        </w:rPr>
        <w:lastRenderedPageBreak/>
        <w:t>INDOMETHACIN BIOTECH 25 is contraindicated in patients with severe renal and hepatic failure (see section 4.3).</w:t>
      </w:r>
    </w:p>
    <w:p w14:paraId="71BE762D" w14:textId="77777777" w:rsidR="009B74CB" w:rsidRPr="009B74CB" w:rsidRDefault="009B74CB" w:rsidP="000C2019">
      <w:pPr>
        <w:widowControl w:val="0"/>
        <w:spacing w:after="0" w:line="480" w:lineRule="auto"/>
        <w:jc w:val="both"/>
        <w:rPr>
          <w:rFonts w:ascii="Arial" w:hAnsi="Arial" w:cs="Arial"/>
          <w:bCs/>
        </w:rPr>
      </w:pPr>
    </w:p>
    <w:p w14:paraId="55EE162D" w14:textId="36F891C4"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There have been reports of acute interstitial nephritis with haematuria, proteinuria, and occasionally nephrotic syndrome in patients receiving long-term administration of INDOMETHACIN BIOTECH 25.</w:t>
      </w:r>
      <w:r w:rsidR="000C2019">
        <w:rPr>
          <w:rFonts w:ascii="Arial" w:hAnsi="Arial" w:cs="Arial"/>
          <w:bCs/>
        </w:rPr>
        <w:t xml:space="preserve"> </w:t>
      </w:r>
      <w:r w:rsidRPr="009B74CB">
        <w:rPr>
          <w:rFonts w:ascii="Arial" w:hAnsi="Arial" w:cs="Arial"/>
          <w:bCs/>
        </w:rPr>
        <w:t>Long-term administration of NSAIDs has resulted in renal papillary necrosis and other renal injury.</w:t>
      </w:r>
    </w:p>
    <w:p w14:paraId="29D59105" w14:textId="77777777" w:rsidR="009B74CB" w:rsidRPr="009B74CB" w:rsidRDefault="009B74CB" w:rsidP="000C2019">
      <w:pPr>
        <w:widowControl w:val="0"/>
        <w:spacing w:after="0" w:line="480" w:lineRule="auto"/>
        <w:jc w:val="both"/>
        <w:rPr>
          <w:rFonts w:ascii="Arial" w:hAnsi="Arial" w:cs="Arial"/>
          <w:bCs/>
        </w:rPr>
      </w:pPr>
    </w:p>
    <w:p w14:paraId="233E5E1C" w14:textId="1599CDA2"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In patients with reduced renal blood flow where renal prostaglandins play a major role in maintaining renal perfusion, administration of a NSAID may precipitate overt renal decompensation. The administration of an NSAID may cause a dose dependent reduction in prostaglandin formation and precipitate renal failure. Patients at greatest risk of this</w:t>
      </w:r>
      <w:r w:rsidR="000C2019">
        <w:rPr>
          <w:rFonts w:ascii="Arial" w:hAnsi="Arial" w:cs="Arial"/>
          <w:bCs/>
        </w:rPr>
        <w:t xml:space="preserve"> </w:t>
      </w:r>
      <w:r w:rsidRPr="009B74CB">
        <w:rPr>
          <w:rFonts w:ascii="Arial" w:hAnsi="Arial" w:cs="Arial"/>
          <w:bCs/>
        </w:rPr>
        <w:t>reaction, are those with impaired renal function, cardiac impairment, liver dysfunction, those taking diuretics, the elderly, diabetes mellitus, extracellular volume depletion, congestive heart failure, sepsis, or concomitant use of any nephrotoxic medicine. INDOMETHACIN BIOTECH 25 should be given with caution and renal function should be monitored in these patients (see section 4.3). Discontinuation of NSAID therapy is usually followed by recovery to the pre-treatment state.</w:t>
      </w:r>
    </w:p>
    <w:p w14:paraId="2AAD0C8D" w14:textId="77777777" w:rsidR="009B74CB" w:rsidRPr="009B74CB" w:rsidRDefault="009B74CB" w:rsidP="000C2019">
      <w:pPr>
        <w:widowControl w:val="0"/>
        <w:spacing w:after="0" w:line="480" w:lineRule="auto"/>
        <w:jc w:val="both"/>
        <w:rPr>
          <w:rFonts w:ascii="Arial" w:hAnsi="Arial" w:cs="Arial"/>
          <w:b/>
        </w:rPr>
      </w:pPr>
    </w:p>
    <w:p w14:paraId="4BC73AED"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Since INDOMETHACIN BIOTECH 25 is eliminated primarily by the kidneys (see section 5: Elimination), patients with significantly impaired renal function should not be treated with INDOMETHACIN BIOTECH 25.</w:t>
      </w:r>
    </w:p>
    <w:p w14:paraId="352C730C" w14:textId="77777777" w:rsidR="009B74CB" w:rsidRPr="009B74CB" w:rsidRDefault="009B74CB" w:rsidP="000C2019">
      <w:pPr>
        <w:widowControl w:val="0"/>
        <w:spacing w:after="0" w:line="480" w:lineRule="auto"/>
        <w:jc w:val="both"/>
        <w:rPr>
          <w:rFonts w:ascii="Arial" w:hAnsi="Arial" w:cs="Arial"/>
          <w:b/>
        </w:rPr>
      </w:pPr>
    </w:p>
    <w:p w14:paraId="05466689" w14:textId="77777777" w:rsidR="009B74CB" w:rsidRPr="009B74CB" w:rsidRDefault="009B74CB" w:rsidP="000C2019">
      <w:pPr>
        <w:widowControl w:val="0"/>
        <w:spacing w:after="0" w:line="480" w:lineRule="auto"/>
        <w:jc w:val="both"/>
        <w:rPr>
          <w:rFonts w:ascii="Arial" w:hAnsi="Arial" w:cs="Arial"/>
          <w:b/>
        </w:rPr>
      </w:pPr>
      <w:r w:rsidRPr="009B74CB">
        <w:rPr>
          <w:rFonts w:ascii="Arial" w:hAnsi="Arial" w:cs="Arial"/>
          <w:b/>
        </w:rPr>
        <w:t>Elderly patients:</w:t>
      </w:r>
    </w:p>
    <w:p w14:paraId="78D83AB5" w14:textId="77777777" w:rsidR="009B74CB" w:rsidRPr="009B74CB" w:rsidRDefault="009B74CB" w:rsidP="000C2019">
      <w:pPr>
        <w:widowControl w:val="0"/>
        <w:spacing w:after="0" w:line="480" w:lineRule="auto"/>
        <w:jc w:val="both"/>
        <w:rPr>
          <w:rFonts w:ascii="Arial" w:hAnsi="Arial" w:cs="Arial"/>
          <w:bCs/>
          <w:lang w:val="en-US"/>
        </w:rPr>
      </w:pPr>
      <w:r w:rsidRPr="009B74CB">
        <w:rPr>
          <w:rFonts w:ascii="Arial" w:hAnsi="Arial" w:cs="Arial"/>
          <w:bCs/>
          <w:lang w:val="en-US"/>
        </w:rPr>
        <w:t>Elderly patients may be especially susceptible to the toxic effects of INDOMETHACIN BIOTECH 25.</w:t>
      </w:r>
    </w:p>
    <w:p w14:paraId="1A5120A7" w14:textId="18D6B5E2"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Elderly patients have</w:t>
      </w:r>
      <w:r w:rsidRPr="009B74CB">
        <w:rPr>
          <w:rFonts w:ascii="Arial" w:hAnsi="Arial" w:cs="Arial"/>
          <w:b/>
        </w:rPr>
        <w:t xml:space="preserve"> </w:t>
      </w:r>
      <w:r w:rsidRPr="009B74CB">
        <w:rPr>
          <w:rFonts w:ascii="Arial" w:hAnsi="Arial" w:cs="Arial"/>
          <w:bCs/>
        </w:rPr>
        <w:t>an increased frequency of adverse reactions to NSAIDs especially gastrointestinal perforation, ulceration, and bleeding (PUBs) which may be fatal.</w:t>
      </w:r>
    </w:p>
    <w:p w14:paraId="355E538D" w14:textId="77777777" w:rsidR="009B74CB" w:rsidRPr="009B74CB" w:rsidRDefault="009B74CB" w:rsidP="000C2019">
      <w:pPr>
        <w:widowControl w:val="0"/>
        <w:spacing w:after="0" w:line="480" w:lineRule="auto"/>
        <w:jc w:val="both"/>
        <w:rPr>
          <w:rFonts w:ascii="Arial" w:hAnsi="Arial" w:cs="Arial"/>
        </w:rPr>
      </w:pPr>
    </w:p>
    <w:p w14:paraId="7EB81A7E" w14:textId="77777777" w:rsidR="009B74CB" w:rsidRPr="009B74CB" w:rsidRDefault="009B74CB" w:rsidP="000C2019">
      <w:pPr>
        <w:widowControl w:val="0"/>
        <w:spacing w:after="0" w:line="480" w:lineRule="auto"/>
        <w:jc w:val="both"/>
        <w:rPr>
          <w:rFonts w:ascii="Arial" w:hAnsi="Arial" w:cs="Arial"/>
          <w:b/>
        </w:rPr>
      </w:pPr>
      <w:r w:rsidRPr="009B74CB">
        <w:rPr>
          <w:rFonts w:ascii="Arial" w:hAnsi="Arial" w:cs="Arial"/>
          <w:b/>
        </w:rPr>
        <w:lastRenderedPageBreak/>
        <w:t>Respiratory disorders:</w:t>
      </w:r>
    </w:p>
    <w:p w14:paraId="77DD3E8B" w14:textId="77777777"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r w:rsidRPr="009B74CB">
        <w:rPr>
          <w:color w:val="000000"/>
          <w:sz w:val="22"/>
          <w:szCs w:val="22"/>
        </w:rPr>
        <w:t>Caution is required if administered to patients suffering from, or with a previous history of, bronchial asthma since NSAIDs have been reported to precipitate bronchospasm in such patients.</w:t>
      </w:r>
    </w:p>
    <w:p w14:paraId="7DB5548D"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p>
    <w:p w14:paraId="3079A161" w14:textId="77777777" w:rsidR="009B74CB" w:rsidRPr="009B74CB" w:rsidRDefault="009B74CB" w:rsidP="000C2019">
      <w:pPr>
        <w:pStyle w:val="MSGENFONTSTYLENAMETEMPLATEROLENUMBERMSGENFONTSTYLENAMEBYROLETEXT20"/>
        <w:spacing w:before="0" w:after="0" w:line="480" w:lineRule="auto"/>
        <w:jc w:val="both"/>
        <w:rPr>
          <w:b/>
          <w:bCs/>
          <w:color w:val="000000"/>
          <w:sz w:val="22"/>
          <w:szCs w:val="22"/>
        </w:rPr>
      </w:pPr>
      <w:r w:rsidRPr="009B74CB">
        <w:rPr>
          <w:b/>
          <w:bCs/>
          <w:color w:val="000000"/>
          <w:sz w:val="22"/>
          <w:szCs w:val="22"/>
        </w:rPr>
        <w:t>Drug reaction with eosinophilia and systemic symptoms (DRESS):</w:t>
      </w:r>
    </w:p>
    <w:p w14:paraId="4530DF54" w14:textId="77777777" w:rsidR="009B74CB" w:rsidRPr="009B74CB" w:rsidRDefault="009B74CB" w:rsidP="000C2019">
      <w:pPr>
        <w:pStyle w:val="MSGENFONTSTYLENAMETEMPLATEROLENUMBERMSGENFONTSTYLENAMEBYROLETEXT20"/>
        <w:spacing w:before="0" w:after="0" w:line="480" w:lineRule="auto"/>
        <w:jc w:val="both"/>
        <w:rPr>
          <w:color w:val="000000"/>
          <w:sz w:val="22"/>
          <w:szCs w:val="22"/>
        </w:rPr>
      </w:pPr>
      <w:r w:rsidRPr="009B74CB">
        <w:rPr>
          <w:color w:val="000000"/>
          <w:sz w:val="22"/>
          <w:szCs w:val="22"/>
        </w:rPr>
        <w:t>DRESS has been reported in patients taking NSAIDs, such as INDOMETHACIN BIOTECH 25, Some of these events have been fatal or life-threatening. DRESS typically, although not exclusively, presents with fever, rash, lymphadenopathy, and/or facial swelling. Other clinical manifestations may include hepatitis, nephritis, haematological abnormalities, myocarditis, or myositis. Sometimes symptoms of DRESS may resemble an acute viral infection. Eosinophilia is often present. Because this disorder is variable in its presentation, other organ systems not noted here may be involved. It is important to note that early manifestations of hypersensitivity, such as fever or lymphadenopathy, may be present even though rash is not evident. If such signs or symptoms are present, discontinue INDOMETHACIN BIOTECH 25 and evaluate the patient immediately.</w:t>
      </w:r>
    </w:p>
    <w:p w14:paraId="7EF4723A"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p>
    <w:p w14:paraId="02CF1DAD" w14:textId="77777777" w:rsidR="009B74CB" w:rsidRPr="009B74CB" w:rsidRDefault="009B74CB" w:rsidP="000C2019">
      <w:pPr>
        <w:pStyle w:val="MSGENFONTSTYLENAMETEMPLATEROLENUMBERMSGENFONTSTYLENAMEBYROLETEXT30"/>
        <w:shd w:val="clear" w:color="auto" w:fill="auto"/>
        <w:tabs>
          <w:tab w:val="left" w:pos="208"/>
        </w:tabs>
        <w:spacing w:line="480" w:lineRule="auto"/>
        <w:rPr>
          <w:b/>
          <w:bCs/>
          <w:i w:val="0"/>
          <w:iCs w:val="0"/>
          <w:sz w:val="22"/>
          <w:szCs w:val="22"/>
        </w:rPr>
      </w:pPr>
      <w:r w:rsidRPr="009B74CB">
        <w:rPr>
          <w:b/>
          <w:bCs/>
          <w:i w:val="0"/>
          <w:iCs w:val="0"/>
          <w:color w:val="000000"/>
          <w:sz w:val="22"/>
          <w:szCs w:val="22"/>
        </w:rPr>
        <w:t>Gastrointestinal (GI) effects:</w:t>
      </w:r>
    </w:p>
    <w:p w14:paraId="5EB21A09" w14:textId="77777777" w:rsidR="009B74CB" w:rsidRPr="009B74CB" w:rsidRDefault="009B74CB" w:rsidP="000C2019">
      <w:pPr>
        <w:pStyle w:val="MSGENFONTSTYLENAMETEMPLATEROLENUMBERMSGENFONTSTYLENAMEBYROLETEXT30"/>
        <w:shd w:val="clear" w:color="auto" w:fill="auto"/>
        <w:tabs>
          <w:tab w:val="left" w:pos="208"/>
        </w:tabs>
        <w:spacing w:line="480" w:lineRule="auto"/>
        <w:rPr>
          <w:b/>
          <w:bCs/>
          <w:i w:val="0"/>
          <w:iCs w:val="0"/>
          <w:color w:val="000000"/>
          <w:sz w:val="22"/>
          <w:szCs w:val="22"/>
          <w:highlight w:val="yellow"/>
        </w:rPr>
      </w:pPr>
      <w:r w:rsidRPr="009B74CB">
        <w:rPr>
          <w:i w:val="0"/>
          <w:iCs w:val="0"/>
          <w:sz w:val="22"/>
          <w:szCs w:val="22"/>
        </w:rPr>
        <w:t>Gastrointestinal disturbances may be minimised by giving INDOMETHACIN BIOTECH 25 orally with food, milk or an antacid</w:t>
      </w:r>
      <w:r w:rsidRPr="009B74CB">
        <w:rPr>
          <w:i w:val="0"/>
          <w:iCs w:val="0"/>
          <w:sz w:val="22"/>
          <w:szCs w:val="22"/>
          <w:lang w:val="en-US"/>
        </w:rPr>
        <w:t>, although the bioavailability of the medicine may be reduced with antacids containing aluminium hydroxide, magnesium carbonate and magnesium hydroxide</w:t>
      </w:r>
      <w:r w:rsidRPr="009B74CB">
        <w:rPr>
          <w:i w:val="0"/>
          <w:iCs w:val="0"/>
          <w:sz w:val="22"/>
          <w:szCs w:val="22"/>
        </w:rPr>
        <w:t>. Gastrointestinal disturbances usually disappear on reducing the dosage; if not, the risks of continuing therapy should be weighed against the possible benefits.</w:t>
      </w:r>
    </w:p>
    <w:p w14:paraId="719DC135" w14:textId="77777777" w:rsidR="009B74CB" w:rsidRPr="009B74CB" w:rsidRDefault="009B74CB" w:rsidP="000C2019">
      <w:pPr>
        <w:pStyle w:val="MSGENFONTSTYLENAMETEMPLATEROLENUMBERMSGENFONTSTYLENAMEBYROLETEXT30"/>
        <w:shd w:val="clear" w:color="auto" w:fill="auto"/>
        <w:tabs>
          <w:tab w:val="left" w:pos="208"/>
        </w:tabs>
        <w:spacing w:line="480" w:lineRule="auto"/>
        <w:rPr>
          <w:i w:val="0"/>
          <w:iCs w:val="0"/>
          <w:sz w:val="22"/>
          <w:szCs w:val="22"/>
        </w:rPr>
      </w:pPr>
    </w:p>
    <w:p w14:paraId="4C09FB59" w14:textId="645CFF8C"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r w:rsidRPr="009B74CB">
        <w:rPr>
          <w:color w:val="000000"/>
          <w:sz w:val="22"/>
          <w:szCs w:val="22"/>
        </w:rPr>
        <w:t>Caution is advised in patients with pre-existing sigmoid lesions (such as diverticulum or carcinoma), or the development of these conditions, or a history of gastrointestinal disease (</w:t>
      </w:r>
      <w:r w:rsidR="000C2019" w:rsidRPr="009B74CB">
        <w:rPr>
          <w:color w:val="000000"/>
          <w:sz w:val="22"/>
          <w:szCs w:val="22"/>
        </w:rPr>
        <w:t>e.g.,</w:t>
      </w:r>
      <w:r w:rsidRPr="009B74CB">
        <w:rPr>
          <w:color w:val="000000"/>
          <w:sz w:val="22"/>
          <w:szCs w:val="22"/>
        </w:rPr>
        <w:t xml:space="preserve"> ulcerative colitis, Crohn’s disease, hiatus hernia, gastroesophageal reflux disease, angiodysplasia, as </w:t>
      </w:r>
      <w:r w:rsidRPr="009B74CB">
        <w:rPr>
          <w:bCs/>
          <w:color w:val="000000"/>
          <w:sz w:val="22"/>
          <w:szCs w:val="22"/>
          <w:lang w:val="en-GB"/>
        </w:rPr>
        <w:t>INDOMETHACIN BIOTECH 25</w:t>
      </w:r>
      <w:r w:rsidRPr="009B74CB">
        <w:rPr>
          <w:color w:val="000000"/>
          <w:sz w:val="22"/>
          <w:szCs w:val="22"/>
        </w:rPr>
        <w:t xml:space="preserve"> can aggravate these conditions.</w:t>
      </w:r>
    </w:p>
    <w:p w14:paraId="35FC7128"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r w:rsidRPr="009B74CB">
        <w:rPr>
          <w:color w:val="000000"/>
          <w:sz w:val="22"/>
          <w:szCs w:val="22"/>
        </w:rPr>
        <w:t xml:space="preserve">Patients with a history of Gl toxicity, particularly when elderly, should report any unusual abdominal </w:t>
      </w:r>
      <w:r w:rsidRPr="009B74CB">
        <w:rPr>
          <w:color w:val="000000"/>
          <w:sz w:val="22"/>
          <w:szCs w:val="22"/>
        </w:rPr>
        <w:lastRenderedPageBreak/>
        <w:t>symptoms (especially Gl bleeding) particularly during the initial stages of treatment.</w:t>
      </w:r>
      <w:r w:rsidRPr="009B74CB">
        <w:rPr>
          <w:sz w:val="22"/>
          <w:szCs w:val="22"/>
        </w:rPr>
        <w:t xml:space="preserve"> </w:t>
      </w:r>
      <w:r w:rsidRPr="009B74CB">
        <w:rPr>
          <w:color w:val="000000"/>
          <w:sz w:val="22"/>
          <w:szCs w:val="22"/>
        </w:rPr>
        <w:t xml:space="preserve">Gl bleeding, ulceration or perforation, which can be fatal, has been reported with all NSAIDs at any time during treatment, with or without warning symptoms or previous history of serious Gl events. When Gl bleeding or ulceration occurs in patients receiving </w:t>
      </w:r>
      <w:r w:rsidRPr="009B74CB">
        <w:rPr>
          <w:bCs/>
          <w:color w:val="000000"/>
          <w:sz w:val="22"/>
          <w:szCs w:val="22"/>
          <w:lang w:val="en-GB"/>
        </w:rPr>
        <w:t>INDOMETHACIN BIOTECH 25</w:t>
      </w:r>
      <w:r w:rsidRPr="009B74CB">
        <w:rPr>
          <w:color w:val="000000"/>
          <w:sz w:val="22"/>
          <w:szCs w:val="22"/>
        </w:rPr>
        <w:t>, the treatment should be withdrawn.</w:t>
      </w:r>
    </w:p>
    <w:p w14:paraId="308DCD9F" w14:textId="77777777"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p>
    <w:p w14:paraId="4B16082E"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r w:rsidRPr="009B74CB">
        <w:rPr>
          <w:color w:val="000000"/>
          <w:sz w:val="22"/>
          <w:szCs w:val="22"/>
        </w:rPr>
        <w:t>The risk of Gl bleeding, ulceration or perforation is higher with increasing NSAID doses, in patients with a history of ulcer, particularly if complicated with haemorrhage or perforation (see section 4.3), and in the elderly. These patients should commence treatment on the lowest dose available.</w:t>
      </w:r>
    </w:p>
    <w:p w14:paraId="2744A820" w14:textId="77777777"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p>
    <w:p w14:paraId="0FF29E2F" w14:textId="36ED64DE"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r w:rsidRPr="009B74CB">
        <w:rPr>
          <w:color w:val="000000"/>
          <w:sz w:val="22"/>
          <w:szCs w:val="22"/>
        </w:rPr>
        <w:t>Combination therapy with protective medicines (</w:t>
      </w:r>
      <w:r w:rsidR="000C2019" w:rsidRPr="009B74CB">
        <w:rPr>
          <w:color w:val="000000"/>
          <w:sz w:val="22"/>
          <w:szCs w:val="22"/>
        </w:rPr>
        <w:t>e.g.,</w:t>
      </w:r>
      <w:r w:rsidRPr="009B74CB">
        <w:rPr>
          <w:color w:val="000000"/>
          <w:sz w:val="22"/>
          <w:szCs w:val="22"/>
        </w:rPr>
        <w:t xml:space="preserve"> misoprostol or proton pump inhibitors) should be considered for these patients, and also for patients requiring concomitant low dose aspirin, or other medicines likely to increase gastrointestinal risk (see below and section 4.5).</w:t>
      </w:r>
    </w:p>
    <w:p w14:paraId="69AB1A48"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p>
    <w:p w14:paraId="641C389C"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r w:rsidRPr="009B74CB">
        <w:rPr>
          <w:color w:val="000000"/>
          <w:sz w:val="22"/>
          <w:szCs w:val="22"/>
        </w:rPr>
        <w:t>Caution should be advised in patients receiving concomitant medicines which could increase the risk of ulceration or bleeding, such as oral corticosteroids, anticoagulants such as warfarin, selective serotonin reuptake inhibitors, or anti</w:t>
      </w:r>
      <w:r w:rsidRPr="009B74CB">
        <w:rPr>
          <w:color w:val="000000"/>
          <w:sz w:val="22"/>
          <w:szCs w:val="22"/>
        </w:rPr>
        <w:softHyphen/>
        <w:t>platelet medicines such as aspirin (see section 4.5).</w:t>
      </w:r>
    </w:p>
    <w:p w14:paraId="29B4AD90"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p>
    <w:p w14:paraId="13732E94" w14:textId="77777777" w:rsidR="009B74CB" w:rsidRPr="009B74CB" w:rsidRDefault="009B74CB" w:rsidP="000C2019">
      <w:pPr>
        <w:pStyle w:val="MSGENFONTSTYLENAMETEMPLATEROLENUMBERMSGENFONTSTYLENAMEBYROLETEXT30"/>
        <w:shd w:val="clear" w:color="auto" w:fill="auto"/>
        <w:tabs>
          <w:tab w:val="left" w:pos="208"/>
        </w:tabs>
        <w:spacing w:line="480" w:lineRule="auto"/>
        <w:rPr>
          <w:b/>
          <w:bCs/>
          <w:i w:val="0"/>
          <w:iCs w:val="0"/>
          <w:sz w:val="22"/>
          <w:szCs w:val="22"/>
        </w:rPr>
      </w:pPr>
      <w:r w:rsidRPr="009B74CB">
        <w:rPr>
          <w:b/>
          <w:bCs/>
          <w:i w:val="0"/>
          <w:iCs w:val="0"/>
          <w:color w:val="000000"/>
          <w:sz w:val="22"/>
          <w:szCs w:val="22"/>
        </w:rPr>
        <w:t>Systemic lupus erythematosus (SLE) and mixed connective tissue disease:</w:t>
      </w:r>
    </w:p>
    <w:p w14:paraId="44CE9F42"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r w:rsidRPr="009B74CB">
        <w:rPr>
          <w:color w:val="000000"/>
          <w:sz w:val="22"/>
          <w:szCs w:val="22"/>
        </w:rPr>
        <w:t>In patients with SLE and mixed connective tissue disorders there may be an increased risk of aseptic meningitis (see section 4.8).</w:t>
      </w:r>
    </w:p>
    <w:p w14:paraId="45C0895B" w14:textId="77777777"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p>
    <w:p w14:paraId="066254DC" w14:textId="77777777" w:rsidR="009B74CB" w:rsidRPr="009B74CB" w:rsidRDefault="009B74CB" w:rsidP="000C2019">
      <w:pPr>
        <w:pStyle w:val="MSGENFONTSTYLENAMETEMPLATEROLENUMBERMSGENFONTSTYLENAMEBYROLETEXT20"/>
        <w:shd w:val="clear" w:color="auto" w:fill="auto"/>
        <w:spacing w:before="0" w:after="0" w:line="480" w:lineRule="auto"/>
        <w:jc w:val="both"/>
        <w:rPr>
          <w:b/>
          <w:bCs/>
          <w:color w:val="000000"/>
          <w:sz w:val="22"/>
          <w:szCs w:val="22"/>
        </w:rPr>
      </w:pPr>
      <w:r w:rsidRPr="009B74CB">
        <w:rPr>
          <w:b/>
          <w:bCs/>
          <w:color w:val="000000"/>
          <w:sz w:val="22"/>
          <w:szCs w:val="22"/>
        </w:rPr>
        <w:t>Platelet aggregation:</w:t>
      </w:r>
    </w:p>
    <w:p w14:paraId="055E2583"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sz w:val="22"/>
          <w:szCs w:val="22"/>
        </w:rPr>
      </w:pPr>
      <w:r w:rsidRPr="009B74CB">
        <w:rPr>
          <w:color w:val="000000"/>
          <w:sz w:val="22"/>
          <w:szCs w:val="22"/>
        </w:rPr>
        <w:t>INDOMETHACIN BIOTECH 25 should be used with caution in patients with coagulation defects as INDOMETHACIN BIOTECH 25 can inhibit platelet aggregation. This effect may be exaggerated in patients with underlying haemostatic defects. Inhibition of platelet aggregation usually disappears within 24 hours of discontinuing INDOMETHACIN BIOTECH 25.</w:t>
      </w:r>
    </w:p>
    <w:p w14:paraId="07D1BECD" w14:textId="77777777" w:rsidR="009B74CB" w:rsidRPr="009B74CB" w:rsidRDefault="009B74CB" w:rsidP="000C2019">
      <w:pPr>
        <w:pStyle w:val="MSGENFONTSTYLENAMETEMPLATEROLENUMBERMSGENFONTSTYLENAMEBYROLETEXT20"/>
        <w:shd w:val="clear" w:color="auto" w:fill="auto"/>
        <w:tabs>
          <w:tab w:val="left" w:pos="208"/>
        </w:tabs>
        <w:spacing w:before="0" w:after="0" w:line="480" w:lineRule="auto"/>
        <w:jc w:val="both"/>
        <w:rPr>
          <w:color w:val="000000"/>
          <w:sz w:val="22"/>
          <w:szCs w:val="22"/>
        </w:rPr>
      </w:pPr>
    </w:p>
    <w:p w14:paraId="14917865" w14:textId="77777777" w:rsidR="009B74CB" w:rsidRPr="009B74CB" w:rsidRDefault="009B74CB" w:rsidP="000C2019">
      <w:pPr>
        <w:pStyle w:val="MSGENFONTSTYLENAMETEMPLATEROLENUMBERMSGENFONTSTYLENAMEBYROLETEXT20"/>
        <w:shd w:val="clear" w:color="auto" w:fill="auto"/>
        <w:tabs>
          <w:tab w:val="left" w:pos="208"/>
        </w:tabs>
        <w:spacing w:before="0" w:after="0" w:line="480" w:lineRule="auto"/>
        <w:jc w:val="both"/>
        <w:rPr>
          <w:sz w:val="22"/>
          <w:szCs w:val="22"/>
        </w:rPr>
      </w:pPr>
      <w:r w:rsidRPr="009B74CB">
        <w:rPr>
          <w:color w:val="000000"/>
          <w:sz w:val="22"/>
          <w:szCs w:val="22"/>
        </w:rPr>
        <w:t>Caution is required in post-operative patients as bleeding time is prolonged (but within normal range) in normal adults.</w:t>
      </w:r>
    </w:p>
    <w:p w14:paraId="2BC47DD4"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p>
    <w:p w14:paraId="2C1BFE44"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r w:rsidRPr="009B74CB">
        <w:rPr>
          <w:color w:val="000000"/>
          <w:sz w:val="22"/>
          <w:szCs w:val="22"/>
        </w:rPr>
        <w:t>Because of its lack of platelet effects, INDOMETHACIN BIOTECH 25 is not a substitute for aspirin for cardiovascular prophylaxis.</w:t>
      </w:r>
    </w:p>
    <w:p w14:paraId="48F63EC9"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p>
    <w:p w14:paraId="29D374D2"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b/>
          <w:bCs/>
          <w:color w:val="000000"/>
          <w:sz w:val="22"/>
          <w:szCs w:val="22"/>
        </w:rPr>
      </w:pPr>
      <w:r w:rsidRPr="009B74CB">
        <w:rPr>
          <w:b/>
          <w:bCs/>
          <w:color w:val="000000"/>
          <w:sz w:val="22"/>
          <w:szCs w:val="22"/>
        </w:rPr>
        <w:t>Central nervous system effects:</w:t>
      </w:r>
    </w:p>
    <w:p w14:paraId="303560ED"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r w:rsidRPr="009B74CB">
        <w:rPr>
          <w:color w:val="000000"/>
          <w:sz w:val="22"/>
          <w:szCs w:val="22"/>
        </w:rPr>
        <w:t>Headache, sometimes accompanied by dizziness or light-headedness may occur, usually early in treatment with INDOMETHACIN BIOTECH 25.</w:t>
      </w:r>
    </w:p>
    <w:p w14:paraId="0AD42643"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p>
    <w:p w14:paraId="07CC9ABB"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r w:rsidRPr="009B74CB">
        <w:rPr>
          <w:color w:val="000000"/>
          <w:sz w:val="22"/>
          <w:szCs w:val="22"/>
        </w:rPr>
        <w:t>Starting therapy with a low dosage and increasing it gradually may minimise the incidence of headache. These symptoms may disappear on continuing therapy or with reducing the dosage. If headache persists despite dosage reduction, INDOMETHACIN BIOTECH 25 should be withdrawn.</w:t>
      </w:r>
    </w:p>
    <w:p w14:paraId="4F58A8DC"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p>
    <w:p w14:paraId="1752F137" w14:textId="77777777" w:rsidR="009B74CB" w:rsidRPr="009B74CB" w:rsidRDefault="009B74CB" w:rsidP="000C2019">
      <w:pPr>
        <w:pStyle w:val="MSGENFONTSTYLENAMETEMPLATEROLENUMBERMSGENFONTSTYLENAMEBYROLETEXT20"/>
        <w:tabs>
          <w:tab w:val="left" w:pos="213"/>
        </w:tabs>
        <w:spacing w:before="0" w:after="0" w:line="480" w:lineRule="auto"/>
        <w:jc w:val="both"/>
        <w:rPr>
          <w:b/>
          <w:bCs/>
          <w:color w:val="000000"/>
          <w:sz w:val="22"/>
          <w:szCs w:val="22"/>
        </w:rPr>
      </w:pPr>
      <w:r w:rsidRPr="009B74CB">
        <w:rPr>
          <w:b/>
          <w:bCs/>
          <w:color w:val="000000"/>
          <w:sz w:val="22"/>
          <w:szCs w:val="22"/>
        </w:rPr>
        <w:t>Use in pregnancy:</w:t>
      </w:r>
    </w:p>
    <w:p w14:paraId="63FC9708" w14:textId="77777777" w:rsidR="009B74CB" w:rsidRPr="009B74CB" w:rsidRDefault="009B74CB" w:rsidP="000C2019">
      <w:pPr>
        <w:pStyle w:val="MSGENFONTSTYLENAMETEMPLATEROLENUMBERMSGENFONTSTYLENAMEBYROLETEXT20"/>
        <w:tabs>
          <w:tab w:val="left" w:pos="213"/>
        </w:tabs>
        <w:spacing w:before="0" w:after="0" w:line="480" w:lineRule="auto"/>
        <w:jc w:val="both"/>
        <w:rPr>
          <w:color w:val="000000"/>
          <w:sz w:val="22"/>
          <w:szCs w:val="22"/>
        </w:rPr>
      </w:pPr>
      <w:r w:rsidRPr="009B74CB">
        <w:rPr>
          <w:color w:val="000000"/>
          <w:sz w:val="22"/>
          <w:szCs w:val="22"/>
        </w:rPr>
        <w:t>INDOMETHACIN BIOTECH 25 is contraindicated during pregnancy (see section 4.3).</w:t>
      </w:r>
    </w:p>
    <w:p w14:paraId="6C3AF5C1" w14:textId="77777777" w:rsidR="009B74CB" w:rsidRPr="009B74CB" w:rsidRDefault="009B74CB" w:rsidP="000C2019">
      <w:pPr>
        <w:pStyle w:val="MSGENFONTSTYLENAMETEMPLATEROLENUMBERMSGENFONTSTYLENAMEBYROLETEXT20"/>
        <w:tabs>
          <w:tab w:val="left" w:pos="213"/>
        </w:tabs>
        <w:spacing w:before="0" w:after="0" w:line="480" w:lineRule="auto"/>
        <w:jc w:val="both"/>
        <w:rPr>
          <w:b/>
          <w:bCs/>
          <w:color w:val="000000"/>
          <w:sz w:val="22"/>
          <w:szCs w:val="22"/>
        </w:rPr>
      </w:pPr>
      <w:r w:rsidRPr="009B74CB">
        <w:rPr>
          <w:sz w:val="22"/>
          <w:szCs w:val="22"/>
          <w:shd w:val="clear" w:color="auto" w:fill="FFFFFF"/>
        </w:rPr>
        <w:t>The use of NSAIDs, such as INDOMETHACIN BIOTECH 25, around 20 weeks gestation or later in pregnancy may cause a rare but serious foetal renal dysfunction leading to oligohydramnios and, in some cases</w:t>
      </w:r>
      <w:r w:rsidRPr="009B74CB">
        <w:rPr>
          <w:rStyle w:val="markedcontent"/>
          <w:sz w:val="22"/>
          <w:szCs w:val="22"/>
          <w:shd w:val="clear" w:color="auto" w:fill="FFFFFF"/>
        </w:rPr>
        <w:t>,</w:t>
      </w:r>
      <w:r w:rsidRPr="009B74CB">
        <w:rPr>
          <w:sz w:val="22"/>
          <w:szCs w:val="22"/>
          <w:shd w:val="clear" w:color="auto" w:fill="FFFFFF"/>
        </w:rPr>
        <w:t xml:space="preserve"> neonatal renal impairment. Complications of prolonged oligohydramnios include limb contractures and delayed lung maturation, which may require invasive procedures such as exchange transfusion or dialysis, in some cases (see section 4.6).</w:t>
      </w:r>
    </w:p>
    <w:p w14:paraId="2CF2E3E0"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p>
    <w:p w14:paraId="7D1CDE77"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b/>
          <w:bCs/>
          <w:color w:val="000000"/>
          <w:sz w:val="22"/>
          <w:szCs w:val="22"/>
        </w:rPr>
      </w:pPr>
      <w:r w:rsidRPr="009B74CB">
        <w:rPr>
          <w:b/>
          <w:bCs/>
          <w:color w:val="000000"/>
          <w:sz w:val="22"/>
          <w:szCs w:val="22"/>
        </w:rPr>
        <w:t>Hepatic effects:</w:t>
      </w:r>
    </w:p>
    <w:p w14:paraId="578F701E"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r w:rsidRPr="009B74CB">
        <w:rPr>
          <w:color w:val="000000"/>
          <w:sz w:val="22"/>
          <w:szCs w:val="22"/>
        </w:rPr>
        <w:t>INDOMETHACIN BIOTECH 25 may cause a rise in liver enzymes.</w:t>
      </w:r>
    </w:p>
    <w:p w14:paraId="34CD1686"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r w:rsidRPr="009B74CB">
        <w:rPr>
          <w:color w:val="000000"/>
          <w:sz w:val="22"/>
          <w:szCs w:val="22"/>
        </w:rPr>
        <w:t xml:space="preserve">Significant (3-times the upper limit of normal) elevations of ALT (SGPT) or AST (SGOT) in controlled clinical trials have been reported in less than 1 % of patients receiving therapy with NSAIDs such as </w:t>
      </w:r>
      <w:r w:rsidRPr="009B74CB">
        <w:rPr>
          <w:color w:val="000000"/>
          <w:sz w:val="22"/>
          <w:szCs w:val="22"/>
        </w:rPr>
        <w:lastRenderedPageBreak/>
        <w:t>INDOMETHACIN BIOTECH 25.</w:t>
      </w:r>
    </w:p>
    <w:p w14:paraId="3AE5F489"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p>
    <w:p w14:paraId="22E30E27"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r w:rsidRPr="009B74CB">
        <w:rPr>
          <w:color w:val="000000"/>
          <w:sz w:val="22"/>
          <w:szCs w:val="22"/>
        </w:rPr>
        <w:t>A patient with symptoms and/or signs suggesting liver dysfunction, or in whom an abnormal liver test has occurred, should be evaluated for evidence of development of more severe hepatic reactions while on therapy with INDOMETHACIN BIOTECH 25.</w:t>
      </w:r>
    </w:p>
    <w:p w14:paraId="7BA2B499" w14:textId="0E0AD028"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r w:rsidRPr="009B74CB">
        <w:rPr>
          <w:color w:val="000000"/>
          <w:sz w:val="22"/>
          <w:szCs w:val="22"/>
        </w:rPr>
        <w:t>If abnormal liver tests persist or worsen, if clinical signs and symptoms consistent with liver disease develop, or if systemic manifestations occur (</w:t>
      </w:r>
      <w:r w:rsidR="000C2019" w:rsidRPr="009B74CB">
        <w:rPr>
          <w:color w:val="000000"/>
          <w:sz w:val="22"/>
          <w:szCs w:val="22"/>
        </w:rPr>
        <w:t>e.g.,</w:t>
      </w:r>
      <w:r w:rsidRPr="009B74CB">
        <w:rPr>
          <w:color w:val="000000"/>
          <w:sz w:val="22"/>
          <w:szCs w:val="22"/>
        </w:rPr>
        <w:t xml:space="preserve"> eosinophilia, rash, etc.), therapy should be discontinued.</w:t>
      </w:r>
    </w:p>
    <w:p w14:paraId="2BF747E5" w14:textId="77777777" w:rsidR="009B74CB" w:rsidRPr="009B74CB" w:rsidRDefault="009B74CB" w:rsidP="000C2019">
      <w:pPr>
        <w:pStyle w:val="MSGENFONTSTYLENAMETEMPLATEROLENUMBERMSGENFONTSTYLENAMEBYROLETEXT20"/>
        <w:shd w:val="clear" w:color="auto" w:fill="auto"/>
        <w:tabs>
          <w:tab w:val="left" w:pos="213"/>
        </w:tabs>
        <w:spacing w:before="0" w:after="0" w:line="480" w:lineRule="auto"/>
        <w:jc w:val="both"/>
        <w:rPr>
          <w:color w:val="000000"/>
          <w:sz w:val="22"/>
          <w:szCs w:val="22"/>
        </w:rPr>
      </w:pPr>
    </w:p>
    <w:p w14:paraId="488DEED6" w14:textId="77777777" w:rsidR="009B74CB" w:rsidRPr="009B74CB" w:rsidRDefault="009B74CB" w:rsidP="000C2019">
      <w:pPr>
        <w:pStyle w:val="MSGENFONTSTYLENAMETEMPLATEROLENUMBERMSGENFONTSTYLENAMEBYROLETEXT20"/>
        <w:shd w:val="clear" w:color="auto" w:fill="auto"/>
        <w:tabs>
          <w:tab w:val="left" w:pos="208"/>
        </w:tabs>
        <w:spacing w:before="0" w:after="0" w:line="480" w:lineRule="auto"/>
        <w:jc w:val="both"/>
        <w:rPr>
          <w:b/>
          <w:bCs/>
          <w:sz w:val="22"/>
          <w:szCs w:val="22"/>
        </w:rPr>
      </w:pPr>
      <w:r w:rsidRPr="009B74CB">
        <w:rPr>
          <w:b/>
          <w:bCs/>
          <w:color w:val="000000"/>
          <w:sz w:val="22"/>
          <w:szCs w:val="22"/>
        </w:rPr>
        <w:t>Medication overuse headache (MOH):</w:t>
      </w:r>
    </w:p>
    <w:p w14:paraId="08106EFF" w14:textId="77777777"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r w:rsidRPr="009B74CB">
        <w:rPr>
          <w:color w:val="000000"/>
          <w:sz w:val="22"/>
          <w:szCs w:val="22"/>
        </w:rPr>
        <w:t>After long-term treatment with analgesics, headache may develop or aggravate. Headache caused by overuse of analgesics, MOH, should be suspected in patients who have frequent or daily headaches despite (or because of) regular use of analgesics. Patients with MOH should not be treated by increasing the dose. In such cases the use of analgesics should be discontinued in consultation with a doctor.</w:t>
      </w:r>
    </w:p>
    <w:p w14:paraId="797EEBA6"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p>
    <w:p w14:paraId="1523364B" w14:textId="77777777" w:rsidR="009B74CB" w:rsidRPr="009B74CB" w:rsidRDefault="009B74CB" w:rsidP="000C2019">
      <w:pPr>
        <w:pStyle w:val="MSGENFONTSTYLENAMETEMPLATEROLENUMBERMSGENFONTSTYLENAMEBYROLETEXT20"/>
        <w:shd w:val="clear" w:color="auto" w:fill="auto"/>
        <w:tabs>
          <w:tab w:val="left" w:pos="208"/>
        </w:tabs>
        <w:spacing w:before="0" w:after="0" w:line="480" w:lineRule="auto"/>
        <w:jc w:val="both"/>
        <w:rPr>
          <w:sz w:val="22"/>
          <w:szCs w:val="22"/>
        </w:rPr>
      </w:pPr>
      <w:r w:rsidRPr="009B74CB">
        <w:rPr>
          <w:color w:val="000000"/>
          <w:sz w:val="22"/>
          <w:szCs w:val="22"/>
        </w:rPr>
        <w:t>Avoid concomitant use of two or more NSAIDs.</w:t>
      </w:r>
    </w:p>
    <w:p w14:paraId="02E69FCF" w14:textId="77777777" w:rsidR="009B74CB" w:rsidRPr="009B74CB" w:rsidRDefault="009B74CB" w:rsidP="000C2019">
      <w:pPr>
        <w:pStyle w:val="MSGENFONTSTYLENAMETEMPLATEROLENUMBERMSGENFONTSTYLENAMEBYROLETEXT20"/>
        <w:shd w:val="clear" w:color="auto" w:fill="auto"/>
        <w:tabs>
          <w:tab w:val="left" w:pos="208"/>
        </w:tabs>
        <w:spacing w:before="0" w:after="0" w:line="480" w:lineRule="auto"/>
        <w:jc w:val="both"/>
        <w:rPr>
          <w:color w:val="000000"/>
          <w:sz w:val="22"/>
          <w:szCs w:val="22"/>
        </w:rPr>
      </w:pPr>
    </w:p>
    <w:p w14:paraId="648D8364" w14:textId="77777777" w:rsidR="009B74CB" w:rsidRPr="009B74CB" w:rsidRDefault="009B74CB" w:rsidP="000C2019">
      <w:pPr>
        <w:pStyle w:val="MSGENFONTSTYLENAMETEMPLATEROLENUMBERMSGENFONTSTYLENAMEBYROLETEXT20"/>
        <w:shd w:val="clear" w:color="auto" w:fill="auto"/>
        <w:tabs>
          <w:tab w:val="left" w:pos="208"/>
        </w:tabs>
        <w:spacing w:before="0" w:after="0" w:line="480" w:lineRule="auto"/>
        <w:jc w:val="both"/>
        <w:rPr>
          <w:b/>
          <w:bCs/>
          <w:color w:val="000000"/>
          <w:sz w:val="22"/>
          <w:szCs w:val="22"/>
        </w:rPr>
      </w:pPr>
      <w:r w:rsidRPr="009B74CB">
        <w:rPr>
          <w:b/>
          <w:bCs/>
          <w:sz w:val="22"/>
          <w:szCs w:val="22"/>
        </w:rPr>
        <w:t>Skin reactions:</w:t>
      </w:r>
    </w:p>
    <w:p w14:paraId="23F68034"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r w:rsidRPr="009B74CB">
        <w:rPr>
          <w:color w:val="000000"/>
          <w:sz w:val="22"/>
          <w:szCs w:val="22"/>
        </w:rPr>
        <w:t xml:space="preserve">Serious skin reactions, some of them fatal, including exfoliative dermatitis, Stevens-Johnson syndrome, and toxic epidermal necrolysis (TEN), have been reported in association with the use of NSAIDs (see section 4.8). </w:t>
      </w:r>
    </w:p>
    <w:p w14:paraId="42A11273" w14:textId="77777777"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r w:rsidRPr="009B74CB">
        <w:rPr>
          <w:color w:val="000000"/>
          <w:sz w:val="22"/>
          <w:szCs w:val="22"/>
        </w:rPr>
        <w:t>Patients appear to be at highest risk for these reactions early in the course of therapy: the onset of the reaction occurring in the</w:t>
      </w:r>
      <w:r w:rsidRPr="009B74CB">
        <w:rPr>
          <w:sz w:val="22"/>
          <w:szCs w:val="22"/>
        </w:rPr>
        <w:t xml:space="preserve"> </w:t>
      </w:r>
      <w:r w:rsidRPr="009B74CB">
        <w:rPr>
          <w:color w:val="000000"/>
          <w:sz w:val="22"/>
          <w:szCs w:val="22"/>
        </w:rPr>
        <w:t>majority of cases within the first month of treatment. INDOMETHACIN BIOTECH 25 should be discontinued at the first appearance of skin rash, mucosal lesions, and any other sign of hypersensitivity.</w:t>
      </w:r>
    </w:p>
    <w:p w14:paraId="384D8B29"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p>
    <w:p w14:paraId="11E08561" w14:textId="77777777" w:rsidR="009B74CB" w:rsidRPr="009B74CB" w:rsidRDefault="009B74CB" w:rsidP="000C2019">
      <w:pPr>
        <w:pStyle w:val="MSGENFONTSTYLENAMETEMPLATEROLENUMBERMSGENFONTSTYLENAMEBYROLETEXT20"/>
        <w:shd w:val="clear" w:color="auto" w:fill="auto"/>
        <w:spacing w:before="0" w:after="0" w:line="480" w:lineRule="auto"/>
        <w:jc w:val="both"/>
        <w:rPr>
          <w:b/>
          <w:bCs/>
          <w:color w:val="000000"/>
          <w:sz w:val="22"/>
          <w:szCs w:val="22"/>
        </w:rPr>
      </w:pPr>
      <w:r w:rsidRPr="009B74CB">
        <w:rPr>
          <w:b/>
          <w:bCs/>
          <w:color w:val="000000"/>
          <w:sz w:val="22"/>
          <w:szCs w:val="22"/>
        </w:rPr>
        <w:lastRenderedPageBreak/>
        <w:t xml:space="preserve">Plasma potassium: </w:t>
      </w:r>
    </w:p>
    <w:p w14:paraId="6D6999C6" w14:textId="77777777"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r w:rsidRPr="009B74CB">
        <w:rPr>
          <w:color w:val="000000"/>
          <w:sz w:val="22"/>
          <w:szCs w:val="22"/>
        </w:rPr>
        <w:t>Increases in plasma potassium concentration, including hyperkalaemia have been reported, even in some patients without renal impairment. In patients with normal renal function, these effects have been attributed to a hyporeninaemic-hypoaldosteronism state.</w:t>
      </w:r>
    </w:p>
    <w:p w14:paraId="073D4256"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p>
    <w:p w14:paraId="54268507"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r w:rsidRPr="009B74CB">
        <w:rPr>
          <w:b/>
          <w:bCs/>
          <w:color w:val="000000"/>
          <w:sz w:val="22"/>
          <w:szCs w:val="22"/>
        </w:rPr>
        <w:t>General:</w:t>
      </w:r>
    </w:p>
    <w:p w14:paraId="64CA48B0"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r w:rsidRPr="009B74CB">
        <w:rPr>
          <w:color w:val="000000"/>
          <w:sz w:val="22"/>
          <w:szCs w:val="22"/>
        </w:rPr>
        <w:t>Patients should be periodically observed to allow early detection of any unwanted effects on peripheral blood (anaemia), liver function (see section 4.8), or gastrointestinal tract especially during prolonged therapy.</w:t>
      </w:r>
    </w:p>
    <w:p w14:paraId="3F537E66"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p>
    <w:p w14:paraId="0124EF91" w14:textId="77777777" w:rsidR="009B74CB" w:rsidRPr="009B74CB" w:rsidRDefault="009B74CB" w:rsidP="000C2019">
      <w:pPr>
        <w:pStyle w:val="MSGENFONTSTYLENAMETEMPLATEROLENUMBERMSGENFONTSTYLENAMEBYROLETEXT20"/>
        <w:shd w:val="clear" w:color="auto" w:fill="auto"/>
        <w:spacing w:before="0" w:after="0" w:line="480" w:lineRule="auto"/>
        <w:jc w:val="both"/>
        <w:rPr>
          <w:b/>
          <w:bCs/>
          <w:color w:val="000000"/>
          <w:sz w:val="22"/>
          <w:szCs w:val="22"/>
        </w:rPr>
      </w:pPr>
      <w:r w:rsidRPr="009B74CB">
        <w:rPr>
          <w:b/>
          <w:bCs/>
          <w:color w:val="000000"/>
          <w:sz w:val="22"/>
          <w:szCs w:val="22"/>
        </w:rPr>
        <w:t>Paediatric population:</w:t>
      </w:r>
    </w:p>
    <w:p w14:paraId="01073F5B"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r w:rsidRPr="009B74CB">
        <w:rPr>
          <w:color w:val="000000"/>
          <w:sz w:val="22"/>
          <w:szCs w:val="22"/>
        </w:rPr>
        <w:t xml:space="preserve">The safety of INDOMETHACIN BIOTECH 25 in children has not been established (see section 4.3). </w:t>
      </w:r>
    </w:p>
    <w:p w14:paraId="0E1649F3" w14:textId="77777777" w:rsidR="009B74CB" w:rsidRPr="009B74CB" w:rsidRDefault="009B74CB" w:rsidP="000C2019">
      <w:pPr>
        <w:widowControl w:val="0"/>
        <w:spacing w:after="0" w:line="480" w:lineRule="auto"/>
        <w:jc w:val="both"/>
        <w:rPr>
          <w:rFonts w:ascii="Arial" w:hAnsi="Arial" w:cs="Arial"/>
        </w:rPr>
      </w:pPr>
    </w:p>
    <w:p w14:paraId="081F9D9F" w14:textId="77777777" w:rsidR="009B74CB" w:rsidRPr="009B74CB" w:rsidRDefault="009B74CB" w:rsidP="000C2019">
      <w:pPr>
        <w:widowControl w:val="0"/>
        <w:spacing w:after="0" w:line="480" w:lineRule="auto"/>
        <w:ind w:left="567" w:hanging="567"/>
        <w:jc w:val="both"/>
        <w:rPr>
          <w:rFonts w:ascii="Arial" w:hAnsi="Arial" w:cs="Arial"/>
          <w:b/>
          <w:noProof/>
          <w:highlight w:val="yellow"/>
          <w:lang w:val="en-GB"/>
        </w:rPr>
      </w:pPr>
      <w:r w:rsidRPr="009B74CB">
        <w:rPr>
          <w:rFonts w:ascii="Arial" w:hAnsi="Arial" w:cs="Arial"/>
          <w:b/>
          <w:noProof/>
          <w:lang w:val="en-GB"/>
        </w:rPr>
        <w:t>4.5</w:t>
      </w:r>
      <w:r w:rsidRPr="009B74CB">
        <w:rPr>
          <w:rFonts w:ascii="Arial" w:hAnsi="Arial" w:cs="Arial"/>
          <w:b/>
          <w:noProof/>
          <w:lang w:val="en-GB"/>
        </w:rPr>
        <w:tab/>
        <w:t>Interaction with other medicines and other forms of interaction:</w:t>
      </w:r>
    </w:p>
    <w:p w14:paraId="3FEE99A4"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INDOMETHACIN BIOTECH 25 inhibits platelet aggregation but is not a substitute for aspirin for cardiovascular prophylaxis.</w:t>
      </w:r>
    </w:p>
    <w:p w14:paraId="3F89059A"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There is no consistent evidence that concurrent use of aspirin mitigates the increased risk of serious cardiovascular thrombotic events associated with INDOMETHACIN BIOTECH 25.</w:t>
      </w:r>
    </w:p>
    <w:p w14:paraId="06A8BF03" w14:textId="77777777" w:rsidR="009B74CB" w:rsidRPr="009B74CB" w:rsidRDefault="009B74CB" w:rsidP="000C2019">
      <w:pPr>
        <w:widowControl w:val="0"/>
        <w:spacing w:after="0" w:line="480" w:lineRule="auto"/>
        <w:jc w:val="both"/>
        <w:rPr>
          <w:rFonts w:ascii="Arial" w:hAnsi="Arial" w:cs="Arial"/>
        </w:rPr>
      </w:pPr>
    </w:p>
    <w:p w14:paraId="12B4964E"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b/>
          <w:bCs/>
        </w:rPr>
        <w:t>Other analgesics, including cyclooxygenase-2 selective inhibitors:</w:t>
      </w:r>
      <w:r w:rsidRPr="009B74CB">
        <w:rPr>
          <w:rFonts w:ascii="Arial" w:hAnsi="Arial" w:cs="Arial"/>
        </w:rPr>
        <w:t xml:space="preserve"> </w:t>
      </w:r>
    </w:p>
    <w:p w14:paraId="34F6FB5D"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 xml:space="preserve">The concomitant use of INDOMETHACIN BIOTECH 25 with other NSAIDs is not recommended, due to the increased possibility of gastrointestinal toxicity, with little or no increase in efficacy </w:t>
      </w:r>
    </w:p>
    <w:p w14:paraId="0215EE23" w14:textId="77777777" w:rsidR="009B74CB" w:rsidRPr="009B74CB" w:rsidRDefault="009B74CB" w:rsidP="000C2019">
      <w:pPr>
        <w:widowControl w:val="0"/>
        <w:spacing w:after="0" w:line="480" w:lineRule="auto"/>
        <w:jc w:val="both"/>
        <w:rPr>
          <w:rFonts w:ascii="Arial" w:hAnsi="Arial" w:cs="Arial"/>
          <w:b/>
          <w:bCs/>
        </w:rPr>
      </w:pPr>
    </w:p>
    <w:p w14:paraId="1E5D75E8"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Avoid concomitant use of two or more NSAIDs (including aspirin) as this may increase the risk of adverse effects (see section 4.4).</w:t>
      </w:r>
    </w:p>
    <w:p w14:paraId="0280F9D0" w14:textId="77777777" w:rsidR="009B74CB" w:rsidRPr="009B74CB" w:rsidRDefault="009B74CB" w:rsidP="000C2019">
      <w:pPr>
        <w:widowControl w:val="0"/>
        <w:spacing w:after="0" w:line="480" w:lineRule="auto"/>
        <w:jc w:val="both"/>
        <w:rPr>
          <w:rFonts w:ascii="Arial" w:hAnsi="Arial" w:cs="Arial"/>
        </w:rPr>
      </w:pPr>
    </w:p>
    <w:p w14:paraId="28FC5158" w14:textId="77777777" w:rsidR="009B74CB" w:rsidRPr="009B74CB" w:rsidRDefault="009B74CB" w:rsidP="000C2019">
      <w:pPr>
        <w:widowControl w:val="0"/>
        <w:spacing w:after="0" w:line="480" w:lineRule="auto"/>
        <w:jc w:val="both"/>
        <w:rPr>
          <w:rFonts w:ascii="Arial" w:hAnsi="Arial" w:cs="Arial"/>
          <w:b/>
          <w:bCs/>
        </w:rPr>
      </w:pPr>
      <w:r w:rsidRPr="009B74CB">
        <w:rPr>
          <w:rFonts w:ascii="Arial" w:hAnsi="Arial" w:cs="Arial"/>
          <w:b/>
          <w:bCs/>
        </w:rPr>
        <w:t xml:space="preserve">Antacids: </w:t>
      </w:r>
    </w:p>
    <w:p w14:paraId="72C959F6"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lastRenderedPageBreak/>
        <w:t>The bioavailability of INDOMETHACIN BIOTECH 25 may be reduced by concomitant antacid therapy.</w:t>
      </w:r>
    </w:p>
    <w:p w14:paraId="318D1DAA" w14:textId="77777777" w:rsidR="009B74CB" w:rsidRPr="009B74CB" w:rsidRDefault="009B74CB" w:rsidP="000C2019">
      <w:pPr>
        <w:widowControl w:val="0"/>
        <w:spacing w:after="0" w:line="480" w:lineRule="auto"/>
        <w:jc w:val="both"/>
        <w:rPr>
          <w:rFonts w:ascii="Arial" w:hAnsi="Arial" w:cs="Arial"/>
        </w:rPr>
      </w:pPr>
    </w:p>
    <w:p w14:paraId="0DB7E0CC"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b/>
          <w:bCs/>
        </w:rPr>
        <w:t>Anticoagulants:</w:t>
      </w:r>
      <w:r w:rsidRPr="009B74CB">
        <w:rPr>
          <w:rFonts w:ascii="Arial" w:hAnsi="Arial" w:cs="Arial"/>
        </w:rPr>
        <w:t xml:space="preserve"> </w:t>
      </w:r>
    </w:p>
    <w:p w14:paraId="6237A403" w14:textId="77777777" w:rsidR="009B74CB" w:rsidRPr="009B74CB" w:rsidRDefault="009B74CB" w:rsidP="000C2019">
      <w:pPr>
        <w:widowControl w:val="0"/>
        <w:spacing w:after="0" w:line="480" w:lineRule="auto"/>
        <w:jc w:val="both"/>
        <w:rPr>
          <w:rFonts w:ascii="Arial" w:hAnsi="Arial" w:cs="Arial"/>
          <w:lang w:val="en-US"/>
        </w:rPr>
      </w:pPr>
      <w:r w:rsidRPr="009B74CB">
        <w:rPr>
          <w:rFonts w:ascii="Arial" w:hAnsi="Arial" w:cs="Arial"/>
        </w:rPr>
        <w:t>INDOMETHACIN BIOTECH 25 did not influence the hypoprothrombinaemia produced by anticoagulants in patients and in normal subjects. Patients should, however, be closely observed for alterations of prothrombin time, when INDOMETHACIN BIOTECH 25 is given concomitantly with anticoagulants. Caution should be exercised when INDOMETHACIN BIOTECH 25 and anticoagulants are administered concomitantly.</w:t>
      </w:r>
      <w:r w:rsidRPr="009B74CB">
        <w:rPr>
          <w:rFonts w:ascii="Arial" w:eastAsia="Times New Roman" w:hAnsi="Arial" w:cs="Arial"/>
          <w:w w:val="105"/>
          <w:lang w:val="en-US"/>
        </w:rPr>
        <w:t xml:space="preserve"> </w:t>
      </w:r>
      <w:r w:rsidRPr="009B74CB">
        <w:rPr>
          <w:rFonts w:ascii="Arial" w:hAnsi="Arial" w:cs="Arial"/>
          <w:lang w:val="en-US"/>
        </w:rPr>
        <w:t>Concurrent administration of oral anticoagulant medicines leads to increased risk of gastrointestinal bleeding.</w:t>
      </w:r>
    </w:p>
    <w:p w14:paraId="0B9BDFE2"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NSAIDs may enhance the effects of anticoagulants, such as warfarin (see section 4.4).</w:t>
      </w:r>
    </w:p>
    <w:p w14:paraId="75E89DF1" w14:textId="77777777" w:rsidR="009B74CB" w:rsidRPr="009B74CB" w:rsidRDefault="009B74CB" w:rsidP="000C2019">
      <w:pPr>
        <w:widowControl w:val="0"/>
        <w:spacing w:after="0" w:line="480" w:lineRule="auto"/>
        <w:jc w:val="both"/>
        <w:rPr>
          <w:rFonts w:ascii="Arial" w:hAnsi="Arial" w:cs="Arial"/>
        </w:rPr>
      </w:pPr>
    </w:p>
    <w:p w14:paraId="78001345"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b/>
          <w:bCs/>
        </w:rPr>
        <w:t>Antidepressants (SSRI):</w:t>
      </w:r>
      <w:r w:rsidRPr="009B74CB">
        <w:rPr>
          <w:rFonts w:ascii="Arial" w:hAnsi="Arial" w:cs="Arial"/>
        </w:rPr>
        <w:t xml:space="preserve"> </w:t>
      </w:r>
    </w:p>
    <w:p w14:paraId="35F02D7C"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Increased risk of bleeding (see section 4.4).</w:t>
      </w:r>
    </w:p>
    <w:p w14:paraId="5A0DCBC8" w14:textId="77777777" w:rsidR="009B74CB" w:rsidRPr="009B74CB" w:rsidRDefault="009B74CB" w:rsidP="000C2019">
      <w:pPr>
        <w:widowControl w:val="0"/>
        <w:spacing w:after="0" w:line="480" w:lineRule="auto"/>
        <w:jc w:val="both"/>
        <w:rPr>
          <w:rFonts w:ascii="Arial" w:hAnsi="Arial" w:cs="Arial"/>
          <w:b/>
          <w:bCs/>
        </w:rPr>
      </w:pPr>
    </w:p>
    <w:p w14:paraId="5E4F9A69"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b/>
          <w:bCs/>
        </w:rPr>
        <w:t>Antidiabetic medicines:</w:t>
      </w:r>
      <w:r w:rsidRPr="009B74CB">
        <w:rPr>
          <w:rFonts w:ascii="Arial" w:hAnsi="Arial" w:cs="Arial"/>
        </w:rPr>
        <w:t xml:space="preserve"> </w:t>
      </w:r>
    </w:p>
    <w:p w14:paraId="2EE3976C" w14:textId="77777777" w:rsidR="009B74CB" w:rsidRPr="009B74CB" w:rsidRDefault="009B74CB" w:rsidP="000C2019">
      <w:pPr>
        <w:widowControl w:val="0"/>
        <w:spacing w:after="0" w:line="480" w:lineRule="auto"/>
        <w:jc w:val="both"/>
        <w:rPr>
          <w:rFonts w:ascii="Arial" w:hAnsi="Arial" w:cs="Arial"/>
          <w:iCs/>
        </w:rPr>
      </w:pPr>
      <w:r w:rsidRPr="009B74CB">
        <w:rPr>
          <w:rFonts w:ascii="Arial" w:hAnsi="Arial" w:cs="Arial"/>
        </w:rPr>
        <w:t>The hypoglycaemic effect of sulfonylureas may be increased by NSAIDs.</w:t>
      </w:r>
    </w:p>
    <w:p w14:paraId="6C34C593" w14:textId="77777777" w:rsidR="009B74CB" w:rsidRPr="009B74CB" w:rsidRDefault="009B74CB" w:rsidP="000C2019">
      <w:pPr>
        <w:widowControl w:val="0"/>
        <w:spacing w:after="0" w:line="480" w:lineRule="auto"/>
        <w:ind w:left="360"/>
        <w:jc w:val="both"/>
        <w:rPr>
          <w:rFonts w:ascii="Arial" w:hAnsi="Arial" w:cs="Arial"/>
          <w:highlight w:val="yellow"/>
        </w:rPr>
      </w:pPr>
    </w:p>
    <w:p w14:paraId="3F8C9336"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b/>
          <w:bCs/>
          <w:color w:val="000000"/>
          <w:sz w:val="22"/>
          <w:szCs w:val="22"/>
        </w:rPr>
      </w:pPr>
      <w:r w:rsidRPr="009B74CB">
        <w:rPr>
          <w:b/>
          <w:bCs/>
          <w:color w:val="000000"/>
          <w:sz w:val="22"/>
          <w:szCs w:val="22"/>
        </w:rPr>
        <w:t xml:space="preserve">Antihypertensive medicines: </w:t>
      </w:r>
    </w:p>
    <w:p w14:paraId="0EF84D5F"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sz w:val="22"/>
          <w:szCs w:val="22"/>
        </w:rPr>
      </w:pPr>
      <w:r w:rsidRPr="009B74CB">
        <w:rPr>
          <w:color w:val="000000"/>
          <w:sz w:val="22"/>
          <w:szCs w:val="22"/>
        </w:rPr>
        <w:t xml:space="preserve">Reduced antihypertensive effect. INDOMETHACIN BIOTECH 25 may acutely reduce the antihypertensive effect of beta-blockers due partly to the inhibition of INDOMETHACIN BIOTECH 25 of prostaglandin synthesis. Patients receiving dual therapy should have the antihypertensive effect of their therapy reassessed. Therefore, caution should be exercised when considering the addition of INDOMETHACIN BIOTECH 25 to the regimen of a patient taking any of the following antihypertensive medicines: </w:t>
      </w:r>
    </w:p>
    <w:p w14:paraId="66BCE550"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eastAsia="Arial" w:hAnsi="Arial" w:cs="Arial"/>
          <w:color w:val="000000"/>
          <w:sz w:val="22"/>
          <w:szCs w:val="22"/>
        </w:rPr>
      </w:pPr>
      <w:r w:rsidRPr="009B74CB">
        <w:rPr>
          <w:rFonts w:ascii="Arial" w:eastAsia="Arial" w:hAnsi="Arial" w:cs="Arial"/>
          <w:color w:val="000000"/>
          <w:sz w:val="22"/>
          <w:szCs w:val="22"/>
        </w:rPr>
        <w:t>alpha-adrenergic blocking medicines;</w:t>
      </w:r>
    </w:p>
    <w:p w14:paraId="77B629EA"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eastAsia="Arial" w:hAnsi="Arial" w:cs="Arial"/>
          <w:color w:val="000000"/>
          <w:sz w:val="22"/>
          <w:szCs w:val="22"/>
        </w:rPr>
      </w:pPr>
      <w:r w:rsidRPr="009B74CB">
        <w:rPr>
          <w:rFonts w:ascii="Arial" w:eastAsia="Arial" w:hAnsi="Arial" w:cs="Arial"/>
          <w:color w:val="000000"/>
          <w:sz w:val="22"/>
          <w:szCs w:val="22"/>
        </w:rPr>
        <w:t>ACE inhibitors;</w:t>
      </w:r>
    </w:p>
    <w:p w14:paraId="2272FFE1"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eastAsia="Arial" w:hAnsi="Arial" w:cs="Arial"/>
          <w:color w:val="000000"/>
          <w:sz w:val="22"/>
          <w:szCs w:val="22"/>
        </w:rPr>
      </w:pPr>
      <w:r w:rsidRPr="009B74CB">
        <w:rPr>
          <w:rFonts w:ascii="Arial" w:eastAsia="Arial" w:hAnsi="Arial" w:cs="Arial"/>
          <w:color w:val="000000"/>
          <w:sz w:val="22"/>
          <w:szCs w:val="22"/>
        </w:rPr>
        <w:lastRenderedPageBreak/>
        <w:t>beta-adrenergic blocking medicines;</w:t>
      </w:r>
    </w:p>
    <w:p w14:paraId="30CF169B"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eastAsia="Arial" w:hAnsi="Arial" w:cs="Arial"/>
          <w:color w:val="000000"/>
          <w:sz w:val="22"/>
          <w:szCs w:val="22"/>
        </w:rPr>
      </w:pPr>
      <w:r w:rsidRPr="009B74CB">
        <w:rPr>
          <w:rFonts w:ascii="Arial" w:eastAsia="Arial" w:hAnsi="Arial" w:cs="Arial"/>
          <w:color w:val="000000"/>
          <w:sz w:val="22"/>
          <w:szCs w:val="22"/>
        </w:rPr>
        <w:t>angiotensin-2-receptor antagonists;</w:t>
      </w:r>
    </w:p>
    <w:p w14:paraId="13A3172C"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eastAsia="Arial" w:hAnsi="Arial" w:cs="Arial"/>
          <w:color w:val="000000"/>
          <w:sz w:val="22"/>
          <w:szCs w:val="22"/>
        </w:rPr>
      </w:pPr>
      <w:r w:rsidRPr="009B74CB">
        <w:rPr>
          <w:rFonts w:ascii="Arial" w:eastAsia="Arial" w:hAnsi="Arial" w:cs="Arial"/>
          <w:color w:val="000000"/>
          <w:sz w:val="22"/>
          <w:szCs w:val="22"/>
        </w:rPr>
        <w:t xml:space="preserve">hydralazine or nifedipine. </w:t>
      </w:r>
    </w:p>
    <w:p w14:paraId="72BCA4CF"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color w:val="000000"/>
          <w:sz w:val="22"/>
          <w:szCs w:val="22"/>
        </w:rPr>
      </w:pPr>
      <w:r w:rsidRPr="009B74CB">
        <w:rPr>
          <w:color w:val="000000"/>
          <w:sz w:val="22"/>
          <w:szCs w:val="22"/>
        </w:rPr>
        <w:t>An increased risk of hyperkalaemia has also been reported when NSAIDs are taken with ACE inhibitors.</w:t>
      </w:r>
    </w:p>
    <w:p w14:paraId="4A0B9162" w14:textId="77777777" w:rsidR="009B74CB" w:rsidRPr="009B74CB" w:rsidRDefault="009B74CB" w:rsidP="000C2019">
      <w:pPr>
        <w:widowControl w:val="0"/>
        <w:spacing w:after="0" w:line="480" w:lineRule="auto"/>
        <w:ind w:left="360"/>
        <w:jc w:val="both"/>
        <w:rPr>
          <w:rFonts w:ascii="Arial" w:hAnsi="Arial" w:cs="Arial"/>
          <w:bCs/>
          <w:highlight w:val="yellow"/>
        </w:rPr>
      </w:pPr>
    </w:p>
    <w:p w14:paraId="38D543EE"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color w:val="000000"/>
          <w:sz w:val="22"/>
          <w:szCs w:val="22"/>
        </w:rPr>
      </w:pPr>
      <w:r w:rsidRPr="009B74CB">
        <w:rPr>
          <w:b/>
          <w:bCs/>
          <w:color w:val="000000"/>
          <w:sz w:val="22"/>
          <w:szCs w:val="22"/>
        </w:rPr>
        <w:t>Antiplatelet medicines:</w:t>
      </w:r>
      <w:r w:rsidRPr="009B74CB">
        <w:rPr>
          <w:color w:val="000000"/>
          <w:sz w:val="22"/>
          <w:szCs w:val="22"/>
        </w:rPr>
        <w:t xml:space="preserve"> </w:t>
      </w:r>
    </w:p>
    <w:p w14:paraId="689BC771"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sz w:val="22"/>
          <w:szCs w:val="22"/>
        </w:rPr>
      </w:pPr>
      <w:r w:rsidRPr="009B74CB">
        <w:rPr>
          <w:color w:val="000000"/>
          <w:sz w:val="22"/>
          <w:szCs w:val="22"/>
        </w:rPr>
        <w:t>Increased risk of gastrointestinal bleeding. Indomethacin, as in INDOMETHACIN BIOTECH 25, can inhibit platelet aggregation, an effect which disappears within 24 hours of discontinuation; the bleeding time may be prolonged, and this effect may be exaggerated in patients with an underlying haemostatic defect (see section 4.4).</w:t>
      </w:r>
    </w:p>
    <w:p w14:paraId="3B3F2CEB"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b/>
          <w:bCs/>
          <w:color w:val="000000"/>
          <w:sz w:val="22"/>
          <w:szCs w:val="22"/>
        </w:rPr>
      </w:pPr>
    </w:p>
    <w:p w14:paraId="01AAF84F"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r w:rsidRPr="009B74CB">
        <w:rPr>
          <w:b/>
          <w:bCs/>
          <w:color w:val="000000"/>
          <w:sz w:val="22"/>
          <w:szCs w:val="22"/>
        </w:rPr>
        <w:t xml:space="preserve">Antipsychotics: </w:t>
      </w:r>
    </w:p>
    <w:p w14:paraId="1704A660"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sz w:val="22"/>
          <w:szCs w:val="22"/>
        </w:rPr>
      </w:pPr>
      <w:r w:rsidRPr="009B74CB">
        <w:rPr>
          <w:color w:val="000000"/>
          <w:sz w:val="22"/>
          <w:szCs w:val="22"/>
        </w:rPr>
        <w:t>Increased drowsiness has been reported with concomitant use of INDOMETHACIN BIOTECH 25 and haloperidol.</w:t>
      </w:r>
    </w:p>
    <w:p w14:paraId="286F62C8"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p>
    <w:p w14:paraId="542D5C16"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b/>
          <w:bCs/>
          <w:color w:val="000000"/>
          <w:sz w:val="22"/>
          <w:szCs w:val="22"/>
        </w:rPr>
      </w:pPr>
      <w:r w:rsidRPr="009B74CB">
        <w:rPr>
          <w:b/>
          <w:bCs/>
          <w:color w:val="000000"/>
          <w:sz w:val="22"/>
          <w:szCs w:val="22"/>
        </w:rPr>
        <w:t xml:space="preserve">Antivirals: </w:t>
      </w:r>
    </w:p>
    <w:p w14:paraId="6B329221"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sz w:val="22"/>
          <w:szCs w:val="22"/>
        </w:rPr>
      </w:pPr>
      <w:r w:rsidRPr="009B74CB">
        <w:rPr>
          <w:color w:val="000000"/>
          <w:sz w:val="22"/>
          <w:szCs w:val="22"/>
        </w:rPr>
        <w:t>There is an increased risk of haematological toxicity when NSAIDs, such as INDOMETHACIN BIOTECH 25, are given with zidovudine. There is evidence of an increased risk of haemarthroses and haematoma in HIV-positive haemophiliacs receiving concurrent treatment with zidovudine and ibuprofen. There is a risk of indomethacin toxicity with concomitant use of INDOMETHACIN BIOTECH 25 and ritonavir, and should thus be avoided.</w:t>
      </w:r>
    </w:p>
    <w:p w14:paraId="0E1CE989"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b/>
          <w:bCs/>
          <w:color w:val="000000"/>
          <w:sz w:val="22"/>
          <w:szCs w:val="22"/>
        </w:rPr>
      </w:pPr>
    </w:p>
    <w:p w14:paraId="0637F5D4" w14:textId="77777777" w:rsidR="009B74CB" w:rsidRPr="009B74CB" w:rsidRDefault="009B74CB" w:rsidP="000C2019">
      <w:pPr>
        <w:widowControl w:val="0"/>
        <w:spacing w:after="0" w:line="480" w:lineRule="auto"/>
        <w:jc w:val="both"/>
        <w:rPr>
          <w:rFonts w:ascii="Arial" w:hAnsi="Arial" w:cs="Arial"/>
          <w:b/>
        </w:rPr>
      </w:pPr>
      <w:r w:rsidRPr="009B74CB">
        <w:rPr>
          <w:rFonts w:ascii="Arial" w:hAnsi="Arial" w:cs="Arial"/>
          <w:b/>
        </w:rPr>
        <w:t xml:space="preserve">Cardiac glycosides/digoxin: </w:t>
      </w:r>
    </w:p>
    <w:p w14:paraId="2BDE7D50"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 xml:space="preserve">INDOMETHACIN BIOTECH 25 given concomitantly with digoxin has been reported to increase the serum concentration and prolong the half-life of digoxin. Therefore, when INDOMETHACIN BIOTECH 25 and digoxin are used concomitantly, plasma digoxin levels should be closely </w:t>
      </w:r>
      <w:r w:rsidRPr="009B74CB">
        <w:rPr>
          <w:rFonts w:ascii="Arial" w:hAnsi="Arial" w:cs="Arial"/>
          <w:bCs/>
        </w:rPr>
        <w:lastRenderedPageBreak/>
        <w:t>monitored.</w:t>
      </w:r>
    </w:p>
    <w:p w14:paraId="117A41DA" w14:textId="77777777" w:rsidR="009B74CB" w:rsidRPr="009B74CB" w:rsidRDefault="009B74CB" w:rsidP="000C2019">
      <w:pPr>
        <w:widowControl w:val="0"/>
        <w:spacing w:after="0" w:line="480" w:lineRule="auto"/>
        <w:jc w:val="both"/>
        <w:rPr>
          <w:rFonts w:ascii="Arial" w:hAnsi="Arial" w:cs="Arial"/>
          <w:bCs/>
        </w:rPr>
      </w:pPr>
    </w:p>
    <w:p w14:paraId="1A3D0F3B"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NSAIDs may exacerbate cardiac failure, reduce glomerular filtration rate (GFR) and increase plasma-cardiac glycoside levels.</w:t>
      </w:r>
    </w:p>
    <w:p w14:paraId="337E0567" w14:textId="77777777" w:rsidR="009B74CB" w:rsidRPr="009B74CB" w:rsidRDefault="009B74CB" w:rsidP="000C2019">
      <w:pPr>
        <w:widowControl w:val="0"/>
        <w:spacing w:after="0" w:line="480" w:lineRule="auto"/>
        <w:jc w:val="both"/>
        <w:rPr>
          <w:rFonts w:ascii="Arial" w:hAnsi="Arial" w:cs="Arial"/>
          <w:b/>
        </w:rPr>
      </w:pPr>
    </w:p>
    <w:p w14:paraId="04A21863" w14:textId="77777777" w:rsidR="009B74CB" w:rsidRPr="009B74CB" w:rsidRDefault="009B74CB" w:rsidP="000C2019">
      <w:pPr>
        <w:pStyle w:val="MSGENFONTSTYLENAMETEMPLATEROLENUMBERMSGENFONTSTYLENAMEBYROLETEXT20"/>
        <w:shd w:val="clear" w:color="auto" w:fill="auto"/>
        <w:tabs>
          <w:tab w:val="left" w:pos="378"/>
        </w:tabs>
        <w:spacing w:before="0" w:after="0" w:line="480" w:lineRule="auto"/>
        <w:jc w:val="both"/>
        <w:rPr>
          <w:b/>
          <w:bCs/>
          <w:color w:val="000000"/>
          <w:sz w:val="22"/>
          <w:szCs w:val="22"/>
        </w:rPr>
      </w:pPr>
      <w:r w:rsidRPr="009B74CB">
        <w:rPr>
          <w:b/>
          <w:bCs/>
          <w:color w:val="000000"/>
          <w:sz w:val="22"/>
          <w:szCs w:val="22"/>
        </w:rPr>
        <w:t>Calcineurin inhibitors:</w:t>
      </w:r>
    </w:p>
    <w:p w14:paraId="598E4AE1" w14:textId="77777777" w:rsidR="009B74CB" w:rsidRPr="009B74CB" w:rsidRDefault="009B74CB" w:rsidP="000C2019">
      <w:pPr>
        <w:pStyle w:val="MSGENFONTSTYLENAMETEMPLATEROLENUMBERMSGENFONTSTYLENAMEBYROLETEXT20"/>
        <w:shd w:val="clear" w:color="auto" w:fill="auto"/>
        <w:tabs>
          <w:tab w:val="left" w:pos="378"/>
        </w:tabs>
        <w:spacing w:before="0" w:after="0" w:line="480" w:lineRule="auto"/>
        <w:jc w:val="both"/>
        <w:rPr>
          <w:sz w:val="22"/>
          <w:szCs w:val="22"/>
        </w:rPr>
      </w:pPr>
      <w:r w:rsidRPr="009B74CB">
        <w:rPr>
          <w:color w:val="000000"/>
          <w:sz w:val="22"/>
          <w:szCs w:val="22"/>
        </w:rPr>
        <w:t>Increased risk of nephrotoxicity. Administration of NSAIDs, such as INDOMETHACIN BIOTECH 25, concomitantly with calcineurin inhibitors, including ciclosporin and tacrolimus, has been associated with an increase in toxicity, possibly due to decreased synthesis of renal prostacyclin. NSAIDs should be used with caution in patients taking calcineurin inhibitors, and renal function should be monitored carefully.</w:t>
      </w:r>
    </w:p>
    <w:p w14:paraId="42DB8D6D" w14:textId="77777777" w:rsidR="009B74CB" w:rsidRPr="009B74CB" w:rsidRDefault="009B74CB" w:rsidP="000C2019">
      <w:pPr>
        <w:pStyle w:val="MSGENFONTSTYLENAMETEMPLATEROLENUMBERMSGENFONTSTYLENAMEBYROLETEXT20"/>
        <w:shd w:val="clear" w:color="auto" w:fill="auto"/>
        <w:tabs>
          <w:tab w:val="left" w:pos="378"/>
        </w:tabs>
        <w:spacing w:before="0" w:after="0" w:line="480" w:lineRule="auto"/>
        <w:jc w:val="both"/>
        <w:rPr>
          <w:b/>
          <w:bCs/>
          <w:color w:val="000000"/>
          <w:sz w:val="22"/>
          <w:szCs w:val="22"/>
        </w:rPr>
      </w:pPr>
    </w:p>
    <w:p w14:paraId="7BCD79D1" w14:textId="77777777" w:rsidR="009B74CB" w:rsidRPr="009B74CB" w:rsidRDefault="009B74CB" w:rsidP="000C2019">
      <w:pPr>
        <w:pStyle w:val="MSGENFONTSTYLENAMETEMPLATEROLENUMBERMSGENFONTSTYLENAMEBYROLETEXT20"/>
        <w:tabs>
          <w:tab w:val="left" w:pos="378"/>
        </w:tabs>
        <w:spacing w:before="0" w:after="0" w:line="480" w:lineRule="auto"/>
        <w:jc w:val="both"/>
        <w:rPr>
          <w:b/>
          <w:bCs/>
          <w:color w:val="000000"/>
          <w:sz w:val="22"/>
          <w:szCs w:val="22"/>
        </w:rPr>
      </w:pPr>
      <w:r w:rsidRPr="009B74CB">
        <w:rPr>
          <w:b/>
          <w:bCs/>
          <w:color w:val="000000"/>
          <w:sz w:val="22"/>
          <w:szCs w:val="22"/>
        </w:rPr>
        <w:t>Phenylpropanolamine:</w:t>
      </w:r>
    </w:p>
    <w:p w14:paraId="14C7445C" w14:textId="77777777" w:rsidR="009B74CB" w:rsidRPr="009B74CB" w:rsidRDefault="009B74CB" w:rsidP="000C2019">
      <w:pPr>
        <w:pStyle w:val="MSGENFONTSTYLENAMETEMPLATEROLENUMBERMSGENFONTSTYLENAMEBYROLETEXT20"/>
        <w:tabs>
          <w:tab w:val="left" w:pos="378"/>
        </w:tabs>
        <w:spacing w:before="0" w:after="0" w:line="480" w:lineRule="auto"/>
        <w:jc w:val="both"/>
        <w:rPr>
          <w:color w:val="000000"/>
          <w:sz w:val="22"/>
          <w:szCs w:val="22"/>
        </w:rPr>
      </w:pPr>
      <w:r w:rsidRPr="009B74CB">
        <w:rPr>
          <w:color w:val="000000"/>
          <w:sz w:val="22"/>
          <w:szCs w:val="22"/>
        </w:rPr>
        <w:t>Hypertensive crises have been reported due to oral phenylpropanolamine, and to phenylpropanolamine given concomitantly with INDOMETHACIN BIOTECH 25. This additive effect is probably due at least in part to inhibition of prostaglandin synthesis by indomethacin, as in INDOMETHACIN BIOTECH 25, and may lead to water intoxication. Caution should be exercised when INDOMETHACIN BIOTECH 25 and phenylpropanolamine are administered concomitantly.</w:t>
      </w:r>
    </w:p>
    <w:p w14:paraId="3B963398" w14:textId="77777777" w:rsidR="009B74CB" w:rsidRPr="009B74CB" w:rsidRDefault="009B74CB" w:rsidP="000C2019">
      <w:pPr>
        <w:pStyle w:val="MSGENFONTSTYLENAMETEMPLATEROLENUMBERMSGENFONTSTYLENAMEBYROLETEXT20"/>
        <w:shd w:val="clear" w:color="auto" w:fill="auto"/>
        <w:tabs>
          <w:tab w:val="left" w:pos="378"/>
        </w:tabs>
        <w:spacing w:before="0" w:after="0" w:line="480" w:lineRule="auto"/>
        <w:jc w:val="both"/>
        <w:rPr>
          <w:b/>
          <w:bCs/>
          <w:color w:val="000000"/>
          <w:sz w:val="22"/>
          <w:szCs w:val="22"/>
        </w:rPr>
      </w:pPr>
    </w:p>
    <w:p w14:paraId="0C463493" w14:textId="77777777" w:rsidR="009B74CB" w:rsidRPr="009B74CB" w:rsidRDefault="009B74CB" w:rsidP="000C2019">
      <w:pPr>
        <w:pStyle w:val="MSGENFONTSTYLENAMETEMPLATEROLENUMBERMSGENFONTSTYLENAMEBYROLETEXT20"/>
        <w:shd w:val="clear" w:color="auto" w:fill="auto"/>
        <w:tabs>
          <w:tab w:val="left" w:pos="378"/>
        </w:tabs>
        <w:spacing w:before="0" w:after="0" w:line="480" w:lineRule="auto"/>
        <w:jc w:val="both"/>
        <w:rPr>
          <w:b/>
          <w:bCs/>
          <w:color w:val="000000"/>
          <w:sz w:val="22"/>
          <w:szCs w:val="22"/>
        </w:rPr>
      </w:pPr>
      <w:r w:rsidRPr="009B74CB">
        <w:rPr>
          <w:b/>
          <w:bCs/>
          <w:color w:val="000000"/>
          <w:sz w:val="22"/>
          <w:szCs w:val="22"/>
        </w:rPr>
        <w:t xml:space="preserve">Corticosteroids: </w:t>
      </w:r>
    </w:p>
    <w:p w14:paraId="7C5BA385" w14:textId="369C88DD" w:rsidR="009B74CB" w:rsidRPr="009B74CB" w:rsidRDefault="009B74CB" w:rsidP="000C2019">
      <w:pPr>
        <w:pStyle w:val="MSGENFONTSTYLENAMETEMPLATEROLENUMBERMSGENFONTSTYLENAMEBYROLETEXT20"/>
        <w:shd w:val="clear" w:color="auto" w:fill="auto"/>
        <w:tabs>
          <w:tab w:val="left" w:pos="378"/>
        </w:tabs>
        <w:spacing w:before="0" w:after="0" w:line="480" w:lineRule="auto"/>
        <w:jc w:val="both"/>
        <w:rPr>
          <w:sz w:val="22"/>
          <w:szCs w:val="22"/>
        </w:rPr>
      </w:pPr>
      <w:r w:rsidRPr="009B74CB">
        <w:rPr>
          <w:color w:val="000000"/>
          <w:sz w:val="22"/>
          <w:szCs w:val="22"/>
        </w:rPr>
        <w:t xml:space="preserve">Increased risk of gastrointestinal perforation, ulceration or bleeding (PUBs) (see section 4.4). If the patient is receiving corticosteroids concomitantly, a reduction in dosage of these may be possible but should only be </w:t>
      </w:r>
      <w:r w:rsidR="002C262F" w:rsidRPr="009B74CB">
        <w:rPr>
          <w:color w:val="000000"/>
          <w:sz w:val="22"/>
          <w:szCs w:val="22"/>
        </w:rPr>
        <w:t>affected</w:t>
      </w:r>
      <w:r w:rsidRPr="009B74CB">
        <w:rPr>
          <w:color w:val="000000"/>
          <w:sz w:val="22"/>
          <w:szCs w:val="22"/>
        </w:rPr>
        <w:t xml:space="preserve"> slowly under supervision.</w:t>
      </w:r>
    </w:p>
    <w:p w14:paraId="629D2764" w14:textId="77777777" w:rsidR="009B74CB" w:rsidRPr="009B74CB" w:rsidRDefault="009B74CB" w:rsidP="000C2019">
      <w:pPr>
        <w:pStyle w:val="MSGENFONTSTYLENAMETEMPLATEROLENUMBERMSGENFONTSTYLENAMEBYROLETEXT20"/>
        <w:shd w:val="clear" w:color="auto" w:fill="auto"/>
        <w:tabs>
          <w:tab w:val="left" w:pos="378"/>
        </w:tabs>
        <w:spacing w:before="0" w:after="0" w:line="480" w:lineRule="auto"/>
        <w:jc w:val="both"/>
        <w:rPr>
          <w:b/>
          <w:bCs/>
          <w:color w:val="000000"/>
          <w:sz w:val="22"/>
          <w:szCs w:val="22"/>
        </w:rPr>
      </w:pPr>
    </w:p>
    <w:p w14:paraId="41FD0DC1"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r w:rsidRPr="009B74CB">
        <w:rPr>
          <w:b/>
          <w:bCs/>
          <w:color w:val="000000"/>
          <w:sz w:val="22"/>
          <w:szCs w:val="22"/>
        </w:rPr>
        <w:t xml:space="preserve">Cytotoxic medicines: </w:t>
      </w:r>
    </w:p>
    <w:p w14:paraId="24058A91"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sz w:val="22"/>
          <w:szCs w:val="22"/>
        </w:rPr>
      </w:pPr>
      <w:r w:rsidRPr="009B74CB">
        <w:rPr>
          <w:color w:val="000000"/>
          <w:sz w:val="22"/>
          <w:szCs w:val="22"/>
        </w:rPr>
        <w:t>INDOMETHACIN BIOTECH 25 may decrease the tubular secretion of methotrexate thus potentiating toxicity; simultaneous use should be undertaken with caution.</w:t>
      </w:r>
    </w:p>
    <w:p w14:paraId="03A1B445"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p>
    <w:p w14:paraId="6D8D7B81"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r w:rsidRPr="009B74CB">
        <w:rPr>
          <w:b/>
          <w:bCs/>
          <w:color w:val="000000"/>
          <w:sz w:val="22"/>
          <w:szCs w:val="22"/>
        </w:rPr>
        <w:t xml:space="preserve">Desmopressin: </w:t>
      </w:r>
    </w:p>
    <w:p w14:paraId="67C7E5CB"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sz w:val="22"/>
          <w:szCs w:val="22"/>
        </w:rPr>
      </w:pPr>
      <w:r w:rsidRPr="009B74CB">
        <w:rPr>
          <w:color w:val="000000"/>
          <w:sz w:val="22"/>
          <w:szCs w:val="22"/>
        </w:rPr>
        <w:t>Effect potentiated by indomethacin, as in INDOMETHACIN BIOTECH 25, my lead to water intoxication.</w:t>
      </w:r>
    </w:p>
    <w:p w14:paraId="7AC7862B"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color w:val="000000"/>
          <w:sz w:val="22"/>
          <w:szCs w:val="22"/>
        </w:rPr>
      </w:pPr>
    </w:p>
    <w:p w14:paraId="53730F43"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r w:rsidRPr="009B74CB">
        <w:rPr>
          <w:b/>
          <w:bCs/>
          <w:color w:val="000000"/>
          <w:sz w:val="22"/>
          <w:szCs w:val="22"/>
        </w:rPr>
        <w:t xml:space="preserve">Diflunisal: </w:t>
      </w:r>
    </w:p>
    <w:p w14:paraId="001D700F"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color w:val="000000"/>
          <w:sz w:val="22"/>
          <w:szCs w:val="22"/>
        </w:rPr>
      </w:pPr>
      <w:r w:rsidRPr="009B74CB">
        <w:rPr>
          <w:color w:val="000000"/>
          <w:sz w:val="22"/>
          <w:szCs w:val="22"/>
        </w:rPr>
        <w:t>Avoid concomitant use (see section 4.3). Coadministration of diflunisal and INDOMETHACIN BIOTECH 25 increases the plasma level of indomethacin by about a third, with a concomitant decrease in renal clearance. Fatal gastrointestinal haemorrhage has occurred.</w:t>
      </w:r>
    </w:p>
    <w:p w14:paraId="0460A673"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p>
    <w:p w14:paraId="0ADE49B2"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b/>
          <w:bCs/>
          <w:color w:val="000000"/>
          <w:sz w:val="22"/>
          <w:szCs w:val="22"/>
        </w:rPr>
      </w:pPr>
      <w:r w:rsidRPr="009B74CB">
        <w:rPr>
          <w:b/>
          <w:bCs/>
          <w:color w:val="000000"/>
          <w:sz w:val="22"/>
          <w:szCs w:val="22"/>
        </w:rPr>
        <w:t xml:space="preserve">Diuretics: </w:t>
      </w:r>
    </w:p>
    <w:p w14:paraId="0CBDF131" w14:textId="3327B782"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color w:val="000000"/>
          <w:sz w:val="22"/>
          <w:szCs w:val="22"/>
        </w:rPr>
      </w:pPr>
      <w:r w:rsidRPr="009B74CB">
        <w:rPr>
          <w:color w:val="000000"/>
          <w:sz w:val="22"/>
          <w:szCs w:val="22"/>
        </w:rPr>
        <w:t>NSAIDs, such as INDOMETHACIN BIOTECH 25, may reduce the effect of diuretics and antihypertensive medicines. In patients with compromised renal function (</w:t>
      </w:r>
      <w:r w:rsidR="002C262F" w:rsidRPr="009B74CB">
        <w:rPr>
          <w:color w:val="000000"/>
          <w:sz w:val="22"/>
          <w:szCs w:val="22"/>
        </w:rPr>
        <w:t>e.g.,</w:t>
      </w:r>
      <w:r w:rsidRPr="009B74CB">
        <w:rPr>
          <w:color w:val="000000"/>
          <w:sz w:val="22"/>
          <w:szCs w:val="22"/>
        </w:rPr>
        <w:t xml:space="preserve"> dehydrated patients (volume depleted patients, including those on diuretic therapy) or the elderly patients) who are being treated with NSAIDs including selective cyclooxygenase-2 inhibitors, the coadministration of angiotensin II receptor antagonists or ACE inhibitors may result in further deterioration of renal function, including possible acute renal injury (renal failure). These effects are usually reversible. Therefore, the combination should be administered with caution in patients with compromised renal function. Patients should be adequately hydrated, and consideration should be given to monitoring of renal function after initiation of concomitant therapy, and periodically thereafter.</w:t>
      </w:r>
    </w:p>
    <w:p w14:paraId="6DDAA8F2"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color w:val="000000"/>
          <w:sz w:val="22"/>
          <w:szCs w:val="22"/>
        </w:rPr>
      </w:pPr>
    </w:p>
    <w:p w14:paraId="789040B0"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color w:val="000000"/>
          <w:sz w:val="22"/>
          <w:szCs w:val="22"/>
        </w:rPr>
      </w:pPr>
      <w:r w:rsidRPr="009B74CB">
        <w:rPr>
          <w:color w:val="000000"/>
          <w:sz w:val="22"/>
          <w:szCs w:val="22"/>
        </w:rPr>
        <w:t>INDOMETHACIN BIOTECH 25 can reduce the diuretic, natriuretic and antihypertensive effects of loop, potassium sparing, thiazide diuretics and furosemide. Therefore, when INDOMETHACIN BIOTECH 25 and diuretics are used concomitantly, the patient should be closely observed to determine whether the desired effect of the diuretic is being obtained.</w:t>
      </w:r>
    </w:p>
    <w:p w14:paraId="510E9067" w14:textId="77777777" w:rsidR="009B74CB" w:rsidRPr="009B74CB" w:rsidRDefault="009B74CB" w:rsidP="000C2019">
      <w:pPr>
        <w:pStyle w:val="MSGENFONTSTYLENAMETEMPLATEROLENUMBERMSGENFONTSTYLENAMEBYROLETEXT20"/>
        <w:shd w:val="clear" w:color="auto" w:fill="auto"/>
        <w:spacing w:before="0" w:after="0" w:line="480" w:lineRule="auto"/>
        <w:jc w:val="both"/>
        <w:rPr>
          <w:color w:val="000000"/>
          <w:sz w:val="22"/>
          <w:szCs w:val="22"/>
        </w:rPr>
      </w:pPr>
    </w:p>
    <w:p w14:paraId="36C6B1FC" w14:textId="77777777" w:rsidR="009B74CB" w:rsidRPr="009B74CB" w:rsidRDefault="009B74CB" w:rsidP="000C2019">
      <w:pPr>
        <w:pStyle w:val="MSGENFONTSTYLENAMETEMPLATEROLENUMBERMSGENFONTSTYLENAMEBYROLETEXT20"/>
        <w:shd w:val="clear" w:color="auto" w:fill="auto"/>
        <w:spacing w:before="0" w:after="0" w:line="480" w:lineRule="auto"/>
        <w:jc w:val="both"/>
        <w:rPr>
          <w:sz w:val="22"/>
          <w:szCs w:val="22"/>
        </w:rPr>
      </w:pPr>
      <w:r w:rsidRPr="009B74CB">
        <w:rPr>
          <w:color w:val="000000"/>
          <w:sz w:val="22"/>
          <w:szCs w:val="22"/>
        </w:rPr>
        <w:t xml:space="preserve">INDOMETHACIN BIOTECH 25 may cause blocking of the furosemide-induced increase in plasma </w:t>
      </w:r>
      <w:r w:rsidRPr="009B74CB">
        <w:rPr>
          <w:color w:val="000000"/>
          <w:sz w:val="22"/>
          <w:szCs w:val="22"/>
        </w:rPr>
        <w:lastRenderedPageBreak/>
        <w:t xml:space="preserve">renin activity (PRA). </w:t>
      </w:r>
    </w:p>
    <w:p w14:paraId="7FA6DFF8" w14:textId="77777777" w:rsidR="009B74CB" w:rsidRPr="009B74CB" w:rsidRDefault="009B74CB" w:rsidP="000C2019">
      <w:pPr>
        <w:pStyle w:val="MSGENFONTSTYLENAMETEMPLATEROLENUMBERMSGENFONTSTYLENAMEBYROLETEXT20"/>
        <w:tabs>
          <w:tab w:val="left" w:pos="382"/>
        </w:tabs>
        <w:spacing w:before="0" w:after="0" w:line="480" w:lineRule="auto"/>
        <w:jc w:val="both"/>
        <w:rPr>
          <w:color w:val="000000"/>
          <w:sz w:val="22"/>
          <w:szCs w:val="22"/>
        </w:rPr>
      </w:pPr>
      <w:r w:rsidRPr="009B74CB">
        <w:rPr>
          <w:color w:val="000000"/>
          <w:sz w:val="22"/>
          <w:szCs w:val="22"/>
        </w:rPr>
        <w:t xml:space="preserve">INDOMETHACIN BIOTECH 25 reduces basal PRA as well as those elevations of PRA induced by furosemide administration, or salt or volume depletion. These facts should be considered when evaluating plasma renin activity in hypertensive patients. </w:t>
      </w:r>
    </w:p>
    <w:p w14:paraId="3FEB1B9D" w14:textId="77777777" w:rsidR="009B74CB" w:rsidRPr="009B74CB" w:rsidRDefault="009B74CB" w:rsidP="000C2019">
      <w:pPr>
        <w:pStyle w:val="MSGENFONTSTYLENAMETEMPLATEROLENUMBERMSGENFONTSTYLENAMEBYROLETEXT20"/>
        <w:tabs>
          <w:tab w:val="left" w:pos="382"/>
        </w:tabs>
        <w:spacing w:before="0" w:after="0" w:line="480" w:lineRule="auto"/>
        <w:jc w:val="both"/>
        <w:rPr>
          <w:color w:val="000000"/>
          <w:sz w:val="22"/>
          <w:szCs w:val="22"/>
        </w:rPr>
      </w:pPr>
    </w:p>
    <w:p w14:paraId="398F2CE1" w14:textId="77777777" w:rsidR="009B74CB" w:rsidRPr="009B74CB" w:rsidRDefault="009B74CB" w:rsidP="000C2019">
      <w:pPr>
        <w:pStyle w:val="MSGENFONTSTYLENAMETEMPLATEROLENUMBERMSGENFONTSTYLENAMEBYROLETEXT20"/>
        <w:tabs>
          <w:tab w:val="left" w:pos="382"/>
        </w:tabs>
        <w:spacing w:before="0" w:after="0" w:line="480" w:lineRule="auto"/>
        <w:jc w:val="both"/>
        <w:rPr>
          <w:color w:val="000000"/>
          <w:sz w:val="22"/>
          <w:szCs w:val="22"/>
        </w:rPr>
      </w:pPr>
      <w:r w:rsidRPr="009B74CB">
        <w:rPr>
          <w:color w:val="000000"/>
          <w:sz w:val="22"/>
          <w:szCs w:val="22"/>
        </w:rPr>
        <w:t xml:space="preserve">It has been reported that the addition of triamterene to a maintenance schedule of INDOMETHACIN BIOTECH 25 resulted in reversible acute renal injury (acute renal failure). INDOMETHACIN BIOTECH 25 and triamterene should not be administered concomitantly. </w:t>
      </w:r>
    </w:p>
    <w:p w14:paraId="44B97B38" w14:textId="77777777" w:rsidR="009B74CB" w:rsidRPr="009B74CB" w:rsidRDefault="009B74CB" w:rsidP="000C2019">
      <w:pPr>
        <w:pStyle w:val="MSGENFONTSTYLENAMETEMPLATEROLENUMBERMSGENFONTSTYLENAMEBYROLETEXT20"/>
        <w:tabs>
          <w:tab w:val="left" w:pos="382"/>
        </w:tabs>
        <w:spacing w:before="0" w:after="0" w:line="480" w:lineRule="auto"/>
        <w:jc w:val="both"/>
        <w:rPr>
          <w:color w:val="000000"/>
          <w:sz w:val="22"/>
          <w:szCs w:val="22"/>
        </w:rPr>
      </w:pPr>
    </w:p>
    <w:p w14:paraId="1AB8F820" w14:textId="77777777" w:rsidR="009B74CB" w:rsidRPr="009B74CB" w:rsidRDefault="009B74CB" w:rsidP="000C2019">
      <w:pPr>
        <w:pStyle w:val="MSGENFONTSTYLENAMETEMPLATEROLENUMBERMSGENFONTSTYLENAMEBYROLETEXT20"/>
        <w:tabs>
          <w:tab w:val="left" w:pos="382"/>
        </w:tabs>
        <w:spacing w:before="0" w:after="0" w:line="480" w:lineRule="auto"/>
        <w:jc w:val="both"/>
        <w:rPr>
          <w:color w:val="000000"/>
          <w:sz w:val="22"/>
          <w:szCs w:val="22"/>
        </w:rPr>
      </w:pPr>
      <w:r w:rsidRPr="009B74CB">
        <w:rPr>
          <w:color w:val="000000"/>
          <w:sz w:val="22"/>
          <w:szCs w:val="22"/>
        </w:rPr>
        <w:t>Both INDOMETHACIN BIOTECH 25 and potassium-sparing diuretics may be associated with increased serum potassium levels. The potential effects of INDOMETHACIN BIOTECH 25 and potassium-sparing diuretics on potassium kinetics and renal function should be considered when these medicines are administered concurrently.</w:t>
      </w:r>
    </w:p>
    <w:p w14:paraId="4513A2DD" w14:textId="77777777" w:rsidR="009B74CB" w:rsidRPr="009B74CB" w:rsidRDefault="009B74CB" w:rsidP="000C2019">
      <w:pPr>
        <w:pStyle w:val="MSGENFONTSTYLENAMETEMPLATEROLENUMBERMSGENFONTSTYLENAMEBYROLETEXT20"/>
        <w:tabs>
          <w:tab w:val="left" w:pos="382"/>
        </w:tabs>
        <w:spacing w:before="0" w:after="0" w:line="480" w:lineRule="auto"/>
        <w:jc w:val="both"/>
        <w:rPr>
          <w:color w:val="000000"/>
          <w:sz w:val="22"/>
          <w:szCs w:val="22"/>
        </w:rPr>
      </w:pPr>
    </w:p>
    <w:p w14:paraId="1D5BDDD1"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color w:val="000000"/>
          <w:sz w:val="22"/>
          <w:szCs w:val="22"/>
        </w:rPr>
      </w:pPr>
      <w:r w:rsidRPr="009B74CB">
        <w:rPr>
          <w:color w:val="000000"/>
          <w:sz w:val="22"/>
          <w:szCs w:val="22"/>
        </w:rPr>
        <w:t>Most of the above effects relating to diuretics have been attributed at least in part, to mechanisms involving inhibition of prostaglandin synthesis in INDOMETHACIN BIOTECH 25.</w:t>
      </w:r>
    </w:p>
    <w:p w14:paraId="6859531F"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color w:val="000000"/>
          <w:sz w:val="22"/>
          <w:szCs w:val="22"/>
        </w:rPr>
      </w:pPr>
      <w:r w:rsidRPr="009B74CB">
        <w:rPr>
          <w:color w:val="000000"/>
          <w:sz w:val="22"/>
          <w:szCs w:val="22"/>
        </w:rPr>
        <w:t>Diuretics can increase the risk of nephrotoxicity of NSAIDs.</w:t>
      </w:r>
    </w:p>
    <w:p w14:paraId="45D6AEF1" w14:textId="77777777" w:rsidR="009B74CB" w:rsidRPr="009B74CB" w:rsidRDefault="009B74CB" w:rsidP="000C2019">
      <w:pPr>
        <w:pStyle w:val="MSGENFONTSTYLENAMETEMPLATEROLENUMBERMSGENFONTSTYLENAMEBYROLETEXT20"/>
        <w:shd w:val="clear" w:color="auto" w:fill="auto"/>
        <w:tabs>
          <w:tab w:val="left" w:pos="382"/>
        </w:tabs>
        <w:spacing w:before="0" w:after="0" w:line="480" w:lineRule="auto"/>
        <w:jc w:val="both"/>
        <w:rPr>
          <w:b/>
          <w:bCs/>
          <w:color w:val="000000"/>
          <w:sz w:val="22"/>
          <w:szCs w:val="22"/>
        </w:rPr>
      </w:pPr>
    </w:p>
    <w:p w14:paraId="580235DB"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r w:rsidRPr="009B74CB">
        <w:rPr>
          <w:b/>
          <w:bCs/>
          <w:color w:val="000000"/>
          <w:sz w:val="22"/>
          <w:szCs w:val="22"/>
        </w:rPr>
        <w:t xml:space="preserve">Lithium: </w:t>
      </w:r>
    </w:p>
    <w:p w14:paraId="67D8F862"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sz w:val="22"/>
          <w:szCs w:val="22"/>
        </w:rPr>
      </w:pPr>
      <w:r w:rsidRPr="009B74CB">
        <w:rPr>
          <w:color w:val="000000"/>
          <w:sz w:val="22"/>
          <w:szCs w:val="22"/>
        </w:rPr>
        <w:t>Decreased elimination of lithium.</w:t>
      </w:r>
      <w:r w:rsidRPr="009B74CB">
        <w:rPr>
          <w:sz w:val="22"/>
          <w:szCs w:val="22"/>
        </w:rPr>
        <w:t xml:space="preserve"> </w:t>
      </w:r>
      <w:r w:rsidRPr="009B74CB">
        <w:rPr>
          <w:color w:val="000000"/>
          <w:sz w:val="22"/>
          <w:szCs w:val="22"/>
        </w:rPr>
        <w:t>INDOMETHACIN BIOTECH 25 is an inhibitor of prostaglandin synthesis and therefore the following interactions may occur: INDOMETHACIN BIOTECH 25 may raise plasma lithium levels and reduce lithium clearance in subjects with steady state plasma lithium concentrations. At the onset of such combined therapy, plasma lithium concentration should be monitored more frequently.</w:t>
      </w:r>
    </w:p>
    <w:p w14:paraId="09BDC20A"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p>
    <w:p w14:paraId="4FC9A577"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r w:rsidRPr="009B74CB">
        <w:rPr>
          <w:b/>
          <w:bCs/>
          <w:color w:val="000000"/>
          <w:sz w:val="22"/>
          <w:szCs w:val="22"/>
        </w:rPr>
        <w:t>Methotrexate:</w:t>
      </w:r>
    </w:p>
    <w:p w14:paraId="05DDAA0A"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color w:val="000000"/>
          <w:sz w:val="22"/>
          <w:szCs w:val="22"/>
        </w:rPr>
      </w:pPr>
      <w:r w:rsidRPr="009B74CB">
        <w:rPr>
          <w:i/>
          <w:iCs/>
          <w:color w:val="000000"/>
          <w:sz w:val="22"/>
          <w:szCs w:val="22"/>
        </w:rPr>
        <w:t>C</w:t>
      </w:r>
      <w:r w:rsidRPr="009B74CB">
        <w:rPr>
          <w:color w:val="000000"/>
          <w:sz w:val="22"/>
          <w:szCs w:val="22"/>
        </w:rPr>
        <w:t xml:space="preserve">aution should be exercised with concomitant use of INDOMETHACIN BIOTECH 25, with </w:t>
      </w:r>
      <w:r w:rsidRPr="009B74CB">
        <w:rPr>
          <w:color w:val="000000"/>
          <w:sz w:val="22"/>
          <w:szCs w:val="22"/>
        </w:rPr>
        <w:lastRenderedPageBreak/>
        <w:t>methotrexate.</w:t>
      </w:r>
    </w:p>
    <w:p w14:paraId="23D0F303"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color w:val="000000"/>
          <w:sz w:val="22"/>
          <w:szCs w:val="22"/>
        </w:rPr>
      </w:pPr>
      <w:r w:rsidRPr="009B74CB">
        <w:rPr>
          <w:color w:val="000000"/>
          <w:sz w:val="22"/>
          <w:szCs w:val="22"/>
        </w:rPr>
        <w:t>Indomethacin, as in INDOMETHACIN BIOTECH 25, has been reported to decrease the tubular secretion of methotrexate and thereby to potentiate methotrexate toxicity.</w:t>
      </w:r>
    </w:p>
    <w:p w14:paraId="22078878"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sz w:val="22"/>
          <w:szCs w:val="22"/>
        </w:rPr>
      </w:pPr>
      <w:r w:rsidRPr="009B74CB">
        <w:rPr>
          <w:color w:val="000000"/>
          <w:sz w:val="22"/>
          <w:szCs w:val="22"/>
        </w:rPr>
        <w:t>Serious interactions have been reported with the use of high doses of methotrexate with INDOMETHACIN BIOTECH 25.</w:t>
      </w:r>
    </w:p>
    <w:p w14:paraId="160B16EC"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color w:val="000000"/>
          <w:sz w:val="22"/>
          <w:szCs w:val="22"/>
        </w:rPr>
      </w:pPr>
    </w:p>
    <w:p w14:paraId="427B1F78"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b/>
          <w:bCs/>
          <w:color w:val="000000"/>
          <w:sz w:val="22"/>
          <w:szCs w:val="22"/>
        </w:rPr>
      </w:pPr>
      <w:r w:rsidRPr="009B74CB">
        <w:rPr>
          <w:b/>
          <w:bCs/>
          <w:color w:val="000000"/>
          <w:sz w:val="22"/>
          <w:szCs w:val="22"/>
        </w:rPr>
        <w:t xml:space="preserve">Mifepristone: </w:t>
      </w:r>
    </w:p>
    <w:p w14:paraId="0873203B"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jc w:val="both"/>
        <w:rPr>
          <w:sz w:val="22"/>
          <w:szCs w:val="22"/>
        </w:rPr>
      </w:pPr>
      <w:r w:rsidRPr="009B74CB">
        <w:rPr>
          <w:color w:val="000000"/>
          <w:sz w:val="22"/>
          <w:szCs w:val="22"/>
        </w:rPr>
        <w:t>NSAIDs, such as INDOMETHACIN BIOTECH 25, and aspirin should not be used for 8 to 12 days after mifepristone administration as NSAIDs can reduce the effect of mifepristone.</w:t>
      </w:r>
    </w:p>
    <w:p w14:paraId="43A81E8C" w14:textId="77777777" w:rsidR="009B74CB" w:rsidRPr="009B74CB" w:rsidRDefault="009B74CB" w:rsidP="000C2019">
      <w:pPr>
        <w:pStyle w:val="MSGENFONTSTYLENAMETEMPLATEROLENUMBERMSGENFONTSTYLENAMEBYROLETEXT20"/>
        <w:shd w:val="clear" w:color="auto" w:fill="auto"/>
        <w:tabs>
          <w:tab w:val="left" w:pos="373"/>
        </w:tabs>
        <w:spacing w:before="0" w:after="0" w:line="480" w:lineRule="auto"/>
        <w:ind w:left="360"/>
        <w:jc w:val="both"/>
        <w:rPr>
          <w:color w:val="000000"/>
          <w:sz w:val="22"/>
          <w:szCs w:val="22"/>
        </w:rPr>
      </w:pPr>
    </w:p>
    <w:p w14:paraId="23A8B3A8"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b/>
          <w:bCs/>
          <w:color w:val="000000"/>
          <w:sz w:val="22"/>
          <w:szCs w:val="22"/>
        </w:rPr>
      </w:pPr>
      <w:r w:rsidRPr="009B74CB">
        <w:rPr>
          <w:b/>
          <w:bCs/>
          <w:color w:val="000000"/>
          <w:sz w:val="22"/>
          <w:szCs w:val="22"/>
        </w:rPr>
        <w:t xml:space="preserve">Muscle relaxants: </w:t>
      </w:r>
    </w:p>
    <w:p w14:paraId="1A0102DC" w14:textId="77777777" w:rsidR="009B74CB" w:rsidRPr="009B74CB" w:rsidRDefault="009B74CB" w:rsidP="000C2019">
      <w:pPr>
        <w:pStyle w:val="MSGENFONTSTYLENAMETEMPLATEROLENUMBERMSGENFONTSTYLENAMEBYROLETEXT20"/>
        <w:shd w:val="clear" w:color="auto" w:fill="auto"/>
        <w:tabs>
          <w:tab w:val="left" w:pos="391"/>
        </w:tabs>
        <w:spacing w:before="0" w:after="0" w:line="480" w:lineRule="auto"/>
        <w:jc w:val="both"/>
        <w:rPr>
          <w:sz w:val="22"/>
          <w:szCs w:val="22"/>
        </w:rPr>
      </w:pPr>
      <w:r w:rsidRPr="009B74CB">
        <w:rPr>
          <w:color w:val="000000"/>
          <w:sz w:val="22"/>
          <w:szCs w:val="22"/>
        </w:rPr>
        <w:t>Concomitant use of NSAIDs, such as INDOMETHACIN BIOTECH 25, and baclofen may induce baclofen toxicity due to a reduced rate of excretion.</w:t>
      </w:r>
    </w:p>
    <w:p w14:paraId="33D768B2"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b/>
          <w:bCs/>
          <w:color w:val="000000"/>
          <w:sz w:val="22"/>
          <w:szCs w:val="22"/>
        </w:rPr>
      </w:pPr>
    </w:p>
    <w:p w14:paraId="69D84609"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b/>
          <w:bCs/>
          <w:color w:val="000000"/>
          <w:sz w:val="22"/>
          <w:szCs w:val="22"/>
        </w:rPr>
      </w:pPr>
      <w:r w:rsidRPr="009B74CB">
        <w:rPr>
          <w:b/>
          <w:bCs/>
          <w:color w:val="000000"/>
          <w:sz w:val="22"/>
          <w:szCs w:val="22"/>
        </w:rPr>
        <w:t xml:space="preserve">Pentoxifylline: </w:t>
      </w:r>
    </w:p>
    <w:p w14:paraId="2903AB27" w14:textId="77777777" w:rsidR="009B74CB" w:rsidRPr="009B74CB" w:rsidRDefault="009B74CB" w:rsidP="000C2019">
      <w:pPr>
        <w:pStyle w:val="MSGENFONTSTYLENAMETEMPLATEROLENUMBERMSGENFONTSTYLENAMEBYROLETEXT20"/>
        <w:shd w:val="clear" w:color="auto" w:fill="auto"/>
        <w:tabs>
          <w:tab w:val="left" w:pos="391"/>
        </w:tabs>
        <w:spacing w:before="0" w:after="0" w:line="480" w:lineRule="auto"/>
        <w:jc w:val="both"/>
        <w:rPr>
          <w:color w:val="000000"/>
          <w:sz w:val="22"/>
          <w:szCs w:val="22"/>
        </w:rPr>
      </w:pPr>
      <w:r w:rsidRPr="009B74CB">
        <w:rPr>
          <w:color w:val="000000"/>
          <w:sz w:val="22"/>
          <w:szCs w:val="22"/>
        </w:rPr>
        <w:t>Possible increased risk of bleeding when taken with NSAIDs.</w:t>
      </w:r>
    </w:p>
    <w:p w14:paraId="0CC9AF84" w14:textId="77777777" w:rsidR="009B74CB" w:rsidRPr="009B74CB" w:rsidRDefault="009B74CB" w:rsidP="000C2019">
      <w:pPr>
        <w:pStyle w:val="MSGENFONTSTYLENAMETEMPLATEROLENUMBERMSGENFONTSTYLENAMEBYROLETEXT20"/>
        <w:shd w:val="clear" w:color="auto" w:fill="auto"/>
        <w:tabs>
          <w:tab w:val="left" w:pos="391"/>
        </w:tabs>
        <w:spacing w:before="0" w:after="0" w:line="480" w:lineRule="auto"/>
        <w:jc w:val="both"/>
        <w:rPr>
          <w:sz w:val="22"/>
          <w:szCs w:val="22"/>
        </w:rPr>
      </w:pPr>
    </w:p>
    <w:p w14:paraId="305F2535"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b/>
          <w:bCs/>
          <w:color w:val="000000"/>
          <w:sz w:val="22"/>
          <w:szCs w:val="22"/>
        </w:rPr>
      </w:pPr>
      <w:r w:rsidRPr="009B74CB">
        <w:rPr>
          <w:b/>
          <w:bCs/>
          <w:color w:val="000000"/>
          <w:sz w:val="22"/>
          <w:szCs w:val="22"/>
        </w:rPr>
        <w:t xml:space="preserve">Probenecid: </w:t>
      </w:r>
    </w:p>
    <w:p w14:paraId="4D233C51" w14:textId="77777777" w:rsidR="009B74CB" w:rsidRPr="009B74CB" w:rsidRDefault="009B74CB" w:rsidP="000C2019">
      <w:pPr>
        <w:pStyle w:val="MSGENFONTSTYLENAMETEMPLATEROLENUMBERMSGENFONTSTYLENAMEBYROLETEXT20"/>
        <w:shd w:val="clear" w:color="auto" w:fill="auto"/>
        <w:tabs>
          <w:tab w:val="left" w:pos="391"/>
        </w:tabs>
        <w:spacing w:before="0" w:after="0" w:line="480" w:lineRule="auto"/>
        <w:jc w:val="both"/>
        <w:rPr>
          <w:sz w:val="22"/>
          <w:szCs w:val="22"/>
        </w:rPr>
      </w:pPr>
      <w:r w:rsidRPr="009B74CB">
        <w:rPr>
          <w:color w:val="000000"/>
          <w:sz w:val="22"/>
          <w:szCs w:val="22"/>
        </w:rPr>
        <w:t>Coadministration of probenecid may increase indomethacin and its inactive metabolites plasma levels. Therefore, a lower total daily dosage in INDOMETHACIN BIOTECH 25 may produce a satisfactory therapeutic effect. When increases in the dose of INDOMETHACIN BIOTECH 25 are made under these circumstances, they should be made cautiously and in small increments.</w:t>
      </w:r>
    </w:p>
    <w:p w14:paraId="5BCDD600"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b/>
          <w:bCs/>
          <w:color w:val="000000"/>
          <w:sz w:val="22"/>
          <w:szCs w:val="22"/>
        </w:rPr>
      </w:pPr>
    </w:p>
    <w:p w14:paraId="0297B165" w14:textId="77777777" w:rsidR="009B74CB" w:rsidRPr="009B74CB" w:rsidRDefault="009B74CB" w:rsidP="000C2019">
      <w:pPr>
        <w:pStyle w:val="MSGENFONTSTYLENAMETEMPLATEROLENUMBERMSGENFONTSTYLENAMEBYROLETEXT20"/>
        <w:shd w:val="clear" w:color="auto" w:fill="auto"/>
        <w:tabs>
          <w:tab w:val="left" w:pos="391"/>
        </w:tabs>
        <w:spacing w:before="0" w:after="0" w:line="480" w:lineRule="auto"/>
        <w:jc w:val="both"/>
        <w:rPr>
          <w:b/>
          <w:bCs/>
          <w:color w:val="000000"/>
          <w:sz w:val="22"/>
          <w:szCs w:val="22"/>
        </w:rPr>
      </w:pPr>
      <w:r w:rsidRPr="009B74CB">
        <w:rPr>
          <w:b/>
          <w:bCs/>
          <w:color w:val="000000"/>
          <w:sz w:val="22"/>
          <w:szCs w:val="22"/>
        </w:rPr>
        <w:t>Quinolone antibiotics:</w:t>
      </w:r>
    </w:p>
    <w:p w14:paraId="107D18AE"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sz w:val="22"/>
          <w:szCs w:val="22"/>
        </w:rPr>
      </w:pPr>
      <w:r w:rsidRPr="009B74CB">
        <w:rPr>
          <w:color w:val="000000"/>
          <w:sz w:val="22"/>
          <w:szCs w:val="22"/>
        </w:rPr>
        <w:t>Animal data indicate the NSAIDs can increase the risk of convulsions associated with quinolone antibiotics. Patients taking INDOMETHACIN BIOTECH 25 and quinolones may have an increased risk of developing convulsions.</w:t>
      </w:r>
    </w:p>
    <w:p w14:paraId="2A288C67" w14:textId="77777777" w:rsidR="009B74CB" w:rsidRPr="009B74CB" w:rsidRDefault="009B74CB" w:rsidP="000C2019">
      <w:pPr>
        <w:pStyle w:val="MSGENFONTSTYLENAMETEMPLATEROLENUMBERMSGENFONTSTYLENAMEBYROLETEXT20"/>
        <w:shd w:val="clear" w:color="auto" w:fill="auto"/>
        <w:tabs>
          <w:tab w:val="left" w:pos="391"/>
        </w:tabs>
        <w:spacing w:before="0" w:after="0" w:line="480" w:lineRule="auto"/>
        <w:jc w:val="both"/>
        <w:rPr>
          <w:b/>
          <w:bCs/>
          <w:color w:val="000000"/>
          <w:sz w:val="22"/>
          <w:szCs w:val="22"/>
        </w:rPr>
      </w:pPr>
    </w:p>
    <w:p w14:paraId="709F16F1" w14:textId="77777777" w:rsidR="009B74CB" w:rsidRPr="009B74CB" w:rsidRDefault="009B74CB" w:rsidP="000C2019">
      <w:pPr>
        <w:pStyle w:val="MSGENFONTSTYLENAMETEMPLATEROLENUMBERMSGENFONTSTYLENAMEBYROLETEXT20"/>
        <w:shd w:val="clear" w:color="auto" w:fill="auto"/>
        <w:tabs>
          <w:tab w:val="left" w:pos="391"/>
        </w:tabs>
        <w:spacing w:before="0" w:after="0" w:line="480" w:lineRule="auto"/>
        <w:jc w:val="both"/>
        <w:rPr>
          <w:b/>
          <w:bCs/>
          <w:color w:val="000000"/>
          <w:sz w:val="22"/>
          <w:szCs w:val="22"/>
        </w:rPr>
      </w:pPr>
      <w:r w:rsidRPr="009B74CB">
        <w:rPr>
          <w:b/>
          <w:bCs/>
          <w:color w:val="000000"/>
          <w:sz w:val="22"/>
          <w:szCs w:val="22"/>
        </w:rPr>
        <w:t xml:space="preserve">Salicylates: </w:t>
      </w:r>
    </w:p>
    <w:p w14:paraId="22401F5A"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sz w:val="22"/>
          <w:szCs w:val="22"/>
        </w:rPr>
      </w:pPr>
      <w:r w:rsidRPr="009B74CB">
        <w:rPr>
          <w:color w:val="000000"/>
          <w:sz w:val="22"/>
          <w:szCs w:val="22"/>
        </w:rPr>
        <w:t>The use of INDOMETHACIN BIOTECH 25 with aspirin or other salicylates is not recommended because there is no enhancement of therapeutic effect while the incidence of gastrointestinal adverse effects is increased. Moreover, coadministration of aspirin may decrease the blood concentration of INDOMETHACIN BIOTECH 25.</w:t>
      </w:r>
    </w:p>
    <w:p w14:paraId="10FF86A8" w14:textId="77777777" w:rsidR="009B74CB" w:rsidRPr="009B74CB" w:rsidRDefault="009B74CB" w:rsidP="000C2019">
      <w:pPr>
        <w:pStyle w:val="MSGENFONTSTYLENAMETEMPLATEROLENUMBERMSGENFONTSTYLENAMEBYROLETEXT20"/>
        <w:shd w:val="clear" w:color="auto" w:fill="auto"/>
        <w:tabs>
          <w:tab w:val="left" w:pos="391"/>
        </w:tabs>
        <w:spacing w:before="0" w:after="0" w:line="480" w:lineRule="auto"/>
        <w:jc w:val="both"/>
        <w:rPr>
          <w:b/>
          <w:bCs/>
          <w:color w:val="000000"/>
          <w:sz w:val="22"/>
          <w:szCs w:val="22"/>
        </w:rPr>
      </w:pPr>
    </w:p>
    <w:p w14:paraId="35DD8F08"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color w:val="000000"/>
          <w:sz w:val="22"/>
          <w:szCs w:val="22"/>
        </w:rPr>
      </w:pPr>
      <w:r w:rsidRPr="009B74CB">
        <w:rPr>
          <w:b/>
          <w:bCs/>
          <w:color w:val="000000"/>
          <w:sz w:val="22"/>
          <w:szCs w:val="22"/>
        </w:rPr>
        <w:t>Tiludronic acid:</w:t>
      </w:r>
      <w:r w:rsidRPr="009B74CB">
        <w:rPr>
          <w:color w:val="000000"/>
          <w:sz w:val="22"/>
          <w:szCs w:val="22"/>
        </w:rPr>
        <w:t xml:space="preserve"> </w:t>
      </w:r>
    </w:p>
    <w:p w14:paraId="0FC501FF"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sz w:val="22"/>
          <w:szCs w:val="22"/>
        </w:rPr>
      </w:pPr>
      <w:r w:rsidRPr="009B74CB">
        <w:rPr>
          <w:color w:val="000000"/>
          <w:sz w:val="22"/>
          <w:szCs w:val="22"/>
        </w:rPr>
        <w:t>The bioavailability of tiludronic acid is increased by indomethacin, as in INDOMETHACIN BIOTECH 25.</w:t>
      </w:r>
    </w:p>
    <w:p w14:paraId="13EA502F"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b/>
          <w:bCs/>
          <w:color w:val="000000"/>
          <w:sz w:val="22"/>
          <w:szCs w:val="22"/>
        </w:rPr>
      </w:pPr>
    </w:p>
    <w:p w14:paraId="1F12C590" w14:textId="77777777" w:rsidR="009B74CB" w:rsidRPr="009B74CB" w:rsidRDefault="009B74CB" w:rsidP="000C2019">
      <w:pPr>
        <w:pStyle w:val="MSGENFONTSTYLENAMETEMPLATEROLENUMBERMSGENFONTSTYLENAMEBYROLETEXT20"/>
        <w:shd w:val="clear" w:color="auto" w:fill="auto"/>
        <w:tabs>
          <w:tab w:val="left" w:pos="387"/>
        </w:tabs>
        <w:spacing w:before="0" w:after="0" w:line="480" w:lineRule="auto"/>
        <w:jc w:val="both"/>
        <w:rPr>
          <w:color w:val="000000"/>
          <w:sz w:val="22"/>
          <w:szCs w:val="22"/>
        </w:rPr>
      </w:pPr>
      <w:r w:rsidRPr="009B74CB">
        <w:rPr>
          <w:b/>
          <w:bCs/>
          <w:color w:val="000000"/>
          <w:sz w:val="22"/>
          <w:szCs w:val="22"/>
        </w:rPr>
        <w:t>Laboratory tests:</w:t>
      </w:r>
      <w:r w:rsidRPr="009B74CB">
        <w:rPr>
          <w:color w:val="000000"/>
          <w:sz w:val="22"/>
          <w:szCs w:val="22"/>
        </w:rPr>
        <w:t xml:space="preserve"> </w:t>
      </w:r>
    </w:p>
    <w:p w14:paraId="2E31D86A"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color w:val="000000"/>
        </w:rPr>
        <w:t>False-negative results in the dexamethasone suppression test (DST) in patients being treated with INDOMETHACIN BIOTECH 25 have been reported. Thus, the results of this test should be used with caution in these patients.</w:t>
      </w:r>
    </w:p>
    <w:p w14:paraId="49482FB3" w14:textId="77777777" w:rsidR="009B74CB" w:rsidRPr="009B74CB" w:rsidRDefault="009B74CB" w:rsidP="000C2019">
      <w:pPr>
        <w:widowControl w:val="0"/>
        <w:spacing w:after="0" w:line="480" w:lineRule="auto"/>
        <w:jc w:val="both"/>
        <w:rPr>
          <w:rFonts w:ascii="Arial" w:hAnsi="Arial" w:cs="Arial"/>
        </w:rPr>
      </w:pPr>
    </w:p>
    <w:p w14:paraId="715AD405" w14:textId="77777777" w:rsidR="009B74CB" w:rsidRPr="009B74CB" w:rsidRDefault="009B74CB" w:rsidP="000C2019">
      <w:pPr>
        <w:widowControl w:val="0"/>
        <w:spacing w:after="0" w:line="480" w:lineRule="auto"/>
        <w:ind w:left="567" w:hanging="567"/>
        <w:jc w:val="both"/>
        <w:rPr>
          <w:rFonts w:ascii="Arial" w:hAnsi="Arial" w:cs="Arial"/>
          <w:b/>
          <w:noProof/>
          <w:highlight w:val="yellow"/>
          <w:lang w:val="en-GB"/>
        </w:rPr>
      </w:pPr>
      <w:r w:rsidRPr="009B74CB">
        <w:rPr>
          <w:rFonts w:ascii="Arial" w:hAnsi="Arial" w:cs="Arial"/>
          <w:b/>
          <w:noProof/>
          <w:lang w:val="en-GB"/>
        </w:rPr>
        <w:t>4.6</w:t>
      </w:r>
      <w:r w:rsidRPr="009B74CB">
        <w:rPr>
          <w:rFonts w:ascii="Arial" w:hAnsi="Arial" w:cs="Arial"/>
          <w:b/>
          <w:noProof/>
          <w:lang w:val="en-GB"/>
        </w:rPr>
        <w:tab/>
      </w:r>
      <w:r w:rsidRPr="009B74CB">
        <w:rPr>
          <w:rFonts w:ascii="Arial" w:hAnsi="Arial" w:cs="Arial"/>
          <w:b/>
          <w:bCs/>
          <w:lang w:val="en-GB"/>
        </w:rPr>
        <w:t>Fertility, p</w:t>
      </w:r>
      <w:r w:rsidRPr="009B74CB">
        <w:rPr>
          <w:rFonts w:ascii="Arial" w:hAnsi="Arial" w:cs="Arial"/>
          <w:b/>
          <w:noProof/>
          <w:lang w:val="en-GB"/>
        </w:rPr>
        <w:t>regnancy and lactation:</w:t>
      </w:r>
    </w:p>
    <w:p w14:paraId="4484B688" w14:textId="77777777" w:rsidR="009B74CB" w:rsidRPr="009B74CB" w:rsidRDefault="009B74CB" w:rsidP="000C2019">
      <w:pPr>
        <w:widowControl w:val="0"/>
        <w:spacing w:after="0" w:line="480" w:lineRule="auto"/>
        <w:jc w:val="both"/>
        <w:outlineLvl w:val="0"/>
        <w:rPr>
          <w:rFonts w:ascii="Arial" w:hAnsi="Arial" w:cs="Arial"/>
          <w:bCs/>
          <w:noProof/>
          <w:lang w:val="en-GB"/>
        </w:rPr>
      </w:pPr>
      <w:r w:rsidRPr="009B74CB">
        <w:rPr>
          <w:rFonts w:ascii="Arial" w:hAnsi="Arial" w:cs="Arial"/>
          <w:bCs/>
          <w:noProof/>
          <w:lang w:val="en-GB"/>
        </w:rPr>
        <w:t>The use of INDOMETHACIN BIOTECH 25 is contraindicated in pregnancy and lactation (see section 4.3).</w:t>
      </w:r>
    </w:p>
    <w:p w14:paraId="325B5CD8" w14:textId="77777777" w:rsidR="009B74CB" w:rsidRPr="009B74CB" w:rsidRDefault="009B74CB" w:rsidP="000C2019">
      <w:pPr>
        <w:widowControl w:val="0"/>
        <w:spacing w:after="0" w:line="480" w:lineRule="auto"/>
        <w:jc w:val="both"/>
        <w:outlineLvl w:val="0"/>
        <w:rPr>
          <w:rFonts w:ascii="Arial" w:hAnsi="Arial" w:cs="Arial"/>
          <w:bCs/>
          <w:noProof/>
          <w:lang w:val="en-GB"/>
        </w:rPr>
      </w:pPr>
    </w:p>
    <w:p w14:paraId="76059159" w14:textId="77777777" w:rsidR="009B74CB" w:rsidRPr="009B74CB" w:rsidRDefault="009B74CB" w:rsidP="000C2019">
      <w:pPr>
        <w:widowControl w:val="0"/>
        <w:spacing w:after="0" w:line="480" w:lineRule="auto"/>
        <w:jc w:val="both"/>
        <w:outlineLvl w:val="0"/>
        <w:rPr>
          <w:rFonts w:ascii="Arial" w:hAnsi="Arial" w:cs="Arial"/>
          <w:b/>
          <w:noProof/>
          <w:lang w:val="en-GB"/>
        </w:rPr>
      </w:pPr>
      <w:r w:rsidRPr="009B74CB">
        <w:rPr>
          <w:rFonts w:ascii="Arial" w:hAnsi="Arial" w:cs="Arial"/>
          <w:b/>
          <w:noProof/>
          <w:lang w:val="en-GB"/>
        </w:rPr>
        <w:t>Pregnancy:</w:t>
      </w:r>
    </w:p>
    <w:p w14:paraId="4EA5FD17" w14:textId="77777777" w:rsidR="009B74CB" w:rsidRPr="009B74CB" w:rsidRDefault="009B74CB" w:rsidP="000C2019">
      <w:pPr>
        <w:widowControl w:val="0"/>
        <w:spacing w:after="0" w:line="480" w:lineRule="auto"/>
        <w:jc w:val="both"/>
        <w:outlineLvl w:val="0"/>
        <w:rPr>
          <w:rFonts w:ascii="Arial" w:hAnsi="Arial" w:cs="Arial"/>
          <w:bCs/>
          <w:noProof/>
          <w:lang w:val="en-GB"/>
        </w:rPr>
      </w:pPr>
      <w:r w:rsidRPr="009B74CB">
        <w:rPr>
          <w:rFonts w:ascii="Arial" w:hAnsi="Arial" w:cs="Arial"/>
          <w:bCs/>
          <w:noProof/>
          <w:lang w:val="en-GB"/>
        </w:rPr>
        <w:t>INDOMETHACIN BIOTECH 25 is contraindicated in pregnant women (see section 4.3 and 4,4).</w:t>
      </w:r>
    </w:p>
    <w:p w14:paraId="50EB3BA3" w14:textId="0A449B1F" w:rsidR="009B74CB" w:rsidRPr="009B74CB" w:rsidRDefault="009B74CB" w:rsidP="000C2019">
      <w:pPr>
        <w:widowControl w:val="0"/>
        <w:spacing w:after="0" w:line="480" w:lineRule="auto"/>
        <w:jc w:val="both"/>
        <w:outlineLvl w:val="0"/>
        <w:rPr>
          <w:rFonts w:ascii="Arial" w:hAnsi="Arial" w:cs="Arial"/>
          <w:bCs/>
          <w:noProof/>
          <w:lang w:val="en-GB"/>
        </w:rPr>
      </w:pPr>
      <w:r w:rsidRPr="009B74CB">
        <w:rPr>
          <w:rFonts w:ascii="Arial" w:hAnsi="Arial" w:cs="Arial"/>
          <w:bCs/>
          <w:noProof/>
          <w:lang w:val="en-GB"/>
        </w:rPr>
        <w:t>Regular use of nonsteroidal anti-inflammatory drugs, such as INDOMETHACIN BIOTECH 25, during the third trimester of pregnancy, may result in premature closure of the foetal ductus arteriosus in utero, and possibly, in persistent pulmonary hypertension of the new-born. The onset of labour may be delayed and its duration increased.</w:t>
      </w:r>
    </w:p>
    <w:p w14:paraId="6B5BC5B6" w14:textId="77777777" w:rsidR="009B74CB" w:rsidRPr="009B74CB" w:rsidRDefault="009B74CB" w:rsidP="000C2019">
      <w:pPr>
        <w:widowControl w:val="0"/>
        <w:spacing w:after="0" w:line="480" w:lineRule="auto"/>
        <w:jc w:val="both"/>
        <w:outlineLvl w:val="0"/>
        <w:rPr>
          <w:rFonts w:ascii="Arial" w:hAnsi="Arial" w:cs="Arial"/>
          <w:b/>
          <w:noProof/>
          <w:lang w:val="en-GB"/>
        </w:rPr>
      </w:pPr>
    </w:p>
    <w:p w14:paraId="3ABCCDBB" w14:textId="77777777" w:rsidR="009B74CB" w:rsidRPr="009B74CB" w:rsidRDefault="009B74CB" w:rsidP="000C2019">
      <w:pPr>
        <w:widowControl w:val="0"/>
        <w:spacing w:after="0" w:line="480" w:lineRule="auto"/>
        <w:jc w:val="both"/>
        <w:outlineLvl w:val="0"/>
        <w:rPr>
          <w:rFonts w:ascii="Arial" w:hAnsi="Arial" w:cs="Arial"/>
          <w:bCs/>
          <w:noProof/>
          <w:lang w:val="en-GB"/>
        </w:rPr>
      </w:pPr>
      <w:r w:rsidRPr="009B74CB">
        <w:rPr>
          <w:rFonts w:ascii="Arial" w:hAnsi="Arial" w:cs="Arial"/>
          <w:bCs/>
          <w:noProof/>
          <w:lang w:val="en-GB"/>
        </w:rPr>
        <w:lastRenderedPageBreak/>
        <w:t xml:space="preserve">Inhibition of prostaglandin synthesis may adversely affect the pregnancy and/or the embryo/foetal development. Data from epidemiological studies suggest an increased risk of miscarriage and of cardiac malformation after use of a prostaglandin synthesis inhibitor in early pregnancy. The absolute risk for cardiovascular malformation was increased from less than 1 %, up to approximately 1,5 %. The risk is believed to increase with dose and duration of therapy. In animals, administration of a prostaglandin synthesis inhibitor has been shown to result in increased pre- and post-implantation loss and embryo-foetal lethality. In addition, increased incidences of various malformations, including cardiovascular, have been reported in animals given a prostaglandin synthesis inhibitor during the organogenetic period. </w:t>
      </w:r>
    </w:p>
    <w:p w14:paraId="782D4716" w14:textId="77777777" w:rsidR="009B74CB" w:rsidRPr="009B74CB" w:rsidRDefault="009B74CB" w:rsidP="000C2019">
      <w:pPr>
        <w:widowControl w:val="0"/>
        <w:spacing w:after="0" w:line="480" w:lineRule="auto"/>
        <w:jc w:val="both"/>
        <w:outlineLvl w:val="0"/>
        <w:rPr>
          <w:rFonts w:ascii="Arial" w:hAnsi="Arial" w:cs="Arial"/>
          <w:bCs/>
          <w:noProof/>
          <w:lang w:val="en-GB"/>
        </w:rPr>
      </w:pPr>
    </w:p>
    <w:p w14:paraId="7C0D141E" w14:textId="77777777" w:rsidR="009B74CB" w:rsidRPr="009B74CB" w:rsidRDefault="009B74CB" w:rsidP="000C2019">
      <w:pPr>
        <w:widowControl w:val="0"/>
        <w:spacing w:after="0" w:line="480" w:lineRule="auto"/>
        <w:jc w:val="both"/>
        <w:outlineLvl w:val="0"/>
        <w:rPr>
          <w:rFonts w:ascii="Arial" w:hAnsi="Arial" w:cs="Arial"/>
          <w:bCs/>
          <w:i/>
          <w:iCs/>
          <w:noProof/>
          <w:lang w:val="en-GB"/>
        </w:rPr>
      </w:pPr>
      <w:r w:rsidRPr="009B74CB">
        <w:rPr>
          <w:rFonts w:ascii="Arial" w:hAnsi="Arial" w:cs="Arial"/>
          <w:bCs/>
          <w:i/>
          <w:iCs/>
          <w:noProof/>
          <w:lang w:val="en-GB"/>
        </w:rPr>
        <w:t>During the third trimester of pregnancy, all prostaglandin synthesis inhibitors may expose the foetus to:</w:t>
      </w:r>
    </w:p>
    <w:p w14:paraId="1CC9D04A"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noProof/>
          <w:sz w:val="22"/>
          <w:szCs w:val="22"/>
        </w:rPr>
      </w:pPr>
      <w:r w:rsidRPr="009B74CB">
        <w:rPr>
          <w:rFonts w:ascii="Arial" w:hAnsi="Arial" w:cs="Arial"/>
          <w:bCs/>
          <w:noProof/>
          <w:sz w:val="22"/>
          <w:szCs w:val="22"/>
        </w:rPr>
        <w:t>cardiopulmonary toxicity (with premature closure of the ductus arteriosus and pulmonary hypertension);</w:t>
      </w:r>
    </w:p>
    <w:p w14:paraId="0548776F"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noProof/>
          <w:sz w:val="22"/>
          <w:szCs w:val="22"/>
        </w:rPr>
      </w:pPr>
      <w:r w:rsidRPr="009B74CB">
        <w:rPr>
          <w:rFonts w:ascii="Arial" w:hAnsi="Arial" w:cs="Arial"/>
          <w:bCs/>
          <w:noProof/>
          <w:sz w:val="22"/>
          <w:szCs w:val="22"/>
        </w:rPr>
        <w:t xml:space="preserve">renal dysfunction, which may progress to renal failure with oligohydroamniosis; </w:t>
      </w:r>
    </w:p>
    <w:p w14:paraId="481A9AEA" w14:textId="77777777" w:rsidR="009B74CB" w:rsidRPr="009B74CB" w:rsidRDefault="009B74CB" w:rsidP="000C2019">
      <w:pPr>
        <w:widowControl w:val="0"/>
        <w:spacing w:after="0" w:line="480" w:lineRule="auto"/>
        <w:ind w:left="88"/>
        <w:jc w:val="both"/>
        <w:rPr>
          <w:rFonts w:ascii="Arial" w:hAnsi="Arial" w:cs="Arial"/>
          <w:bCs/>
          <w:i/>
          <w:iCs/>
          <w:noProof/>
          <w:lang w:val="en-GB"/>
        </w:rPr>
      </w:pPr>
      <w:r w:rsidRPr="009B74CB">
        <w:rPr>
          <w:rFonts w:ascii="Arial" w:hAnsi="Arial" w:cs="Arial"/>
          <w:bCs/>
          <w:i/>
          <w:iCs/>
          <w:noProof/>
          <w:lang w:val="en-GB"/>
        </w:rPr>
        <w:t>May expose the mother and the neonate, at the end of pregnancy to:</w:t>
      </w:r>
    </w:p>
    <w:p w14:paraId="3FB5E8B0"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noProof/>
          <w:sz w:val="22"/>
          <w:szCs w:val="22"/>
        </w:rPr>
      </w:pPr>
      <w:r w:rsidRPr="009B74CB">
        <w:rPr>
          <w:rFonts w:ascii="Arial" w:hAnsi="Arial" w:cs="Arial"/>
          <w:bCs/>
          <w:noProof/>
          <w:sz w:val="22"/>
          <w:szCs w:val="22"/>
        </w:rPr>
        <w:t>possible prolongation of bleeding time, an antiaggregating effect, which may occur even at very low doses;</w:t>
      </w:r>
    </w:p>
    <w:p w14:paraId="40AC6E12" w14:textId="77777777" w:rsidR="009B74CB" w:rsidRPr="009B74CB" w:rsidRDefault="009B74CB" w:rsidP="000C2019">
      <w:pPr>
        <w:pStyle w:val="ListParagraph"/>
        <w:widowControl w:val="0"/>
        <w:numPr>
          <w:ilvl w:val="0"/>
          <w:numId w:val="17"/>
        </w:numPr>
        <w:spacing w:line="480" w:lineRule="auto"/>
        <w:ind w:left="372" w:hanging="372"/>
        <w:contextualSpacing w:val="0"/>
        <w:jc w:val="both"/>
        <w:rPr>
          <w:rFonts w:ascii="Arial" w:hAnsi="Arial" w:cs="Arial"/>
          <w:bCs/>
          <w:noProof/>
          <w:sz w:val="22"/>
          <w:szCs w:val="22"/>
        </w:rPr>
      </w:pPr>
      <w:r w:rsidRPr="009B74CB">
        <w:rPr>
          <w:rFonts w:ascii="Arial" w:hAnsi="Arial" w:cs="Arial"/>
          <w:bCs/>
          <w:noProof/>
          <w:sz w:val="22"/>
          <w:szCs w:val="22"/>
        </w:rPr>
        <w:t xml:space="preserve">inhibition of uterine contractions resulting in delayed or prolonged labour. </w:t>
      </w:r>
    </w:p>
    <w:p w14:paraId="320782FB" w14:textId="77777777" w:rsidR="009B74CB" w:rsidRPr="009B74CB" w:rsidRDefault="009B74CB" w:rsidP="000C2019">
      <w:pPr>
        <w:widowControl w:val="0"/>
        <w:spacing w:after="0" w:line="480" w:lineRule="auto"/>
        <w:jc w:val="both"/>
        <w:outlineLvl w:val="0"/>
        <w:rPr>
          <w:rFonts w:ascii="Arial" w:hAnsi="Arial" w:cs="Arial"/>
          <w:bCs/>
          <w:noProof/>
          <w:lang w:val="en-GB"/>
        </w:rPr>
      </w:pPr>
    </w:p>
    <w:p w14:paraId="653893E0" w14:textId="77777777" w:rsidR="009B74CB" w:rsidRPr="009B74CB" w:rsidRDefault="009B74CB" w:rsidP="000C2019">
      <w:pPr>
        <w:widowControl w:val="0"/>
        <w:spacing w:after="0" w:line="480" w:lineRule="auto"/>
        <w:jc w:val="both"/>
        <w:outlineLvl w:val="0"/>
        <w:rPr>
          <w:rFonts w:ascii="Arial" w:hAnsi="Arial" w:cs="Arial"/>
          <w:b/>
          <w:noProof/>
          <w:lang w:val="en-GB"/>
        </w:rPr>
      </w:pPr>
      <w:r w:rsidRPr="009B74CB">
        <w:rPr>
          <w:rFonts w:ascii="Arial" w:hAnsi="Arial" w:cs="Arial"/>
          <w:b/>
          <w:noProof/>
          <w:lang w:val="en-GB"/>
        </w:rPr>
        <w:t>Lactation:</w:t>
      </w:r>
    </w:p>
    <w:p w14:paraId="468DD729" w14:textId="77777777" w:rsidR="009B74CB" w:rsidRPr="009B74CB" w:rsidRDefault="009B74CB" w:rsidP="000C2019">
      <w:pPr>
        <w:widowControl w:val="0"/>
        <w:spacing w:after="0" w:line="480" w:lineRule="auto"/>
        <w:jc w:val="both"/>
        <w:outlineLvl w:val="0"/>
        <w:rPr>
          <w:rFonts w:ascii="Arial" w:hAnsi="Arial" w:cs="Arial"/>
          <w:bCs/>
          <w:noProof/>
          <w:lang w:val="en-GB"/>
        </w:rPr>
      </w:pPr>
      <w:r w:rsidRPr="009B74CB">
        <w:rPr>
          <w:rFonts w:ascii="Arial" w:hAnsi="Arial" w:cs="Arial"/>
          <w:bCs/>
          <w:noProof/>
          <w:lang w:val="en-GB"/>
        </w:rPr>
        <w:t>INDOMETHACIN BIOTECH 25 is excreted in the breast milk of breastfeeding mothers.</w:t>
      </w:r>
    </w:p>
    <w:p w14:paraId="4A84111E" w14:textId="77777777" w:rsidR="009B74CB" w:rsidRPr="009B74CB" w:rsidRDefault="009B74CB" w:rsidP="000C2019">
      <w:pPr>
        <w:widowControl w:val="0"/>
        <w:spacing w:after="0" w:line="480" w:lineRule="auto"/>
        <w:jc w:val="both"/>
        <w:outlineLvl w:val="0"/>
        <w:rPr>
          <w:rFonts w:ascii="Arial" w:hAnsi="Arial" w:cs="Arial"/>
          <w:bCs/>
          <w:noProof/>
          <w:lang w:val="en-GB"/>
        </w:rPr>
      </w:pPr>
    </w:p>
    <w:p w14:paraId="479181D7" w14:textId="77777777" w:rsidR="009B74CB" w:rsidRPr="009B74CB" w:rsidRDefault="009B74CB" w:rsidP="000C2019">
      <w:pPr>
        <w:widowControl w:val="0"/>
        <w:spacing w:after="0" w:line="480" w:lineRule="auto"/>
        <w:jc w:val="both"/>
        <w:outlineLvl w:val="0"/>
        <w:rPr>
          <w:rFonts w:ascii="Arial" w:hAnsi="Arial" w:cs="Arial"/>
          <w:b/>
          <w:noProof/>
          <w:lang w:val="en-GB"/>
        </w:rPr>
      </w:pPr>
      <w:r w:rsidRPr="009B74CB">
        <w:rPr>
          <w:rFonts w:ascii="Arial" w:hAnsi="Arial" w:cs="Arial"/>
          <w:bCs/>
          <w:noProof/>
          <w:lang w:val="en-GB"/>
        </w:rPr>
        <w:t>INDOMETHACIN BIOTECH 25 should not be used by mothers who are breastfeeding their infants (see section 4.3).</w:t>
      </w:r>
    </w:p>
    <w:p w14:paraId="342EFC0F" w14:textId="77777777" w:rsidR="009B74CB" w:rsidRPr="009B74CB" w:rsidRDefault="009B74CB" w:rsidP="000C2019">
      <w:pPr>
        <w:widowControl w:val="0"/>
        <w:spacing w:after="0" w:line="480" w:lineRule="auto"/>
        <w:jc w:val="both"/>
        <w:outlineLvl w:val="0"/>
        <w:rPr>
          <w:rFonts w:ascii="Arial" w:hAnsi="Arial" w:cs="Arial"/>
          <w:b/>
          <w:noProof/>
          <w:lang w:val="en-GB"/>
        </w:rPr>
      </w:pPr>
    </w:p>
    <w:p w14:paraId="098894F5" w14:textId="77777777" w:rsidR="009B74CB" w:rsidRPr="009B74CB" w:rsidRDefault="009B74CB" w:rsidP="000C2019">
      <w:pPr>
        <w:widowControl w:val="0"/>
        <w:spacing w:after="0" w:line="480" w:lineRule="auto"/>
        <w:jc w:val="both"/>
        <w:outlineLvl w:val="0"/>
        <w:rPr>
          <w:rFonts w:ascii="Arial" w:hAnsi="Arial" w:cs="Arial"/>
          <w:b/>
          <w:noProof/>
          <w:lang w:val="en-GB"/>
        </w:rPr>
      </w:pPr>
      <w:r w:rsidRPr="009B74CB">
        <w:rPr>
          <w:rFonts w:ascii="Arial" w:hAnsi="Arial" w:cs="Arial"/>
          <w:b/>
          <w:bCs/>
          <w:color w:val="000000"/>
        </w:rPr>
        <w:t>Impaired female fertility:</w:t>
      </w:r>
    </w:p>
    <w:p w14:paraId="57C735BF" w14:textId="77777777" w:rsidR="009B74CB" w:rsidRPr="009B74CB" w:rsidRDefault="009B74CB" w:rsidP="000C2019">
      <w:pPr>
        <w:widowControl w:val="0"/>
        <w:spacing w:after="0" w:line="480" w:lineRule="auto"/>
        <w:jc w:val="both"/>
        <w:outlineLvl w:val="0"/>
        <w:rPr>
          <w:rFonts w:ascii="Arial" w:hAnsi="Arial" w:cs="Arial"/>
          <w:b/>
          <w:noProof/>
          <w:lang w:val="en-GB"/>
        </w:rPr>
      </w:pPr>
      <w:r w:rsidRPr="009B74CB">
        <w:rPr>
          <w:rFonts w:ascii="Arial" w:hAnsi="Arial" w:cs="Arial"/>
          <w:color w:val="000000"/>
        </w:rPr>
        <w:lastRenderedPageBreak/>
        <w:t xml:space="preserve">The use of </w:t>
      </w:r>
      <w:r w:rsidRPr="009B74CB">
        <w:rPr>
          <w:rFonts w:ascii="Arial" w:hAnsi="Arial" w:cs="Arial"/>
          <w:bCs/>
          <w:color w:val="000000"/>
          <w:lang w:val="en-GB"/>
        </w:rPr>
        <w:t>INDOMETHACIN BIOTECH 25</w:t>
      </w:r>
      <w:r w:rsidRPr="009B74CB">
        <w:rPr>
          <w:rFonts w:ascii="Arial" w:hAnsi="Arial" w:cs="Arial"/>
          <w:color w:val="000000"/>
        </w:rPr>
        <w:t xml:space="preserve"> may impair female fertility and is not recommended in women attempting to conceive. In women who have difficulties conceiving or who are undergoing investigation of infertility, withdrawal of INDOMETHACIN BIOTECH 25 should be considered.</w:t>
      </w:r>
    </w:p>
    <w:p w14:paraId="1065C9D0" w14:textId="77777777" w:rsidR="009B74CB" w:rsidRPr="009B74CB" w:rsidRDefault="009B74CB" w:rsidP="000C2019">
      <w:pPr>
        <w:widowControl w:val="0"/>
        <w:spacing w:after="0" w:line="480" w:lineRule="auto"/>
        <w:ind w:left="567" w:hanging="567"/>
        <w:jc w:val="both"/>
        <w:outlineLvl w:val="0"/>
        <w:rPr>
          <w:rFonts w:ascii="Arial" w:hAnsi="Arial" w:cs="Arial"/>
          <w:b/>
          <w:noProof/>
          <w:lang w:val="en-GB"/>
        </w:rPr>
      </w:pPr>
    </w:p>
    <w:p w14:paraId="2BFBF9D8" w14:textId="77777777" w:rsidR="009B74CB" w:rsidRPr="009B74CB" w:rsidRDefault="009B74CB" w:rsidP="000C2019">
      <w:pPr>
        <w:widowControl w:val="0"/>
        <w:spacing w:after="0" w:line="480" w:lineRule="auto"/>
        <w:ind w:left="567" w:hanging="567"/>
        <w:jc w:val="both"/>
        <w:rPr>
          <w:rFonts w:ascii="Arial" w:hAnsi="Arial" w:cs="Arial"/>
          <w:bCs/>
          <w:highlight w:val="yellow"/>
        </w:rPr>
      </w:pPr>
      <w:r w:rsidRPr="009B74CB">
        <w:rPr>
          <w:rFonts w:ascii="Arial" w:hAnsi="Arial" w:cs="Arial"/>
          <w:b/>
          <w:noProof/>
          <w:lang w:val="en-GB"/>
        </w:rPr>
        <w:t>4.7</w:t>
      </w:r>
      <w:r w:rsidRPr="009B74CB">
        <w:rPr>
          <w:rFonts w:ascii="Arial" w:hAnsi="Arial" w:cs="Arial"/>
          <w:b/>
          <w:noProof/>
          <w:lang w:val="en-GB"/>
        </w:rPr>
        <w:tab/>
        <w:t>Effects on ability to drive and use machines:</w:t>
      </w:r>
    </w:p>
    <w:p w14:paraId="7CAC9FAB" w14:textId="77777777" w:rsidR="009B74CB" w:rsidRPr="009B74CB" w:rsidRDefault="009B74CB" w:rsidP="000C2019">
      <w:pPr>
        <w:widowControl w:val="0"/>
        <w:spacing w:after="0" w:line="480" w:lineRule="auto"/>
        <w:jc w:val="both"/>
        <w:rPr>
          <w:rFonts w:ascii="Arial" w:hAnsi="Arial" w:cs="Arial"/>
          <w:bCs/>
          <w:noProof/>
          <w:lang w:val="en-GB"/>
        </w:rPr>
      </w:pPr>
      <w:r w:rsidRPr="009B74CB">
        <w:rPr>
          <w:rFonts w:ascii="Arial" w:hAnsi="Arial" w:cs="Arial"/>
          <w:bCs/>
          <w:noProof/>
          <w:lang w:val="en-GB"/>
        </w:rPr>
        <w:t>INDOMETHACIN BIOTECH 25 may interfere with driving and the operation of machines, as it may cause dizziness, drowsiness, visual disturbances and headaches.</w:t>
      </w:r>
    </w:p>
    <w:p w14:paraId="057658EA" w14:textId="77777777" w:rsidR="009B74CB" w:rsidRPr="009B74CB" w:rsidRDefault="009B74CB" w:rsidP="000C2019">
      <w:pPr>
        <w:widowControl w:val="0"/>
        <w:spacing w:after="0" w:line="480" w:lineRule="auto"/>
        <w:jc w:val="both"/>
        <w:rPr>
          <w:rFonts w:ascii="Arial" w:hAnsi="Arial" w:cs="Arial"/>
          <w:bCs/>
          <w:noProof/>
          <w:lang w:val="en-GB"/>
        </w:rPr>
      </w:pPr>
      <w:r w:rsidRPr="009B74CB">
        <w:rPr>
          <w:rFonts w:ascii="Arial" w:hAnsi="Arial" w:cs="Arial"/>
          <w:bCs/>
          <w:noProof/>
          <w:lang w:val="en-GB"/>
        </w:rPr>
        <w:t xml:space="preserve">INDOMETHACIN BIOTECH 25 is contraindicated in persons </w:t>
      </w:r>
    </w:p>
    <w:p w14:paraId="283DAACD" w14:textId="77777777" w:rsidR="009B74CB" w:rsidRPr="009B74CB" w:rsidRDefault="009B74CB" w:rsidP="000C2019">
      <w:pPr>
        <w:widowControl w:val="0"/>
        <w:spacing w:after="0" w:line="480" w:lineRule="auto"/>
        <w:jc w:val="both"/>
        <w:rPr>
          <w:rFonts w:ascii="Arial" w:hAnsi="Arial" w:cs="Arial"/>
          <w:bCs/>
          <w:noProof/>
          <w:lang w:val="en-GB"/>
        </w:rPr>
      </w:pPr>
      <w:r w:rsidRPr="009B74CB">
        <w:rPr>
          <w:rFonts w:ascii="Arial" w:hAnsi="Arial" w:cs="Arial"/>
          <w:bCs/>
          <w:noProof/>
          <w:lang w:val="en-GB"/>
        </w:rPr>
        <w:t>operating machinery (see section 4.3).</w:t>
      </w:r>
    </w:p>
    <w:p w14:paraId="60CE513D" w14:textId="77777777" w:rsidR="009B74CB" w:rsidRPr="009B74CB" w:rsidRDefault="009B74CB" w:rsidP="000C2019">
      <w:pPr>
        <w:widowControl w:val="0"/>
        <w:spacing w:after="0" w:line="480" w:lineRule="auto"/>
        <w:jc w:val="both"/>
        <w:rPr>
          <w:rFonts w:ascii="Arial" w:hAnsi="Arial" w:cs="Arial"/>
          <w:b/>
          <w:noProof/>
          <w:lang w:val="en-GB"/>
        </w:rPr>
      </w:pPr>
    </w:p>
    <w:p w14:paraId="660F7809" w14:textId="77777777" w:rsidR="009B74CB" w:rsidRPr="009B74CB" w:rsidRDefault="009B74CB" w:rsidP="000C2019">
      <w:pPr>
        <w:widowControl w:val="0"/>
        <w:spacing w:after="0" w:line="480" w:lineRule="auto"/>
        <w:ind w:left="567" w:hanging="567"/>
        <w:jc w:val="both"/>
        <w:rPr>
          <w:rFonts w:ascii="Arial" w:hAnsi="Arial" w:cs="Arial"/>
          <w:bCs/>
          <w:highlight w:val="yellow"/>
        </w:rPr>
      </w:pPr>
      <w:r w:rsidRPr="009B74CB">
        <w:rPr>
          <w:rFonts w:ascii="Arial" w:hAnsi="Arial" w:cs="Arial"/>
          <w:b/>
        </w:rPr>
        <w:t>4.8</w:t>
      </w:r>
      <w:r w:rsidRPr="009B74CB">
        <w:rPr>
          <w:rFonts w:ascii="Arial" w:hAnsi="Arial" w:cs="Arial"/>
          <w:b/>
        </w:rPr>
        <w:tab/>
        <w:t>Undesirable effects:</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984"/>
        <w:gridCol w:w="2835"/>
        <w:gridCol w:w="2405"/>
      </w:tblGrid>
      <w:tr w:rsidR="009B74CB" w:rsidRPr="005D1CB1" w14:paraId="09FDE79F" w14:textId="77777777" w:rsidTr="002C262F">
        <w:tc>
          <w:tcPr>
            <w:tcW w:w="2552" w:type="dxa"/>
            <w:tcBorders>
              <w:bottom w:val="single" w:sz="4" w:space="0" w:color="auto"/>
            </w:tcBorders>
          </w:tcPr>
          <w:p w14:paraId="7A7CDA2A"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System organ class</w:t>
            </w:r>
          </w:p>
        </w:tc>
        <w:tc>
          <w:tcPr>
            <w:tcW w:w="1984" w:type="dxa"/>
            <w:tcBorders>
              <w:bottom w:val="single" w:sz="4" w:space="0" w:color="auto"/>
            </w:tcBorders>
          </w:tcPr>
          <w:p w14:paraId="22CA88DA"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Frequent</w:t>
            </w:r>
          </w:p>
        </w:tc>
        <w:tc>
          <w:tcPr>
            <w:tcW w:w="2835" w:type="dxa"/>
            <w:tcBorders>
              <w:bottom w:val="single" w:sz="4" w:space="0" w:color="auto"/>
            </w:tcBorders>
          </w:tcPr>
          <w:p w14:paraId="4EF0D5F5"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Less frequent</w:t>
            </w:r>
          </w:p>
        </w:tc>
        <w:tc>
          <w:tcPr>
            <w:tcW w:w="2405" w:type="dxa"/>
            <w:tcBorders>
              <w:bottom w:val="single" w:sz="4" w:space="0" w:color="auto"/>
            </w:tcBorders>
          </w:tcPr>
          <w:p w14:paraId="084CEBC7"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Frequency unknown</w:t>
            </w:r>
          </w:p>
        </w:tc>
      </w:tr>
      <w:tr w:rsidR="009B74CB" w:rsidRPr="005D1CB1" w14:paraId="41C3C3B8" w14:textId="77777777" w:rsidTr="002C262F">
        <w:tc>
          <w:tcPr>
            <w:tcW w:w="2552" w:type="dxa"/>
            <w:tcBorders>
              <w:top w:val="single" w:sz="4" w:space="0" w:color="auto"/>
            </w:tcBorders>
          </w:tcPr>
          <w:p w14:paraId="6CAB6652" w14:textId="77777777" w:rsidR="009B74CB" w:rsidRPr="005D1CB1" w:rsidRDefault="009B74CB" w:rsidP="002C262F">
            <w:pPr>
              <w:widowControl w:val="0"/>
              <w:spacing w:line="480" w:lineRule="auto"/>
              <w:rPr>
                <w:rFonts w:ascii="Arial" w:eastAsia="Times New Roman" w:hAnsi="Arial" w:cs="Arial"/>
                <w:b/>
                <w:bCs/>
                <w:lang w:val="en-GB"/>
              </w:rPr>
            </w:pPr>
            <w:r w:rsidRPr="005D1CB1">
              <w:rPr>
                <w:rFonts w:ascii="Arial" w:eastAsia="Times New Roman" w:hAnsi="Arial" w:cs="Arial"/>
                <w:b/>
                <w:bCs/>
                <w:lang w:val="en-GB"/>
              </w:rPr>
              <w:t>Infections and infestations</w:t>
            </w:r>
          </w:p>
        </w:tc>
        <w:tc>
          <w:tcPr>
            <w:tcW w:w="1984" w:type="dxa"/>
            <w:tcBorders>
              <w:top w:val="single" w:sz="4" w:space="0" w:color="auto"/>
            </w:tcBorders>
          </w:tcPr>
          <w:p w14:paraId="06815466"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Borders>
              <w:top w:val="single" w:sz="4" w:space="0" w:color="auto"/>
            </w:tcBorders>
          </w:tcPr>
          <w:p w14:paraId="2A8F833B"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Fulminant necrotising fasciitis; particularly in association with Group A β-haemolytic streptococcus</w:t>
            </w:r>
          </w:p>
        </w:tc>
        <w:tc>
          <w:tcPr>
            <w:tcW w:w="2405" w:type="dxa"/>
            <w:tcBorders>
              <w:top w:val="single" w:sz="4" w:space="0" w:color="auto"/>
            </w:tcBorders>
          </w:tcPr>
          <w:p w14:paraId="5EAA2E6C" w14:textId="77777777" w:rsidR="009B74CB" w:rsidRPr="005D1CB1" w:rsidRDefault="009B74CB" w:rsidP="000C2019">
            <w:pPr>
              <w:widowControl w:val="0"/>
              <w:spacing w:line="480" w:lineRule="auto"/>
              <w:jc w:val="both"/>
              <w:rPr>
                <w:rFonts w:ascii="Arial" w:eastAsia="Times New Roman" w:hAnsi="Arial" w:cs="Arial"/>
                <w:lang w:val="en-GB"/>
              </w:rPr>
            </w:pPr>
          </w:p>
        </w:tc>
      </w:tr>
      <w:tr w:rsidR="009B74CB" w:rsidRPr="005D1CB1" w14:paraId="3A9401CB" w14:textId="77777777" w:rsidTr="002C262F">
        <w:tc>
          <w:tcPr>
            <w:tcW w:w="2552" w:type="dxa"/>
          </w:tcPr>
          <w:p w14:paraId="0E38458F" w14:textId="77777777" w:rsidR="009B74CB" w:rsidRPr="005D1CB1" w:rsidRDefault="009B74CB" w:rsidP="002C262F">
            <w:pPr>
              <w:widowControl w:val="0"/>
              <w:spacing w:line="480" w:lineRule="auto"/>
              <w:rPr>
                <w:rFonts w:ascii="Arial" w:eastAsia="Times New Roman" w:hAnsi="Arial" w:cs="Arial"/>
                <w:b/>
                <w:bCs/>
                <w:lang w:val="en-GB"/>
              </w:rPr>
            </w:pPr>
            <w:r w:rsidRPr="005D1CB1">
              <w:rPr>
                <w:rFonts w:ascii="Arial" w:eastAsia="Times New Roman" w:hAnsi="Arial" w:cs="Arial"/>
                <w:b/>
                <w:bCs/>
                <w:lang w:val="en-GB"/>
              </w:rPr>
              <w:t>Neoplasm benign, malignant and unspecified (including cysts and polyps)</w:t>
            </w:r>
          </w:p>
        </w:tc>
        <w:tc>
          <w:tcPr>
            <w:tcW w:w="1984" w:type="dxa"/>
          </w:tcPr>
          <w:p w14:paraId="1FD13F04"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Pr>
          <w:p w14:paraId="396B3B8B" w14:textId="77777777" w:rsidR="009B74CB" w:rsidRPr="005D1CB1" w:rsidRDefault="009B74CB" w:rsidP="000C2019">
            <w:pPr>
              <w:widowControl w:val="0"/>
              <w:spacing w:line="480" w:lineRule="auto"/>
              <w:jc w:val="both"/>
              <w:rPr>
                <w:rFonts w:ascii="Arial" w:eastAsia="Times New Roman" w:hAnsi="Arial" w:cs="Arial"/>
                <w:lang w:val="en-GB"/>
              </w:rPr>
            </w:pPr>
          </w:p>
        </w:tc>
        <w:tc>
          <w:tcPr>
            <w:tcW w:w="2405" w:type="dxa"/>
          </w:tcPr>
          <w:p w14:paraId="61D81B16"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Leukaemia</w:t>
            </w:r>
          </w:p>
        </w:tc>
      </w:tr>
      <w:tr w:rsidR="009B74CB" w:rsidRPr="005D1CB1" w14:paraId="36E1DBD8" w14:textId="77777777" w:rsidTr="002C262F">
        <w:tc>
          <w:tcPr>
            <w:tcW w:w="2552" w:type="dxa"/>
          </w:tcPr>
          <w:p w14:paraId="5B15AAAD"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Blood and lymphatic system</w:t>
            </w:r>
          </w:p>
          <w:p w14:paraId="69419832"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disorders</w:t>
            </w:r>
          </w:p>
        </w:tc>
        <w:tc>
          <w:tcPr>
            <w:tcW w:w="1984" w:type="dxa"/>
          </w:tcPr>
          <w:p w14:paraId="14789ED8"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Pr>
          <w:p w14:paraId="72726E6D"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 xml:space="preserve">Blood dyscrasias may occur, including leucopenia, petechiae or ecchymosis, purpura, aplastic and haemolytic anaemia, agranulocytosis, </w:t>
            </w:r>
            <w:r w:rsidRPr="005D1CB1">
              <w:rPr>
                <w:rFonts w:ascii="Arial" w:eastAsia="Times New Roman" w:hAnsi="Arial" w:cs="Arial"/>
                <w:lang w:val="en-GB"/>
              </w:rPr>
              <w:lastRenderedPageBreak/>
              <w:t>bone marrow depression, disseminated intravascular coagulation, and thrombocytopenia. As some patients manifest anaemia secondary to obvious or occult gastrointestinal bleeding, appropriate blood determinations are recommended.</w:t>
            </w:r>
          </w:p>
        </w:tc>
        <w:tc>
          <w:tcPr>
            <w:tcW w:w="2405" w:type="dxa"/>
          </w:tcPr>
          <w:p w14:paraId="2B034103" w14:textId="77777777" w:rsidR="009B74CB" w:rsidRPr="005D1CB1" w:rsidRDefault="009B74CB" w:rsidP="000C2019">
            <w:pPr>
              <w:widowControl w:val="0"/>
              <w:spacing w:line="480" w:lineRule="auto"/>
              <w:jc w:val="both"/>
              <w:rPr>
                <w:rFonts w:ascii="Arial" w:eastAsia="Times New Roman" w:hAnsi="Arial" w:cs="Arial"/>
                <w:lang w:val="en-GB"/>
              </w:rPr>
            </w:pPr>
          </w:p>
        </w:tc>
      </w:tr>
      <w:tr w:rsidR="009B74CB" w:rsidRPr="005D1CB1" w14:paraId="4297AB35" w14:textId="77777777" w:rsidTr="002C262F">
        <w:tc>
          <w:tcPr>
            <w:tcW w:w="2552" w:type="dxa"/>
          </w:tcPr>
          <w:p w14:paraId="11BBB973" w14:textId="77777777" w:rsidR="009B74CB" w:rsidRPr="005D1CB1" w:rsidRDefault="009B74CB" w:rsidP="002C262F">
            <w:pPr>
              <w:widowControl w:val="0"/>
              <w:spacing w:line="480" w:lineRule="auto"/>
              <w:rPr>
                <w:rFonts w:ascii="Arial" w:eastAsia="Times New Roman" w:hAnsi="Arial" w:cs="Arial"/>
                <w:b/>
                <w:bCs/>
                <w:lang w:val="en-GB"/>
              </w:rPr>
            </w:pPr>
            <w:r w:rsidRPr="005D1CB1">
              <w:rPr>
                <w:rFonts w:ascii="Arial" w:eastAsia="Times New Roman" w:hAnsi="Arial" w:cs="Arial"/>
                <w:b/>
                <w:bCs/>
                <w:lang w:val="en-GB"/>
              </w:rPr>
              <w:t>Immune system disorders</w:t>
            </w:r>
          </w:p>
        </w:tc>
        <w:tc>
          <w:tcPr>
            <w:tcW w:w="1984" w:type="dxa"/>
          </w:tcPr>
          <w:p w14:paraId="69C62B4B"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Pr>
          <w:p w14:paraId="7277D720"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Acute anaphylaxis</w:t>
            </w:r>
          </w:p>
        </w:tc>
        <w:tc>
          <w:tcPr>
            <w:tcW w:w="2405" w:type="dxa"/>
          </w:tcPr>
          <w:p w14:paraId="7A84E2A1"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Hypersensitivity reactions:</w:t>
            </w:r>
          </w:p>
          <w:p w14:paraId="56F72C01"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 xml:space="preserve">(a) non-specific allergic reactions and anaphylaxis, </w:t>
            </w:r>
          </w:p>
          <w:p w14:paraId="63600365"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 xml:space="preserve">(b) respiratory tract reactivity comprising asthma, aggravated asthma, bronchospasm or dyspnoea, rhinitis or </w:t>
            </w:r>
          </w:p>
          <w:p w14:paraId="756F1C25"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 xml:space="preserve">(c) assorted skin disorders, including rashes of various types, pruritus, urticaria, purpura, </w:t>
            </w:r>
            <w:r w:rsidRPr="005D1CB1">
              <w:rPr>
                <w:rFonts w:ascii="Arial" w:eastAsia="Times New Roman" w:hAnsi="Arial" w:cs="Arial"/>
                <w:lang w:val="en-GB"/>
              </w:rPr>
              <w:lastRenderedPageBreak/>
              <w:t>angioedema and exfoliative and bullous dermatoses (including epidermal necrolysis and erythema multiforme)</w:t>
            </w:r>
          </w:p>
        </w:tc>
      </w:tr>
      <w:tr w:rsidR="009B74CB" w:rsidRPr="005D1CB1" w14:paraId="3A2599A9" w14:textId="77777777" w:rsidTr="002C262F">
        <w:tc>
          <w:tcPr>
            <w:tcW w:w="2552" w:type="dxa"/>
          </w:tcPr>
          <w:p w14:paraId="4F8FDC28"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lastRenderedPageBreak/>
              <w:t>Metabolism and nutrition disorders</w:t>
            </w:r>
          </w:p>
        </w:tc>
        <w:tc>
          <w:tcPr>
            <w:tcW w:w="1984" w:type="dxa"/>
          </w:tcPr>
          <w:p w14:paraId="5CFDC472"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Pr>
          <w:p w14:paraId="0E66220F"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Hyperglycaemia, glycosuria, hyperkalaemia</w:t>
            </w:r>
          </w:p>
        </w:tc>
        <w:tc>
          <w:tcPr>
            <w:tcW w:w="2405" w:type="dxa"/>
          </w:tcPr>
          <w:p w14:paraId="7F35485A"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Weight gain</w:t>
            </w:r>
          </w:p>
        </w:tc>
      </w:tr>
      <w:tr w:rsidR="009B74CB" w:rsidRPr="005D1CB1" w14:paraId="6C582956" w14:textId="77777777" w:rsidTr="002C262F">
        <w:tc>
          <w:tcPr>
            <w:tcW w:w="2552" w:type="dxa"/>
          </w:tcPr>
          <w:p w14:paraId="4F84B0B3"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Psychiatric disorders</w:t>
            </w:r>
          </w:p>
        </w:tc>
        <w:tc>
          <w:tcPr>
            <w:tcW w:w="1984" w:type="dxa"/>
          </w:tcPr>
          <w:p w14:paraId="307BA7BB"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Mental confusion, anxiety, psychic disturbances such as depersonalisation, psychotic episodes, aggravation of psychiatric</w:t>
            </w:r>
            <w:r w:rsidRPr="005D1CB1">
              <w:rPr>
                <w:rFonts w:ascii="Arial" w:eastAsia="Times New Roman" w:hAnsi="Arial" w:cs="Arial"/>
                <w:lang w:val="en-GB"/>
              </w:rPr>
              <w:br/>
              <w:t>disturbances</w:t>
            </w:r>
          </w:p>
        </w:tc>
        <w:tc>
          <w:tcPr>
            <w:tcW w:w="2835" w:type="dxa"/>
          </w:tcPr>
          <w:p w14:paraId="12DE8F92" w14:textId="77777777" w:rsidR="009B74CB" w:rsidRPr="005D1CB1" w:rsidRDefault="009B74CB" w:rsidP="000C2019">
            <w:pPr>
              <w:widowControl w:val="0"/>
              <w:spacing w:line="480" w:lineRule="auto"/>
              <w:jc w:val="both"/>
              <w:rPr>
                <w:rFonts w:ascii="Arial" w:eastAsia="Times New Roman" w:hAnsi="Arial" w:cs="Arial"/>
                <w:lang w:val="en-GB"/>
              </w:rPr>
            </w:pPr>
          </w:p>
        </w:tc>
        <w:tc>
          <w:tcPr>
            <w:tcW w:w="2405" w:type="dxa"/>
          </w:tcPr>
          <w:p w14:paraId="7F369752"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Depression, drowsiness, confusion, insomnia, hallucinations</w:t>
            </w:r>
          </w:p>
        </w:tc>
      </w:tr>
      <w:tr w:rsidR="009B74CB" w:rsidRPr="005D1CB1" w14:paraId="46A1254A" w14:textId="77777777" w:rsidTr="002C262F">
        <w:tc>
          <w:tcPr>
            <w:tcW w:w="2552" w:type="dxa"/>
          </w:tcPr>
          <w:p w14:paraId="0D36AE86"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Nervous system disorders</w:t>
            </w:r>
          </w:p>
        </w:tc>
        <w:tc>
          <w:tcPr>
            <w:tcW w:w="1984" w:type="dxa"/>
          </w:tcPr>
          <w:p w14:paraId="05D1FBE9"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Headache, dizziness, light-headedness.</w:t>
            </w:r>
          </w:p>
          <w:p w14:paraId="63B9DA15" w14:textId="77777777" w:rsidR="009B74CB" w:rsidRPr="005D1CB1" w:rsidRDefault="009B74CB" w:rsidP="002C262F">
            <w:pPr>
              <w:widowControl w:val="0"/>
              <w:spacing w:line="480" w:lineRule="auto"/>
              <w:rPr>
                <w:rFonts w:ascii="Arial" w:eastAsia="Times New Roman" w:hAnsi="Arial" w:cs="Arial"/>
                <w:lang w:val="en-GB"/>
              </w:rPr>
            </w:pPr>
          </w:p>
          <w:p w14:paraId="6BF0398F"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 xml:space="preserve">Starting therapy with a low dose and increasing gradually minimises the </w:t>
            </w:r>
            <w:r w:rsidRPr="005D1CB1">
              <w:rPr>
                <w:rFonts w:ascii="Arial" w:eastAsia="Times New Roman" w:hAnsi="Arial" w:cs="Arial"/>
                <w:lang w:val="en-GB"/>
              </w:rPr>
              <w:lastRenderedPageBreak/>
              <w:t>incidence of headache. These symptoms frequently disappear on continued therapy or reducing the dosage, but if headache persists despite dosage reduction, INDOMETHACIN BIOTECH 25 should be withdrawn.</w:t>
            </w:r>
          </w:p>
        </w:tc>
        <w:tc>
          <w:tcPr>
            <w:tcW w:w="2835" w:type="dxa"/>
          </w:tcPr>
          <w:p w14:paraId="79DD0C4C"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lastRenderedPageBreak/>
              <w:t xml:space="preserve">Vertigo, fatigue (including malaise and listlessness) syncope, drowsiness, convulsions, coma, peripheral neuropathy, involuntary muscle movement, dysarthria, epilepsy, parkinsonism, mental confusion, anxiety, </w:t>
            </w:r>
            <w:r w:rsidRPr="005D1CB1">
              <w:rPr>
                <w:rFonts w:ascii="Arial" w:eastAsia="Times New Roman" w:hAnsi="Arial" w:cs="Arial"/>
                <w:lang w:val="en-GB"/>
              </w:rPr>
              <w:lastRenderedPageBreak/>
              <w:t>muscle weakness</w:t>
            </w:r>
          </w:p>
        </w:tc>
        <w:tc>
          <w:tcPr>
            <w:tcW w:w="2405" w:type="dxa"/>
          </w:tcPr>
          <w:p w14:paraId="302DA86F"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lastRenderedPageBreak/>
              <w:t xml:space="preserve">Aseptic meningitis (especially in patients with existing autoimmune disorders, such as systemic lupus erythematosus or mixed connective tissue disease) with </w:t>
            </w:r>
            <w:r w:rsidRPr="005D1CB1">
              <w:rPr>
                <w:rFonts w:ascii="Arial" w:eastAsia="Times New Roman" w:hAnsi="Arial" w:cs="Arial"/>
                <w:lang w:val="en-GB"/>
              </w:rPr>
              <w:lastRenderedPageBreak/>
              <w:t>symptoms such as stiff neck, headache, nausea, vomiting, fever or disorientation (see section 4.4), depression, dysarthria, coma, cerebral oedema, nervousness, hallucinations, drowsiness, convulsions and aggravation of epilepsy and parkinsonism, paraesthesia, involuntary movements.</w:t>
            </w:r>
          </w:p>
          <w:p w14:paraId="62A388A8" w14:textId="77777777" w:rsidR="009B74CB" w:rsidRPr="005D1CB1" w:rsidRDefault="009B74CB" w:rsidP="000C2019">
            <w:pPr>
              <w:widowControl w:val="0"/>
              <w:spacing w:line="480" w:lineRule="auto"/>
              <w:jc w:val="both"/>
              <w:rPr>
                <w:rFonts w:ascii="Arial" w:eastAsia="Times New Roman" w:hAnsi="Arial" w:cs="Arial"/>
                <w:lang w:val="en-GB"/>
              </w:rPr>
            </w:pPr>
          </w:p>
          <w:p w14:paraId="36BE892C"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 xml:space="preserve">These effects are often transient and abate or disappear on reduced or stopping treatment. However, the severity of these may, on occasion, require cessation of </w:t>
            </w:r>
            <w:r w:rsidRPr="005D1CB1">
              <w:rPr>
                <w:rFonts w:ascii="Arial" w:eastAsia="Times New Roman" w:hAnsi="Arial" w:cs="Arial"/>
                <w:lang w:val="en-GB"/>
              </w:rPr>
              <w:lastRenderedPageBreak/>
              <w:t>therapy.</w:t>
            </w:r>
          </w:p>
        </w:tc>
      </w:tr>
      <w:tr w:rsidR="009B74CB" w:rsidRPr="005D1CB1" w14:paraId="4DCF823D" w14:textId="77777777" w:rsidTr="002C262F">
        <w:tc>
          <w:tcPr>
            <w:tcW w:w="2552" w:type="dxa"/>
          </w:tcPr>
          <w:p w14:paraId="2F206C96"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lastRenderedPageBreak/>
              <w:t>Eye disorders</w:t>
            </w:r>
          </w:p>
        </w:tc>
        <w:tc>
          <w:tcPr>
            <w:tcW w:w="1984" w:type="dxa"/>
          </w:tcPr>
          <w:p w14:paraId="09F29521"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Optic neuritis</w:t>
            </w:r>
          </w:p>
        </w:tc>
        <w:tc>
          <w:tcPr>
            <w:tcW w:w="2835" w:type="dxa"/>
          </w:tcPr>
          <w:p w14:paraId="3A4FD646"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Visual disturbances, blurred vision, diplopia, and orbital and peri-orbital pain</w:t>
            </w:r>
          </w:p>
        </w:tc>
        <w:tc>
          <w:tcPr>
            <w:tcW w:w="2405" w:type="dxa"/>
          </w:tcPr>
          <w:p w14:paraId="23DC199E"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Corneal deposits, retinal disturbances, including those of the macula</w:t>
            </w:r>
          </w:p>
        </w:tc>
      </w:tr>
      <w:tr w:rsidR="009B74CB" w:rsidRPr="005D1CB1" w14:paraId="692894D0" w14:textId="77777777" w:rsidTr="002C262F">
        <w:tc>
          <w:tcPr>
            <w:tcW w:w="2552" w:type="dxa"/>
          </w:tcPr>
          <w:p w14:paraId="2CC42EB6" w14:textId="77777777" w:rsidR="009B74CB" w:rsidRPr="005D1CB1" w:rsidRDefault="009B74CB" w:rsidP="002C262F">
            <w:pPr>
              <w:widowControl w:val="0"/>
              <w:spacing w:line="480" w:lineRule="auto"/>
              <w:rPr>
                <w:rFonts w:ascii="Arial" w:eastAsia="Times New Roman" w:hAnsi="Arial" w:cs="Arial"/>
                <w:b/>
                <w:bCs/>
                <w:lang w:val="en-GB"/>
              </w:rPr>
            </w:pPr>
            <w:r w:rsidRPr="005D1CB1">
              <w:rPr>
                <w:rFonts w:ascii="Arial" w:eastAsia="Times New Roman" w:hAnsi="Arial" w:cs="Arial"/>
                <w:b/>
                <w:bCs/>
                <w:lang w:val="en-GB"/>
              </w:rPr>
              <w:t>Ear and labyrinth disorders</w:t>
            </w:r>
          </w:p>
        </w:tc>
        <w:tc>
          <w:tcPr>
            <w:tcW w:w="1984" w:type="dxa"/>
          </w:tcPr>
          <w:p w14:paraId="7D40B9B4"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Tinnitus</w:t>
            </w:r>
          </w:p>
        </w:tc>
        <w:tc>
          <w:tcPr>
            <w:tcW w:w="2835" w:type="dxa"/>
          </w:tcPr>
          <w:p w14:paraId="37213A6F" w14:textId="77777777" w:rsidR="009B74CB" w:rsidRPr="005D1CB1" w:rsidRDefault="009B74CB" w:rsidP="000C2019">
            <w:pPr>
              <w:widowControl w:val="0"/>
              <w:spacing w:line="480" w:lineRule="auto"/>
              <w:jc w:val="both"/>
              <w:rPr>
                <w:rFonts w:ascii="Arial" w:eastAsia="Times New Roman" w:hAnsi="Arial" w:cs="Arial"/>
                <w:lang w:val="en-GB"/>
              </w:rPr>
            </w:pPr>
          </w:p>
        </w:tc>
        <w:tc>
          <w:tcPr>
            <w:tcW w:w="2405" w:type="dxa"/>
          </w:tcPr>
          <w:p w14:paraId="10CB7A89"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Hearing disturbances, deafness</w:t>
            </w:r>
          </w:p>
        </w:tc>
      </w:tr>
      <w:tr w:rsidR="009B74CB" w:rsidRPr="005D1CB1" w14:paraId="54D5BE02" w14:textId="77777777" w:rsidTr="002C262F">
        <w:tc>
          <w:tcPr>
            <w:tcW w:w="2552" w:type="dxa"/>
          </w:tcPr>
          <w:p w14:paraId="54E1CE7F"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Cardiac disorders</w:t>
            </w:r>
          </w:p>
        </w:tc>
        <w:tc>
          <w:tcPr>
            <w:tcW w:w="1984" w:type="dxa"/>
          </w:tcPr>
          <w:p w14:paraId="75BBBD4B"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Pr>
          <w:p w14:paraId="3E59DA4F"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Myocardial infarction, cardiovascular thrombotic events.</w:t>
            </w:r>
          </w:p>
          <w:p w14:paraId="1818F07A" w14:textId="77777777" w:rsidR="009B74CB" w:rsidRPr="005D1CB1" w:rsidRDefault="009B74CB" w:rsidP="000C2019">
            <w:pPr>
              <w:widowControl w:val="0"/>
              <w:spacing w:line="480" w:lineRule="auto"/>
              <w:jc w:val="both"/>
              <w:rPr>
                <w:rFonts w:ascii="Arial" w:eastAsia="Times New Roman" w:hAnsi="Arial" w:cs="Arial"/>
                <w:lang w:val="en-GB"/>
              </w:rPr>
            </w:pPr>
          </w:p>
          <w:p w14:paraId="0FCE41C1"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The use of some NSAIDs (particularly at high doses and in long-term treatment) may be associated with an increased risk of arterial thrombotic events (for example myocardial infarction or stroke) (see section 4.4).</w:t>
            </w:r>
          </w:p>
        </w:tc>
        <w:tc>
          <w:tcPr>
            <w:tcW w:w="2405" w:type="dxa"/>
          </w:tcPr>
          <w:p w14:paraId="76BD3CE3"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Peripheral oedema, tachycardia, dysrhythmia, palpitations, congestive heart failure, chest pain, palpitations, cardiac failure</w:t>
            </w:r>
          </w:p>
        </w:tc>
      </w:tr>
      <w:tr w:rsidR="009B74CB" w:rsidRPr="005D1CB1" w14:paraId="4D905259" w14:textId="77777777" w:rsidTr="002C262F">
        <w:tc>
          <w:tcPr>
            <w:tcW w:w="2552" w:type="dxa"/>
          </w:tcPr>
          <w:p w14:paraId="26E74226"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Vascular disorders</w:t>
            </w:r>
          </w:p>
        </w:tc>
        <w:tc>
          <w:tcPr>
            <w:tcW w:w="1984" w:type="dxa"/>
          </w:tcPr>
          <w:p w14:paraId="10E1631B"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Pr>
          <w:p w14:paraId="31A3B83C"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Flushing</w:t>
            </w:r>
          </w:p>
        </w:tc>
        <w:tc>
          <w:tcPr>
            <w:tcW w:w="2405" w:type="dxa"/>
          </w:tcPr>
          <w:p w14:paraId="70DF9CD4"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Elevation of blood pressure (hypertension), hypotension, thrombophlebitis</w:t>
            </w:r>
          </w:p>
        </w:tc>
      </w:tr>
      <w:tr w:rsidR="009B74CB" w:rsidRPr="005D1CB1" w14:paraId="6D59EFA2" w14:textId="77777777" w:rsidTr="002C262F">
        <w:tc>
          <w:tcPr>
            <w:tcW w:w="2552" w:type="dxa"/>
          </w:tcPr>
          <w:p w14:paraId="34B3F860" w14:textId="77777777" w:rsidR="009B74CB" w:rsidRPr="005D1CB1" w:rsidRDefault="009B74CB" w:rsidP="002C262F">
            <w:pPr>
              <w:widowControl w:val="0"/>
              <w:spacing w:line="480" w:lineRule="auto"/>
              <w:rPr>
                <w:rFonts w:ascii="Arial" w:eastAsia="Times New Roman" w:hAnsi="Arial" w:cs="Arial"/>
                <w:b/>
                <w:bCs/>
                <w:lang w:val="en-GB"/>
              </w:rPr>
            </w:pPr>
            <w:r w:rsidRPr="005D1CB1">
              <w:rPr>
                <w:rFonts w:ascii="Arial" w:eastAsia="Times New Roman" w:hAnsi="Arial" w:cs="Arial"/>
                <w:b/>
                <w:bCs/>
                <w:lang w:val="en-GB"/>
              </w:rPr>
              <w:t xml:space="preserve">Respiratory, thoracic </w:t>
            </w:r>
            <w:r w:rsidRPr="005D1CB1">
              <w:rPr>
                <w:rFonts w:ascii="Arial" w:eastAsia="Times New Roman" w:hAnsi="Arial" w:cs="Arial"/>
                <w:b/>
                <w:bCs/>
                <w:lang w:val="en-GB"/>
              </w:rPr>
              <w:lastRenderedPageBreak/>
              <w:t>and mediastinal disorders</w:t>
            </w:r>
          </w:p>
        </w:tc>
        <w:tc>
          <w:tcPr>
            <w:tcW w:w="1984" w:type="dxa"/>
          </w:tcPr>
          <w:p w14:paraId="774C3EC2"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Pr>
          <w:p w14:paraId="4310880C"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 xml:space="preserve">Epistaxis, acute respiratory </w:t>
            </w:r>
            <w:r w:rsidRPr="005D1CB1">
              <w:rPr>
                <w:rFonts w:ascii="Arial" w:eastAsia="Times New Roman" w:hAnsi="Arial" w:cs="Arial"/>
                <w:lang w:val="en-GB"/>
              </w:rPr>
              <w:lastRenderedPageBreak/>
              <w:t>distress, sudden dyspnoea, asthma, pulmonary oedema</w:t>
            </w:r>
          </w:p>
        </w:tc>
        <w:tc>
          <w:tcPr>
            <w:tcW w:w="2405" w:type="dxa"/>
          </w:tcPr>
          <w:p w14:paraId="6C3FF9AA"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lastRenderedPageBreak/>
              <w:t xml:space="preserve">Pulmonary </w:t>
            </w:r>
            <w:r w:rsidRPr="005D1CB1">
              <w:rPr>
                <w:rFonts w:ascii="Arial" w:eastAsia="Times New Roman" w:hAnsi="Arial" w:cs="Arial"/>
                <w:lang w:val="en-GB"/>
              </w:rPr>
              <w:lastRenderedPageBreak/>
              <w:t>eosinophilia, bronchospasm</w:t>
            </w:r>
          </w:p>
        </w:tc>
      </w:tr>
      <w:tr w:rsidR="009B74CB" w:rsidRPr="005D1CB1" w14:paraId="1533811C" w14:textId="77777777" w:rsidTr="002C262F">
        <w:tc>
          <w:tcPr>
            <w:tcW w:w="2552" w:type="dxa"/>
          </w:tcPr>
          <w:p w14:paraId="2E4B03E0"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lastRenderedPageBreak/>
              <w:t>Gastrointestinal disorders</w:t>
            </w:r>
          </w:p>
        </w:tc>
        <w:tc>
          <w:tcPr>
            <w:tcW w:w="1984" w:type="dxa"/>
          </w:tcPr>
          <w:p w14:paraId="0EE0831E"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The most commonly observed adverse events are</w:t>
            </w:r>
            <w:r w:rsidRPr="005D1CB1">
              <w:rPr>
                <w:rFonts w:ascii="Arial" w:eastAsia="Times New Roman" w:hAnsi="Arial" w:cs="Arial"/>
                <w:lang w:val="en-GB"/>
              </w:rPr>
              <w:br/>
              <w:t>gastrointestinal in nature. Gastrointestinal disturbances, epigastric distress, abdominal laceration (single or multiple) of oesophagus, stomach, duodenum or small or large intestine, including perforation and haemorrhage</w:t>
            </w:r>
          </w:p>
        </w:tc>
        <w:tc>
          <w:tcPr>
            <w:tcW w:w="2835" w:type="dxa"/>
          </w:tcPr>
          <w:p w14:paraId="5612C819"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Tenesmus, proctitis, rectal bleeding, burning, pain, discomfort, itching or irritation; pancreatitis, regional ileitis, anorexia, epigastric discomfort, ulceration at any point in the gastrointestinal tract (even with resultant stenosis and obstruction), bleeding (even without obvious ulceration or from a diverticulum) and perforation of pre-existing sigmoid lesions (such as diverticulum or carcinoma), increased abdominal pain or exacerbation of the condition in patients with ulcerative colitis intestinal strictures and regional gastritis</w:t>
            </w:r>
          </w:p>
        </w:tc>
        <w:tc>
          <w:tcPr>
            <w:tcW w:w="2405" w:type="dxa"/>
          </w:tcPr>
          <w:p w14:paraId="29935BBF" w14:textId="65F456F5"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Peptic ulcers, perforation, or gastrointestinal bleeding, sometimes fatal. nausea, vomiting, diarrhoea, flatulence, constipation, dyspepsia, abdominal pain, melaena, haematemesis, ulcerative stomatitis, exacerbation of colitis and Crohn's disease</w:t>
            </w:r>
          </w:p>
        </w:tc>
      </w:tr>
      <w:tr w:rsidR="009B74CB" w:rsidRPr="005D1CB1" w14:paraId="17A4C336" w14:textId="77777777" w:rsidTr="002C262F">
        <w:tc>
          <w:tcPr>
            <w:tcW w:w="2552" w:type="dxa"/>
          </w:tcPr>
          <w:p w14:paraId="73ECD706"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 xml:space="preserve">Hepatobiliary </w:t>
            </w:r>
            <w:r w:rsidRPr="005D1CB1">
              <w:rPr>
                <w:rFonts w:ascii="Arial" w:eastAsia="Times New Roman" w:hAnsi="Arial" w:cs="Arial"/>
                <w:b/>
                <w:bCs/>
                <w:lang w:val="en-GB"/>
              </w:rPr>
              <w:lastRenderedPageBreak/>
              <w:t>disorders</w:t>
            </w:r>
          </w:p>
        </w:tc>
        <w:tc>
          <w:tcPr>
            <w:tcW w:w="1984" w:type="dxa"/>
          </w:tcPr>
          <w:p w14:paraId="600208CC"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lastRenderedPageBreak/>
              <w:t xml:space="preserve">Jaundice and </w:t>
            </w:r>
            <w:r w:rsidRPr="005D1CB1">
              <w:rPr>
                <w:rFonts w:ascii="Arial" w:eastAsia="Times New Roman" w:hAnsi="Arial" w:cs="Arial"/>
                <w:lang w:val="en-GB"/>
              </w:rPr>
              <w:lastRenderedPageBreak/>
              <w:t>hepatitis</w:t>
            </w:r>
          </w:p>
        </w:tc>
        <w:tc>
          <w:tcPr>
            <w:tcW w:w="2835" w:type="dxa"/>
          </w:tcPr>
          <w:p w14:paraId="4918719F" w14:textId="77777777" w:rsidR="009B74CB" w:rsidRPr="005D1CB1" w:rsidRDefault="009B74CB" w:rsidP="000C2019">
            <w:pPr>
              <w:widowControl w:val="0"/>
              <w:spacing w:line="480" w:lineRule="auto"/>
              <w:jc w:val="both"/>
              <w:rPr>
                <w:rFonts w:ascii="Arial" w:eastAsia="Times New Roman" w:hAnsi="Arial" w:cs="Arial"/>
                <w:lang w:val="en-GB"/>
              </w:rPr>
            </w:pPr>
          </w:p>
        </w:tc>
        <w:tc>
          <w:tcPr>
            <w:tcW w:w="2405" w:type="dxa"/>
          </w:tcPr>
          <w:p w14:paraId="49CBAFBC"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 xml:space="preserve">Cholestasis, </w:t>
            </w:r>
            <w:r w:rsidRPr="005D1CB1">
              <w:rPr>
                <w:rFonts w:ascii="Arial" w:eastAsia="Times New Roman" w:hAnsi="Arial" w:cs="Arial"/>
                <w:lang w:val="en-GB"/>
              </w:rPr>
              <w:lastRenderedPageBreak/>
              <w:t>borderline elevations of one or more liver tests may occur, and significant elevations of ALT (SGPT) or AST (SGOT), abnormal liver function, hepatitis and jaundice.</w:t>
            </w:r>
          </w:p>
          <w:p w14:paraId="2621AA5F" w14:textId="77777777" w:rsidR="009B74CB" w:rsidRPr="005D1CB1" w:rsidRDefault="009B74CB" w:rsidP="000C2019">
            <w:pPr>
              <w:widowControl w:val="0"/>
              <w:spacing w:line="480" w:lineRule="auto"/>
              <w:jc w:val="both"/>
              <w:rPr>
                <w:rFonts w:ascii="Arial" w:eastAsia="Times New Roman" w:hAnsi="Arial" w:cs="Arial"/>
                <w:lang w:val="en-GB"/>
              </w:rPr>
            </w:pPr>
          </w:p>
          <w:p w14:paraId="7491C7A4"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If abnormal liver tests persist or worsen, if clinical signs and symptoms consistent with liver disease develop, or if systemic manifestations such as rash or eosinophilia occur, INDOMETHACIN BIOTECH 25 should be stopped</w:t>
            </w:r>
          </w:p>
        </w:tc>
      </w:tr>
      <w:tr w:rsidR="009B74CB" w:rsidRPr="005D1CB1" w14:paraId="7C29BDF5" w14:textId="77777777" w:rsidTr="002C262F">
        <w:tc>
          <w:tcPr>
            <w:tcW w:w="2552" w:type="dxa"/>
          </w:tcPr>
          <w:p w14:paraId="26E19FFF"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lastRenderedPageBreak/>
              <w:t>Skin and subcutaneous tissue disorders</w:t>
            </w:r>
          </w:p>
        </w:tc>
        <w:tc>
          <w:tcPr>
            <w:tcW w:w="1984" w:type="dxa"/>
          </w:tcPr>
          <w:p w14:paraId="38C3C803"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Erythema, angiitis, photosensitivity</w:t>
            </w:r>
          </w:p>
        </w:tc>
        <w:tc>
          <w:tcPr>
            <w:tcW w:w="2835" w:type="dxa"/>
          </w:tcPr>
          <w:p w14:paraId="49DCF4C7" w14:textId="1EF64CF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Petechiae, ecchymosis, purpura, flushing exfoliative dermatitis, bullous reactions, Stevens</w:t>
            </w:r>
            <w:r w:rsidRPr="005D1CB1">
              <w:rPr>
                <w:rFonts w:ascii="Arial" w:eastAsia="Times New Roman" w:hAnsi="Arial" w:cs="Arial"/>
                <w:strike/>
                <w:lang w:val="en-GB"/>
              </w:rPr>
              <w:t xml:space="preserve"> </w:t>
            </w:r>
            <w:r w:rsidRPr="005D1CB1">
              <w:rPr>
                <w:rFonts w:ascii="Arial" w:eastAsia="Times New Roman" w:hAnsi="Arial" w:cs="Arial"/>
                <w:lang w:val="en-GB"/>
              </w:rPr>
              <w:t xml:space="preserve">Johnson syndrome, erythema multiforme, toxic </w:t>
            </w:r>
            <w:r w:rsidRPr="005D1CB1">
              <w:rPr>
                <w:rFonts w:ascii="Arial" w:eastAsia="Times New Roman" w:hAnsi="Arial" w:cs="Arial"/>
                <w:lang w:val="en-GB"/>
              </w:rPr>
              <w:lastRenderedPageBreak/>
              <w:t>epidermal necrolysis</w:t>
            </w:r>
          </w:p>
        </w:tc>
        <w:tc>
          <w:tcPr>
            <w:tcW w:w="2405" w:type="dxa"/>
          </w:tcPr>
          <w:p w14:paraId="3CA76064"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lastRenderedPageBreak/>
              <w:t>Pruritus, urticaria, angioedema, photosensitivity, rash, hair loss, sweating, exacerbation of psoriasis</w:t>
            </w:r>
          </w:p>
        </w:tc>
      </w:tr>
      <w:tr w:rsidR="009B74CB" w:rsidRPr="005D1CB1" w14:paraId="1E1EFD7E" w14:textId="77777777" w:rsidTr="002C262F">
        <w:tc>
          <w:tcPr>
            <w:tcW w:w="2552" w:type="dxa"/>
          </w:tcPr>
          <w:p w14:paraId="686953D7" w14:textId="77777777" w:rsidR="009B74CB" w:rsidRPr="005D1CB1" w:rsidRDefault="009B74CB" w:rsidP="002C262F">
            <w:pPr>
              <w:widowControl w:val="0"/>
              <w:spacing w:line="480" w:lineRule="auto"/>
              <w:rPr>
                <w:rFonts w:ascii="Arial" w:eastAsia="Times New Roman" w:hAnsi="Arial" w:cs="Arial"/>
                <w:b/>
                <w:bCs/>
                <w:lang w:val="en-GB"/>
              </w:rPr>
            </w:pPr>
            <w:r w:rsidRPr="005D1CB1">
              <w:rPr>
                <w:rFonts w:ascii="Arial" w:eastAsia="Times New Roman" w:hAnsi="Arial" w:cs="Arial"/>
                <w:b/>
                <w:bCs/>
                <w:lang w:val="en-GB"/>
              </w:rPr>
              <w:t>Musculoskeletal and connective tissue disorders</w:t>
            </w:r>
          </w:p>
        </w:tc>
        <w:tc>
          <w:tcPr>
            <w:tcW w:w="1984" w:type="dxa"/>
          </w:tcPr>
          <w:p w14:paraId="2BC2586A"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Pr>
          <w:p w14:paraId="59C6B745" w14:textId="77777777" w:rsidR="009B74CB" w:rsidRPr="005D1CB1" w:rsidRDefault="009B74CB" w:rsidP="000C2019">
            <w:pPr>
              <w:widowControl w:val="0"/>
              <w:spacing w:line="480" w:lineRule="auto"/>
              <w:jc w:val="both"/>
              <w:rPr>
                <w:rFonts w:ascii="Arial" w:eastAsia="Times New Roman" w:hAnsi="Arial" w:cs="Arial"/>
                <w:lang w:val="en-GB"/>
              </w:rPr>
            </w:pPr>
          </w:p>
        </w:tc>
        <w:tc>
          <w:tcPr>
            <w:tcW w:w="2405" w:type="dxa"/>
          </w:tcPr>
          <w:p w14:paraId="3771A6F6"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Muscle weakness, acceleration of cartilage degeneration</w:t>
            </w:r>
          </w:p>
        </w:tc>
      </w:tr>
      <w:tr w:rsidR="009B74CB" w:rsidRPr="005D1CB1" w14:paraId="65CAA794" w14:textId="77777777" w:rsidTr="002C262F">
        <w:tc>
          <w:tcPr>
            <w:tcW w:w="2552" w:type="dxa"/>
          </w:tcPr>
          <w:p w14:paraId="25EF8140" w14:textId="77777777" w:rsidR="009B74CB" w:rsidRPr="005D1CB1" w:rsidRDefault="009B74CB" w:rsidP="002C262F">
            <w:pPr>
              <w:widowControl w:val="0"/>
              <w:spacing w:line="480" w:lineRule="auto"/>
              <w:rPr>
                <w:rFonts w:ascii="Arial" w:eastAsia="Times New Roman" w:hAnsi="Arial" w:cs="Arial"/>
                <w:b/>
                <w:bCs/>
                <w:lang w:val="en-GB"/>
              </w:rPr>
            </w:pPr>
            <w:r w:rsidRPr="005D1CB1">
              <w:rPr>
                <w:rFonts w:ascii="Arial" w:eastAsia="Times New Roman" w:hAnsi="Arial" w:cs="Arial"/>
                <w:b/>
                <w:bCs/>
                <w:lang w:val="en-GB"/>
              </w:rPr>
              <w:t>Renal and urinary disorders</w:t>
            </w:r>
          </w:p>
        </w:tc>
        <w:tc>
          <w:tcPr>
            <w:tcW w:w="1984" w:type="dxa"/>
          </w:tcPr>
          <w:p w14:paraId="703E29BF"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Elevation of blood urea</w:t>
            </w:r>
          </w:p>
        </w:tc>
        <w:tc>
          <w:tcPr>
            <w:tcW w:w="2835" w:type="dxa"/>
          </w:tcPr>
          <w:p w14:paraId="1BD478C1" w14:textId="6D14F5A9"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Glycosuria, urinary frequency</w:t>
            </w:r>
          </w:p>
        </w:tc>
        <w:tc>
          <w:tcPr>
            <w:tcW w:w="2405" w:type="dxa"/>
          </w:tcPr>
          <w:p w14:paraId="41293B09"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Haematuria, nephrotoxicity in various forms, including interstitial nephritis, nephrotic syndrome, renal failure, renal insufficiency, proteinuria</w:t>
            </w:r>
          </w:p>
        </w:tc>
      </w:tr>
      <w:tr w:rsidR="009B74CB" w:rsidRPr="005D1CB1" w14:paraId="5931AD18" w14:textId="77777777" w:rsidTr="002C262F">
        <w:tc>
          <w:tcPr>
            <w:tcW w:w="2552" w:type="dxa"/>
          </w:tcPr>
          <w:p w14:paraId="2A8BB468"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Reproductive system and breast disorders</w:t>
            </w:r>
          </w:p>
        </w:tc>
        <w:tc>
          <w:tcPr>
            <w:tcW w:w="1984" w:type="dxa"/>
          </w:tcPr>
          <w:p w14:paraId="4C94B2E0"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Pr>
          <w:p w14:paraId="7F9F24F2" w14:textId="77777777" w:rsidR="009B74CB" w:rsidRPr="005D1CB1" w:rsidRDefault="009B74CB" w:rsidP="000C2019">
            <w:pPr>
              <w:widowControl w:val="0"/>
              <w:spacing w:line="480" w:lineRule="auto"/>
              <w:jc w:val="both"/>
              <w:rPr>
                <w:rFonts w:ascii="Arial" w:eastAsia="Times New Roman" w:hAnsi="Arial" w:cs="Arial"/>
                <w:lang w:val="en-GB"/>
              </w:rPr>
            </w:pPr>
          </w:p>
        </w:tc>
        <w:tc>
          <w:tcPr>
            <w:tcW w:w="2405" w:type="dxa"/>
          </w:tcPr>
          <w:p w14:paraId="1759557F" w14:textId="274FA8AE"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Breast changes (including enlargement, tenderness or gynaecomastia), vaginal bleeding</w:t>
            </w:r>
          </w:p>
        </w:tc>
      </w:tr>
      <w:tr w:rsidR="009B74CB" w:rsidRPr="005D1CB1" w14:paraId="66E4BDC4" w14:textId="77777777" w:rsidTr="002C262F">
        <w:tc>
          <w:tcPr>
            <w:tcW w:w="2552" w:type="dxa"/>
          </w:tcPr>
          <w:p w14:paraId="61CA6841" w14:textId="77777777" w:rsidR="009B74CB" w:rsidRPr="005D1CB1" w:rsidRDefault="009B74CB" w:rsidP="002C262F">
            <w:pPr>
              <w:widowControl w:val="0"/>
              <w:spacing w:line="480" w:lineRule="auto"/>
              <w:rPr>
                <w:rFonts w:ascii="Arial" w:eastAsia="Times New Roman" w:hAnsi="Arial" w:cs="Arial"/>
                <w:b/>
                <w:bCs/>
                <w:lang w:val="en-GB"/>
              </w:rPr>
            </w:pPr>
            <w:r w:rsidRPr="005D1CB1">
              <w:rPr>
                <w:rFonts w:ascii="Arial" w:eastAsia="Times New Roman" w:hAnsi="Arial" w:cs="Arial"/>
                <w:b/>
                <w:bCs/>
                <w:lang w:val="en-GB"/>
              </w:rPr>
              <w:t>General disorders and administrative site conditions</w:t>
            </w:r>
          </w:p>
        </w:tc>
        <w:tc>
          <w:tcPr>
            <w:tcW w:w="1984" w:type="dxa"/>
          </w:tcPr>
          <w:p w14:paraId="2D0E6D17" w14:textId="77777777" w:rsidR="009B74CB" w:rsidRPr="005D1CB1" w:rsidRDefault="009B74CB" w:rsidP="000C2019">
            <w:pPr>
              <w:widowControl w:val="0"/>
              <w:spacing w:line="480" w:lineRule="auto"/>
              <w:jc w:val="both"/>
              <w:rPr>
                <w:rFonts w:ascii="Arial" w:eastAsia="Times New Roman" w:hAnsi="Arial" w:cs="Arial"/>
                <w:lang w:val="en-GB"/>
              </w:rPr>
            </w:pPr>
          </w:p>
        </w:tc>
        <w:tc>
          <w:tcPr>
            <w:tcW w:w="2835" w:type="dxa"/>
          </w:tcPr>
          <w:p w14:paraId="1D7BDF47" w14:textId="77777777" w:rsidR="009B74CB" w:rsidRPr="005D1CB1" w:rsidRDefault="009B74CB" w:rsidP="000C2019">
            <w:pPr>
              <w:widowControl w:val="0"/>
              <w:spacing w:line="480" w:lineRule="auto"/>
              <w:jc w:val="both"/>
              <w:rPr>
                <w:rFonts w:ascii="Arial" w:eastAsia="Times New Roman" w:hAnsi="Arial" w:cs="Arial"/>
                <w:lang w:val="en-GB"/>
              </w:rPr>
            </w:pPr>
          </w:p>
        </w:tc>
        <w:tc>
          <w:tcPr>
            <w:tcW w:w="2405" w:type="dxa"/>
          </w:tcPr>
          <w:p w14:paraId="34316B0E"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Fatigue, chest pain</w:t>
            </w:r>
          </w:p>
        </w:tc>
      </w:tr>
      <w:tr w:rsidR="009B74CB" w:rsidRPr="005D1CB1" w14:paraId="7200EB73" w14:textId="77777777" w:rsidTr="002C262F">
        <w:tc>
          <w:tcPr>
            <w:tcW w:w="2552" w:type="dxa"/>
          </w:tcPr>
          <w:p w14:paraId="7051058E" w14:textId="77777777" w:rsidR="009B74CB" w:rsidRPr="005D1CB1" w:rsidRDefault="009B74CB" w:rsidP="000C2019">
            <w:pPr>
              <w:widowControl w:val="0"/>
              <w:spacing w:line="480" w:lineRule="auto"/>
              <w:jc w:val="both"/>
              <w:rPr>
                <w:rFonts w:ascii="Arial" w:eastAsia="Times New Roman" w:hAnsi="Arial" w:cs="Arial"/>
                <w:b/>
                <w:bCs/>
                <w:lang w:val="en-GB"/>
              </w:rPr>
            </w:pPr>
            <w:r w:rsidRPr="005D1CB1">
              <w:rPr>
                <w:rFonts w:ascii="Arial" w:eastAsia="Times New Roman" w:hAnsi="Arial" w:cs="Arial"/>
                <w:b/>
                <w:bCs/>
                <w:lang w:val="en-GB"/>
              </w:rPr>
              <w:t>Investigations</w:t>
            </w:r>
          </w:p>
        </w:tc>
        <w:tc>
          <w:tcPr>
            <w:tcW w:w="1984" w:type="dxa"/>
          </w:tcPr>
          <w:p w14:paraId="6F4F145D" w14:textId="77777777" w:rsidR="009B74CB" w:rsidRPr="005D1CB1" w:rsidRDefault="009B74CB" w:rsidP="000C2019">
            <w:pPr>
              <w:widowControl w:val="0"/>
              <w:spacing w:line="480" w:lineRule="auto"/>
              <w:jc w:val="both"/>
              <w:rPr>
                <w:rFonts w:ascii="Arial" w:eastAsia="Times New Roman" w:hAnsi="Arial" w:cs="Arial"/>
                <w:lang w:val="en-GB"/>
              </w:rPr>
            </w:pPr>
            <w:r w:rsidRPr="005D1CB1">
              <w:rPr>
                <w:rFonts w:ascii="Arial" w:eastAsia="Times New Roman" w:hAnsi="Arial" w:cs="Arial"/>
                <w:lang w:val="en-GB"/>
              </w:rPr>
              <w:t>BUN elevation</w:t>
            </w:r>
          </w:p>
        </w:tc>
        <w:tc>
          <w:tcPr>
            <w:tcW w:w="2835" w:type="dxa"/>
          </w:tcPr>
          <w:p w14:paraId="47CD36AF" w14:textId="77777777" w:rsidR="009B74CB" w:rsidRPr="005D1CB1" w:rsidRDefault="009B74CB" w:rsidP="002C262F">
            <w:pPr>
              <w:widowControl w:val="0"/>
              <w:spacing w:line="480" w:lineRule="auto"/>
              <w:rPr>
                <w:rFonts w:ascii="Arial" w:eastAsia="Times New Roman" w:hAnsi="Arial" w:cs="Arial"/>
                <w:lang w:val="en-GB"/>
              </w:rPr>
            </w:pPr>
            <w:r w:rsidRPr="005D1CB1">
              <w:rPr>
                <w:rFonts w:ascii="Arial" w:eastAsia="Times New Roman" w:hAnsi="Arial" w:cs="Arial"/>
                <w:lang w:val="en-GB"/>
              </w:rPr>
              <w:t xml:space="preserve">A rapid fall in blood pressure resembling a shock-like state, borderline elevations of one or more liver tests may occur, and </w:t>
            </w:r>
            <w:r w:rsidRPr="005D1CB1">
              <w:rPr>
                <w:rFonts w:ascii="Arial" w:eastAsia="Times New Roman" w:hAnsi="Arial" w:cs="Arial"/>
                <w:lang w:val="en-GB"/>
              </w:rPr>
              <w:lastRenderedPageBreak/>
              <w:t>significant elevations of ALT (SGPT) or AST (SGOT), false-negative results in the dexamethasone suppression test (DST)</w:t>
            </w:r>
          </w:p>
        </w:tc>
        <w:tc>
          <w:tcPr>
            <w:tcW w:w="2405" w:type="dxa"/>
          </w:tcPr>
          <w:p w14:paraId="26B7BE01" w14:textId="77777777" w:rsidR="009B74CB" w:rsidRPr="005D1CB1" w:rsidRDefault="009B74CB" w:rsidP="000C2019">
            <w:pPr>
              <w:widowControl w:val="0"/>
              <w:spacing w:line="480" w:lineRule="auto"/>
              <w:jc w:val="both"/>
              <w:rPr>
                <w:rFonts w:ascii="Arial" w:eastAsia="Times New Roman" w:hAnsi="Arial" w:cs="Arial"/>
                <w:lang w:val="en-GB"/>
              </w:rPr>
            </w:pPr>
          </w:p>
        </w:tc>
      </w:tr>
    </w:tbl>
    <w:p w14:paraId="76D124CF" w14:textId="77777777" w:rsidR="009B74CB" w:rsidRPr="009B74CB" w:rsidRDefault="009B74CB" w:rsidP="000C2019">
      <w:pPr>
        <w:widowControl w:val="0"/>
        <w:spacing w:after="0" w:line="480" w:lineRule="auto"/>
        <w:jc w:val="both"/>
        <w:rPr>
          <w:rFonts w:ascii="Arial" w:hAnsi="Arial" w:cs="Arial"/>
        </w:rPr>
      </w:pPr>
    </w:p>
    <w:p w14:paraId="507E0219" w14:textId="77777777" w:rsidR="009B74CB" w:rsidRPr="009B74CB" w:rsidRDefault="009B74CB" w:rsidP="000C2019">
      <w:pPr>
        <w:widowControl w:val="0"/>
        <w:spacing w:after="0" w:line="480" w:lineRule="auto"/>
        <w:jc w:val="both"/>
        <w:rPr>
          <w:rFonts w:ascii="Arial" w:hAnsi="Arial" w:cs="Arial"/>
          <w:b/>
          <w:bCs/>
        </w:rPr>
      </w:pPr>
      <w:r w:rsidRPr="009B74CB">
        <w:rPr>
          <w:rFonts w:ascii="Arial" w:hAnsi="Arial" w:cs="Arial"/>
          <w:b/>
          <w:bCs/>
        </w:rPr>
        <w:t>Post-marketing experience:</w:t>
      </w:r>
    </w:p>
    <w:tbl>
      <w:tblPr>
        <w:tblW w:w="5000" w:type="pct"/>
        <w:tblLayout w:type="fixed"/>
        <w:tblCellMar>
          <w:left w:w="70" w:type="dxa"/>
          <w:right w:w="70" w:type="dxa"/>
        </w:tblCellMar>
        <w:tblLook w:val="04A0" w:firstRow="1" w:lastRow="0" w:firstColumn="1" w:lastColumn="0" w:noHBand="0" w:noVBand="1"/>
      </w:tblPr>
      <w:tblGrid>
        <w:gridCol w:w="4395"/>
        <w:gridCol w:w="5243"/>
      </w:tblGrid>
      <w:tr w:rsidR="009B74CB" w:rsidRPr="009B74CB" w14:paraId="2EABC38E" w14:textId="77777777" w:rsidTr="002C262F">
        <w:trPr>
          <w:tblHeader/>
        </w:trPr>
        <w:tc>
          <w:tcPr>
            <w:tcW w:w="2280" w:type="pct"/>
            <w:tcBorders>
              <w:bottom w:val="single" w:sz="4" w:space="0" w:color="auto"/>
            </w:tcBorders>
            <w:hideMark/>
          </w:tcPr>
          <w:p w14:paraId="0D235E50" w14:textId="77777777" w:rsidR="009B74CB" w:rsidRPr="005D1CB1" w:rsidRDefault="009B74CB" w:rsidP="000C2019">
            <w:pPr>
              <w:pStyle w:val="BodyTextIndent2"/>
              <w:tabs>
                <w:tab w:val="clear" w:pos="567"/>
                <w:tab w:val="left" w:pos="720"/>
              </w:tabs>
              <w:spacing w:line="480" w:lineRule="auto"/>
              <w:ind w:left="0"/>
              <w:rPr>
                <w:rFonts w:cs="Arial"/>
                <w:b/>
                <w:color w:val="000000"/>
                <w:sz w:val="22"/>
                <w:szCs w:val="22"/>
                <w:lang w:val="en-GB"/>
              </w:rPr>
            </w:pPr>
            <w:r w:rsidRPr="005D1CB1">
              <w:rPr>
                <w:rFonts w:cs="Arial"/>
                <w:b/>
                <w:color w:val="000000"/>
                <w:sz w:val="22"/>
                <w:szCs w:val="22"/>
                <w:lang w:val="en-GB"/>
              </w:rPr>
              <w:t>System organ class</w:t>
            </w:r>
          </w:p>
        </w:tc>
        <w:tc>
          <w:tcPr>
            <w:tcW w:w="2720" w:type="pct"/>
            <w:tcBorders>
              <w:bottom w:val="single" w:sz="4" w:space="0" w:color="auto"/>
            </w:tcBorders>
            <w:hideMark/>
          </w:tcPr>
          <w:p w14:paraId="20E5E5C0" w14:textId="77777777" w:rsidR="009B74CB" w:rsidRPr="005D1CB1" w:rsidRDefault="009B74CB" w:rsidP="000C2019">
            <w:pPr>
              <w:pStyle w:val="BodyTextIndent2"/>
              <w:tabs>
                <w:tab w:val="clear" w:pos="567"/>
                <w:tab w:val="left" w:pos="720"/>
              </w:tabs>
              <w:spacing w:line="480" w:lineRule="auto"/>
              <w:ind w:left="0"/>
              <w:rPr>
                <w:rFonts w:cs="Arial"/>
                <w:b/>
                <w:color w:val="000000"/>
                <w:sz w:val="22"/>
                <w:szCs w:val="22"/>
                <w:lang w:val="en-GB"/>
              </w:rPr>
            </w:pPr>
            <w:r w:rsidRPr="005D1CB1">
              <w:rPr>
                <w:rFonts w:cs="Arial"/>
                <w:b/>
                <w:color w:val="000000"/>
                <w:sz w:val="22"/>
                <w:szCs w:val="22"/>
                <w:lang w:val="en-GB"/>
              </w:rPr>
              <w:t>Frequency unknown</w:t>
            </w:r>
          </w:p>
        </w:tc>
      </w:tr>
      <w:tr w:rsidR="009B74CB" w:rsidRPr="009B74CB" w14:paraId="3D14C345" w14:textId="77777777" w:rsidTr="002C262F">
        <w:tc>
          <w:tcPr>
            <w:tcW w:w="2280" w:type="pct"/>
            <w:tcBorders>
              <w:top w:val="single" w:sz="4" w:space="0" w:color="auto"/>
            </w:tcBorders>
            <w:hideMark/>
          </w:tcPr>
          <w:p w14:paraId="0E79D909" w14:textId="77777777" w:rsidR="009B74CB" w:rsidRPr="005D1CB1" w:rsidRDefault="009B74CB" w:rsidP="002C262F">
            <w:pPr>
              <w:pStyle w:val="BodyTextIndent2"/>
              <w:tabs>
                <w:tab w:val="clear" w:pos="567"/>
                <w:tab w:val="left" w:pos="720"/>
              </w:tabs>
              <w:spacing w:line="480" w:lineRule="auto"/>
              <w:ind w:left="0"/>
              <w:jc w:val="left"/>
              <w:rPr>
                <w:rFonts w:cs="Arial"/>
                <w:b/>
                <w:color w:val="000000"/>
                <w:sz w:val="22"/>
                <w:szCs w:val="22"/>
                <w:lang w:val="en-GB"/>
              </w:rPr>
            </w:pPr>
            <w:r w:rsidRPr="005D1CB1">
              <w:rPr>
                <w:rFonts w:cs="Arial"/>
                <w:b/>
                <w:color w:val="000000"/>
                <w:sz w:val="22"/>
                <w:szCs w:val="22"/>
                <w:lang w:val="en-GB"/>
              </w:rPr>
              <w:t>Metabolism and nutrition disorders</w:t>
            </w:r>
          </w:p>
        </w:tc>
        <w:tc>
          <w:tcPr>
            <w:tcW w:w="2720" w:type="pct"/>
            <w:tcBorders>
              <w:top w:val="single" w:sz="4" w:space="0" w:color="auto"/>
            </w:tcBorders>
            <w:hideMark/>
          </w:tcPr>
          <w:p w14:paraId="7387D574" w14:textId="77777777" w:rsidR="009B74CB" w:rsidRPr="005D1CB1" w:rsidRDefault="009B74CB" w:rsidP="000C2019">
            <w:pPr>
              <w:pStyle w:val="BodyTextIndent2"/>
              <w:tabs>
                <w:tab w:val="clear" w:pos="567"/>
                <w:tab w:val="left" w:pos="720"/>
              </w:tabs>
              <w:spacing w:line="480" w:lineRule="auto"/>
              <w:ind w:left="0"/>
              <w:rPr>
                <w:rFonts w:cs="Arial"/>
                <w:color w:val="000000"/>
                <w:sz w:val="22"/>
                <w:szCs w:val="22"/>
                <w:lang w:val="en-GB"/>
              </w:rPr>
            </w:pPr>
            <w:r w:rsidRPr="005D1CB1">
              <w:rPr>
                <w:rFonts w:cs="Arial"/>
                <w:color w:val="000000"/>
                <w:sz w:val="22"/>
                <w:szCs w:val="22"/>
                <w:lang w:val="en-GB"/>
              </w:rPr>
              <w:t xml:space="preserve">Hypokalaemia* </w:t>
            </w:r>
          </w:p>
        </w:tc>
      </w:tr>
      <w:tr w:rsidR="009B74CB" w:rsidRPr="009B74CB" w14:paraId="3AFA4FE6" w14:textId="77777777" w:rsidTr="002C262F">
        <w:tc>
          <w:tcPr>
            <w:tcW w:w="2280" w:type="pct"/>
            <w:hideMark/>
          </w:tcPr>
          <w:p w14:paraId="6093F8EB" w14:textId="77777777" w:rsidR="009B74CB" w:rsidRPr="005D1CB1" w:rsidRDefault="009B74CB" w:rsidP="002C262F">
            <w:pPr>
              <w:pStyle w:val="BodyTextIndent2"/>
              <w:tabs>
                <w:tab w:val="clear" w:pos="567"/>
                <w:tab w:val="left" w:pos="720"/>
              </w:tabs>
              <w:spacing w:line="480" w:lineRule="auto"/>
              <w:ind w:left="0"/>
              <w:jc w:val="left"/>
              <w:rPr>
                <w:rFonts w:cs="Arial"/>
                <w:b/>
                <w:color w:val="000000"/>
                <w:sz w:val="22"/>
                <w:szCs w:val="22"/>
                <w:lang w:val="en-GB"/>
              </w:rPr>
            </w:pPr>
            <w:r w:rsidRPr="005D1CB1">
              <w:rPr>
                <w:rFonts w:cs="Arial"/>
                <w:b/>
                <w:color w:val="000000"/>
                <w:sz w:val="22"/>
                <w:szCs w:val="22"/>
                <w:lang w:val="en-GB"/>
              </w:rPr>
              <w:t>Renal and urinary disorders</w:t>
            </w:r>
          </w:p>
        </w:tc>
        <w:tc>
          <w:tcPr>
            <w:tcW w:w="2720" w:type="pct"/>
            <w:hideMark/>
          </w:tcPr>
          <w:p w14:paraId="27C13AD2" w14:textId="77777777" w:rsidR="009B74CB" w:rsidRPr="005D1CB1" w:rsidRDefault="009B74CB" w:rsidP="000C2019">
            <w:pPr>
              <w:pStyle w:val="BodyTextIndent2"/>
              <w:tabs>
                <w:tab w:val="clear" w:pos="567"/>
                <w:tab w:val="left" w:pos="720"/>
              </w:tabs>
              <w:spacing w:line="480" w:lineRule="auto"/>
              <w:ind w:left="0"/>
              <w:rPr>
                <w:rFonts w:cs="Arial"/>
                <w:color w:val="000000"/>
                <w:sz w:val="22"/>
                <w:szCs w:val="22"/>
                <w:lang w:val="en-GB"/>
              </w:rPr>
            </w:pPr>
            <w:r w:rsidRPr="005D1CB1">
              <w:rPr>
                <w:rFonts w:cs="Arial"/>
                <w:color w:val="000000"/>
                <w:sz w:val="22"/>
                <w:szCs w:val="22"/>
                <w:lang w:val="en-GB"/>
              </w:rPr>
              <w:t xml:space="preserve">Renal tubular acidosis* </w:t>
            </w:r>
          </w:p>
        </w:tc>
      </w:tr>
    </w:tbl>
    <w:p w14:paraId="0BB4D94F"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lang w:val="en-GB"/>
        </w:rPr>
        <w:t>*See sections 4.8 and 4.9.</w:t>
      </w:r>
    </w:p>
    <w:p w14:paraId="34016180" w14:textId="77777777" w:rsidR="009B74CB" w:rsidRPr="009B74CB" w:rsidRDefault="009B74CB" w:rsidP="000C2019">
      <w:pPr>
        <w:widowControl w:val="0"/>
        <w:spacing w:after="0" w:line="480" w:lineRule="auto"/>
        <w:jc w:val="both"/>
        <w:rPr>
          <w:rFonts w:ascii="Arial" w:hAnsi="Arial" w:cs="Arial"/>
        </w:rPr>
      </w:pPr>
    </w:p>
    <w:p w14:paraId="34062F03" w14:textId="77777777" w:rsidR="009B74CB" w:rsidRPr="009B74CB" w:rsidRDefault="009B74CB" w:rsidP="000C2019">
      <w:pPr>
        <w:widowControl w:val="0"/>
        <w:spacing w:after="0" w:line="480" w:lineRule="auto"/>
        <w:jc w:val="both"/>
        <w:rPr>
          <w:rFonts w:ascii="Arial" w:hAnsi="Arial" w:cs="Arial"/>
          <w:b/>
          <w:bCs/>
        </w:rPr>
      </w:pPr>
      <w:r w:rsidRPr="009B74CB">
        <w:rPr>
          <w:rFonts w:ascii="Arial" w:hAnsi="Arial" w:cs="Arial"/>
          <w:b/>
          <w:bCs/>
        </w:rPr>
        <w:t>Reporting of suspected adverse reactions:</w:t>
      </w:r>
    </w:p>
    <w:p w14:paraId="6C4652D0"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 xml:space="preserve">Reporting suspected adverse reactions after authorisation of </w:t>
      </w:r>
      <w:r w:rsidRPr="009B74CB">
        <w:rPr>
          <w:rFonts w:ascii="Arial" w:hAnsi="Arial" w:cs="Arial"/>
          <w:bCs/>
          <w:lang w:val="en-GB"/>
        </w:rPr>
        <w:t xml:space="preserve">INDOMETHACIN BIOTECH 25 </w:t>
      </w:r>
      <w:r w:rsidRPr="009B74CB">
        <w:rPr>
          <w:rFonts w:ascii="Arial" w:hAnsi="Arial" w:cs="Arial"/>
          <w:bCs/>
        </w:rPr>
        <w:t xml:space="preserve">is important. It allows continued monitoring of the benefit/risk balance of </w:t>
      </w:r>
      <w:r w:rsidRPr="009B74CB">
        <w:rPr>
          <w:rFonts w:ascii="Arial" w:hAnsi="Arial" w:cs="Arial"/>
          <w:bCs/>
          <w:noProof/>
          <w:lang w:val="en-GB"/>
        </w:rPr>
        <w:t>INDOMETHACIN BIOTECH 25</w:t>
      </w:r>
      <w:r w:rsidRPr="009B74CB">
        <w:rPr>
          <w:rFonts w:ascii="Arial" w:hAnsi="Arial" w:cs="Arial"/>
          <w:bCs/>
        </w:rPr>
        <w:t>. Health care providers are asked to report any suspected adverse reactions to SAHPRA via the “</w:t>
      </w:r>
      <w:r w:rsidRPr="009B74CB">
        <w:rPr>
          <w:rFonts w:ascii="Arial" w:hAnsi="Arial" w:cs="Arial"/>
          <w:b/>
          <w:bCs/>
        </w:rPr>
        <w:t>6.04 Adverse Drug Reactions Reporting Form</w:t>
      </w:r>
      <w:r w:rsidRPr="009B74CB">
        <w:rPr>
          <w:rFonts w:ascii="Arial" w:hAnsi="Arial" w:cs="Arial"/>
          <w:bCs/>
        </w:rPr>
        <w:t>”, found online under SAHPRA’s publications: https://www.sahpra.org.za/Publications/Index/8</w:t>
      </w:r>
    </w:p>
    <w:p w14:paraId="60E3F5C3" w14:textId="77777777" w:rsidR="009B74CB" w:rsidRPr="009B74CB" w:rsidRDefault="009B74CB" w:rsidP="000C2019">
      <w:pPr>
        <w:widowControl w:val="0"/>
        <w:spacing w:after="0" w:line="480" w:lineRule="auto"/>
        <w:jc w:val="both"/>
        <w:rPr>
          <w:rFonts w:ascii="Arial" w:hAnsi="Arial" w:cs="Arial"/>
        </w:rPr>
      </w:pPr>
    </w:p>
    <w:p w14:paraId="245831F4" w14:textId="77777777" w:rsidR="009B74CB" w:rsidRPr="009B74CB" w:rsidRDefault="009B74CB" w:rsidP="000C2019">
      <w:pPr>
        <w:widowControl w:val="0"/>
        <w:spacing w:after="0" w:line="480" w:lineRule="auto"/>
        <w:ind w:left="567" w:hanging="567"/>
        <w:jc w:val="both"/>
        <w:rPr>
          <w:rFonts w:ascii="Arial" w:hAnsi="Arial" w:cs="Arial"/>
          <w:noProof/>
          <w:highlight w:val="yellow"/>
          <w:lang w:val="en-GB"/>
        </w:rPr>
      </w:pPr>
      <w:r w:rsidRPr="009B74CB">
        <w:rPr>
          <w:rFonts w:ascii="Arial" w:hAnsi="Arial" w:cs="Arial"/>
          <w:b/>
          <w:noProof/>
          <w:lang w:val="en-GB"/>
        </w:rPr>
        <w:t>4.9</w:t>
      </w:r>
      <w:r w:rsidRPr="009B74CB">
        <w:rPr>
          <w:rFonts w:ascii="Arial" w:hAnsi="Arial" w:cs="Arial"/>
          <w:b/>
          <w:noProof/>
          <w:lang w:val="en-GB"/>
        </w:rPr>
        <w:tab/>
        <w:t>Overdose</w:t>
      </w:r>
    </w:p>
    <w:p w14:paraId="668117A2" w14:textId="77777777" w:rsidR="009B74CB" w:rsidRPr="009B74CB" w:rsidRDefault="009B74CB" w:rsidP="000C2019">
      <w:pPr>
        <w:widowControl w:val="0"/>
        <w:spacing w:after="0" w:line="480" w:lineRule="auto"/>
        <w:jc w:val="both"/>
        <w:rPr>
          <w:rFonts w:ascii="Arial" w:eastAsia="Times New Roman" w:hAnsi="Arial" w:cs="Arial"/>
          <w:b/>
          <w:lang w:val="en-GB"/>
        </w:rPr>
      </w:pPr>
      <w:r w:rsidRPr="009B74CB">
        <w:rPr>
          <w:rFonts w:ascii="Arial" w:eastAsia="Times New Roman" w:hAnsi="Arial" w:cs="Arial"/>
          <w:b/>
          <w:lang w:val="en-GB"/>
        </w:rPr>
        <w:t>Symptoms:</w:t>
      </w:r>
    </w:p>
    <w:p w14:paraId="01749253" w14:textId="77777777" w:rsidR="009B74CB" w:rsidRPr="009B74CB" w:rsidRDefault="009B74CB" w:rsidP="000C2019">
      <w:pPr>
        <w:widowControl w:val="0"/>
        <w:spacing w:after="0" w:line="480" w:lineRule="auto"/>
        <w:jc w:val="both"/>
        <w:rPr>
          <w:rFonts w:ascii="Arial" w:eastAsia="Times New Roman" w:hAnsi="Arial" w:cs="Arial"/>
          <w:bCs/>
        </w:rPr>
      </w:pPr>
      <w:r w:rsidRPr="009B74CB">
        <w:rPr>
          <w:rFonts w:ascii="Arial" w:eastAsia="Times New Roman" w:hAnsi="Arial" w:cs="Arial"/>
          <w:bCs/>
        </w:rPr>
        <w:t>Symptoms include headache, nausea, vomiting, epigastric pain, gastrointestinal bleeding, diarrhoea, disorientation, excitation, coma, drowsiness, dizziness, tinnitus, fainting, occasionally convulsions, abdominal pain, anorexia, restlessness and agitation. In cases of</w:t>
      </w:r>
      <w:r w:rsidRPr="009B74CB">
        <w:rPr>
          <w:rFonts w:ascii="Arial" w:eastAsia="Times New Roman" w:hAnsi="Arial" w:cs="Arial"/>
          <w:bCs/>
        </w:rPr>
        <w:br/>
        <w:t>significant poisoning kidney injury (acute kidney failure) and liver damage are possible.</w:t>
      </w:r>
    </w:p>
    <w:p w14:paraId="701E1FEA" w14:textId="77777777" w:rsidR="009B74CB" w:rsidRPr="009B74CB" w:rsidRDefault="009B74CB" w:rsidP="000C2019">
      <w:pPr>
        <w:widowControl w:val="0"/>
        <w:spacing w:after="0" w:line="480" w:lineRule="auto"/>
        <w:jc w:val="both"/>
        <w:rPr>
          <w:rFonts w:ascii="Arial" w:hAnsi="Arial" w:cs="Arial"/>
          <w:color w:val="000000"/>
          <w:lang w:val="en-GB"/>
        </w:rPr>
      </w:pPr>
      <w:r w:rsidRPr="009B74CB">
        <w:rPr>
          <w:rFonts w:ascii="Arial" w:hAnsi="Arial" w:cs="Arial"/>
          <w:color w:val="000000"/>
          <w:lang w:val="en-GB"/>
        </w:rPr>
        <w:t xml:space="preserve">Prolonged use at higher than recommended doses may result in severe hypokalaemia and renal </w:t>
      </w:r>
      <w:r w:rsidRPr="009B74CB">
        <w:rPr>
          <w:rFonts w:ascii="Arial" w:hAnsi="Arial" w:cs="Arial"/>
          <w:color w:val="000000"/>
          <w:lang w:val="en-GB"/>
        </w:rPr>
        <w:lastRenderedPageBreak/>
        <w:t>tubular acidosis. Symptoms may include reduced level of consciousness and generalised weakness (see sections 4.4 and section 4.8).</w:t>
      </w:r>
    </w:p>
    <w:p w14:paraId="4EBB42D4" w14:textId="77777777" w:rsidR="009B74CB" w:rsidRPr="009B74CB" w:rsidRDefault="009B74CB" w:rsidP="000C2019">
      <w:pPr>
        <w:widowControl w:val="0"/>
        <w:spacing w:after="0" w:line="480" w:lineRule="auto"/>
        <w:jc w:val="both"/>
        <w:rPr>
          <w:rFonts w:ascii="Arial" w:eastAsia="Times New Roman" w:hAnsi="Arial" w:cs="Arial"/>
          <w:b/>
        </w:rPr>
      </w:pPr>
    </w:p>
    <w:p w14:paraId="00FF96E9" w14:textId="77777777" w:rsidR="009B74CB" w:rsidRPr="009B74CB" w:rsidRDefault="009B74CB" w:rsidP="000C2019">
      <w:pPr>
        <w:widowControl w:val="0"/>
        <w:spacing w:after="0" w:line="480" w:lineRule="auto"/>
        <w:jc w:val="both"/>
        <w:rPr>
          <w:rFonts w:ascii="Arial" w:eastAsia="Times New Roman" w:hAnsi="Arial" w:cs="Arial"/>
          <w:b/>
          <w:lang w:val="en-GB"/>
        </w:rPr>
      </w:pPr>
      <w:r w:rsidRPr="009B74CB">
        <w:rPr>
          <w:rFonts w:ascii="Arial" w:eastAsia="Times New Roman" w:hAnsi="Arial" w:cs="Arial"/>
          <w:b/>
        </w:rPr>
        <w:t>Treatment:</w:t>
      </w:r>
    </w:p>
    <w:p w14:paraId="684D1E97" w14:textId="77777777" w:rsidR="009B74CB" w:rsidRPr="009B74CB" w:rsidRDefault="009B74CB" w:rsidP="000C2019">
      <w:pPr>
        <w:widowControl w:val="0"/>
        <w:spacing w:after="0" w:line="480" w:lineRule="auto"/>
        <w:jc w:val="both"/>
        <w:rPr>
          <w:rFonts w:ascii="Arial" w:eastAsia="Times New Roman" w:hAnsi="Arial" w:cs="Arial"/>
          <w:bCs/>
          <w:lang w:val="en-GB"/>
        </w:rPr>
      </w:pPr>
      <w:r w:rsidRPr="009B74CB">
        <w:rPr>
          <w:rFonts w:ascii="Arial" w:eastAsia="Times New Roman" w:hAnsi="Arial" w:cs="Arial"/>
          <w:bCs/>
          <w:lang w:val="en-GB"/>
        </w:rPr>
        <w:t>Treatment is supportive and symptomatic.</w:t>
      </w:r>
    </w:p>
    <w:p w14:paraId="719B7EAA" w14:textId="77777777" w:rsidR="009B74CB" w:rsidRPr="009B74CB" w:rsidRDefault="009B74CB" w:rsidP="000C2019">
      <w:pPr>
        <w:widowControl w:val="0"/>
        <w:spacing w:after="0" w:line="480" w:lineRule="auto"/>
        <w:jc w:val="both"/>
        <w:rPr>
          <w:rFonts w:ascii="Arial" w:eastAsia="Times New Roman" w:hAnsi="Arial" w:cs="Arial"/>
          <w:bCs/>
          <w:lang w:val="en-GB"/>
        </w:rPr>
      </w:pPr>
      <w:r w:rsidRPr="009B74CB">
        <w:rPr>
          <w:rFonts w:ascii="Arial" w:eastAsia="Times New Roman" w:hAnsi="Arial" w:cs="Arial"/>
          <w:bCs/>
        </w:rPr>
        <w:t>Within one hour of ingestion of a potentially toxic amount, activated charcoal should be considered. Alternatively, in adults, gastric lavage should be considered within one hour of ingestion of a potentially life-threatening overdose. Good urine output should be ensured. Renal and liver function should be closely monitored. Patients should be observed for at least four hours after ingestion of potentially toxic amounts. Frequent or prolonged convulsions should be treated with intravenous diazepam. Other measures may be indicated by the patient's clinical condition.</w:t>
      </w:r>
    </w:p>
    <w:p w14:paraId="75573611" w14:textId="77777777" w:rsidR="009B74CB" w:rsidRPr="009B74CB" w:rsidRDefault="009B74CB" w:rsidP="000C2019">
      <w:pPr>
        <w:widowControl w:val="0"/>
        <w:tabs>
          <w:tab w:val="left" w:pos="432"/>
        </w:tabs>
        <w:spacing w:after="0" w:line="480" w:lineRule="auto"/>
        <w:jc w:val="both"/>
        <w:rPr>
          <w:rFonts w:ascii="Arial" w:eastAsia="Times New Roman" w:hAnsi="Arial" w:cs="Arial"/>
          <w:lang w:val="en-GB"/>
        </w:rPr>
      </w:pPr>
    </w:p>
    <w:p w14:paraId="2DC22330" w14:textId="77777777" w:rsidR="009B74CB" w:rsidRPr="009B74CB" w:rsidRDefault="009B74CB" w:rsidP="000C2019">
      <w:pPr>
        <w:widowControl w:val="0"/>
        <w:spacing w:after="0" w:line="480" w:lineRule="auto"/>
        <w:ind w:left="567" w:hanging="567"/>
        <w:jc w:val="both"/>
        <w:rPr>
          <w:rFonts w:ascii="Arial" w:eastAsia="Times New Roman" w:hAnsi="Arial" w:cs="Arial"/>
          <w:b/>
          <w:highlight w:val="yellow"/>
          <w:lang w:val="en-GB"/>
        </w:rPr>
      </w:pPr>
      <w:r w:rsidRPr="009B74CB">
        <w:rPr>
          <w:rFonts w:ascii="Arial" w:hAnsi="Arial" w:cs="Arial"/>
          <w:b/>
        </w:rPr>
        <w:t>5.</w:t>
      </w:r>
      <w:r w:rsidRPr="009B74CB">
        <w:rPr>
          <w:rFonts w:ascii="Arial" w:hAnsi="Arial" w:cs="Arial"/>
          <w:b/>
        </w:rPr>
        <w:tab/>
        <w:t>PHARMACOLOGICAL PROPERTIES:</w:t>
      </w:r>
    </w:p>
    <w:p w14:paraId="0BCCA967" w14:textId="77777777" w:rsidR="009B74CB" w:rsidRPr="009B74CB" w:rsidRDefault="009B74CB" w:rsidP="000C2019">
      <w:pPr>
        <w:widowControl w:val="0"/>
        <w:spacing w:after="0" w:line="480" w:lineRule="auto"/>
        <w:ind w:left="567" w:hanging="567"/>
        <w:jc w:val="both"/>
        <w:rPr>
          <w:rFonts w:ascii="Arial" w:eastAsia="Times New Roman" w:hAnsi="Arial" w:cs="Arial"/>
          <w:b/>
          <w:highlight w:val="yellow"/>
          <w:lang w:val="en-GB"/>
        </w:rPr>
      </w:pPr>
      <w:r w:rsidRPr="009B74CB">
        <w:rPr>
          <w:rFonts w:ascii="Arial" w:hAnsi="Arial" w:cs="Arial"/>
          <w:b/>
          <w:noProof/>
          <w:lang w:val="en-GB"/>
        </w:rPr>
        <w:t>5.1</w:t>
      </w:r>
      <w:r w:rsidRPr="009B74CB">
        <w:rPr>
          <w:rFonts w:ascii="Arial" w:hAnsi="Arial" w:cs="Arial"/>
          <w:b/>
          <w:noProof/>
          <w:lang w:val="en-GB"/>
        </w:rPr>
        <w:tab/>
        <w:t>Pharmacodynamic properties:</w:t>
      </w:r>
    </w:p>
    <w:p w14:paraId="458B9A67" w14:textId="77777777" w:rsidR="009B74CB" w:rsidRPr="009B74CB" w:rsidRDefault="009B74CB" w:rsidP="000C2019">
      <w:pPr>
        <w:widowControl w:val="0"/>
        <w:spacing w:after="0" w:line="480" w:lineRule="auto"/>
        <w:jc w:val="both"/>
        <w:outlineLvl w:val="0"/>
        <w:rPr>
          <w:rFonts w:ascii="Arial" w:hAnsi="Arial" w:cs="Arial"/>
          <w:noProof/>
          <w:lang w:val="en-US"/>
        </w:rPr>
      </w:pPr>
      <w:r w:rsidRPr="009B74CB">
        <w:rPr>
          <w:rFonts w:ascii="Arial" w:hAnsi="Arial" w:cs="Arial"/>
          <w:bCs/>
          <w:noProof/>
        </w:rPr>
        <w:t xml:space="preserve">Category and class: </w:t>
      </w:r>
      <w:r w:rsidRPr="009B74CB">
        <w:rPr>
          <w:rFonts w:ascii="Arial" w:hAnsi="Arial" w:cs="Arial"/>
          <w:noProof/>
          <w:lang w:val="en-US"/>
        </w:rPr>
        <w:t>A 3.1 Antirheumatics (anti-inflammatory agents)</w:t>
      </w:r>
    </w:p>
    <w:p w14:paraId="17AF2DEC"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noProof/>
          <w:lang w:val="en-GB"/>
        </w:rPr>
        <w:t>Pharmacotherapeutic group:</w:t>
      </w:r>
      <w:r w:rsidRPr="009B74CB">
        <w:rPr>
          <w:rFonts w:ascii="Arial" w:hAnsi="Arial" w:cs="Arial"/>
          <w:lang w:val="en-GB"/>
        </w:rPr>
        <w:t xml:space="preserve"> </w:t>
      </w:r>
      <w:hyperlink r:id="rId8" w:tooltip="Anti-inflammatory and antirheumatic products, non-steroids" w:history="1">
        <w:r w:rsidRPr="009B74CB">
          <w:rPr>
            <w:rStyle w:val="Hyperlink"/>
            <w:rFonts w:ascii="Arial" w:hAnsi="Arial" w:cs="Arial"/>
            <w:color w:val="auto"/>
            <w:u w:val="none"/>
          </w:rPr>
          <w:t>Anti-inflammatory and antirheumatic products, non-steroids</w:t>
        </w:r>
      </w:hyperlink>
      <w:r w:rsidRPr="009B74CB">
        <w:rPr>
          <w:rFonts w:ascii="Arial" w:hAnsi="Arial" w:cs="Arial"/>
          <w:lang w:val="en-GB"/>
        </w:rPr>
        <w:t>:</w:t>
      </w:r>
      <w:r w:rsidRPr="009B74CB">
        <w:rPr>
          <w:rFonts w:ascii="Arial" w:eastAsia="Times New Roman" w:hAnsi="Arial" w:cs="Arial"/>
          <w:lang w:eastAsia="en-ZA"/>
        </w:rPr>
        <w:t xml:space="preserve"> </w:t>
      </w:r>
      <w:r w:rsidRPr="009B74CB">
        <w:rPr>
          <w:rFonts w:ascii="Arial" w:hAnsi="Arial" w:cs="Arial"/>
        </w:rPr>
        <w:t>Acetic acid derivatives and related substances</w:t>
      </w:r>
    </w:p>
    <w:p w14:paraId="36817BAB" w14:textId="77777777" w:rsidR="009B74CB" w:rsidRPr="009B74CB" w:rsidRDefault="009B74CB" w:rsidP="000C2019">
      <w:pPr>
        <w:widowControl w:val="0"/>
        <w:spacing w:after="0" w:line="480" w:lineRule="auto"/>
        <w:jc w:val="both"/>
        <w:rPr>
          <w:rFonts w:ascii="Arial" w:hAnsi="Arial" w:cs="Arial"/>
          <w:noProof/>
          <w:highlight w:val="yellow"/>
        </w:rPr>
      </w:pPr>
      <w:r w:rsidRPr="009B74CB">
        <w:rPr>
          <w:rFonts w:ascii="Arial" w:hAnsi="Arial" w:cs="Arial"/>
          <w:noProof/>
          <w:lang w:val="en-GB"/>
        </w:rPr>
        <w:t>ATC code: M01AB01</w:t>
      </w:r>
    </w:p>
    <w:p w14:paraId="20722D29" w14:textId="77777777" w:rsidR="009B74CB" w:rsidRPr="009B74CB" w:rsidRDefault="009B74CB" w:rsidP="000C2019">
      <w:pPr>
        <w:widowControl w:val="0"/>
        <w:spacing w:after="0" w:line="480" w:lineRule="auto"/>
        <w:jc w:val="both"/>
        <w:rPr>
          <w:rFonts w:ascii="Arial" w:hAnsi="Arial" w:cs="Arial"/>
          <w:highlight w:val="yellow"/>
          <w:lang w:val="en-GB"/>
        </w:rPr>
      </w:pPr>
    </w:p>
    <w:p w14:paraId="573B2FCC" w14:textId="77777777" w:rsidR="009B74CB" w:rsidRPr="009B74CB" w:rsidRDefault="009B74CB" w:rsidP="000C2019">
      <w:pPr>
        <w:widowControl w:val="0"/>
        <w:spacing w:after="0" w:line="480" w:lineRule="auto"/>
        <w:jc w:val="both"/>
        <w:rPr>
          <w:rFonts w:ascii="Arial" w:hAnsi="Arial" w:cs="Arial"/>
          <w:highlight w:val="yellow"/>
        </w:rPr>
      </w:pPr>
      <w:r w:rsidRPr="009B74CB">
        <w:rPr>
          <w:rFonts w:ascii="Arial" w:hAnsi="Arial" w:cs="Arial"/>
        </w:rPr>
        <w:t>Indomethacin is a nonsteroidal anti-inflammatory drug, with anti-inflammatory and analgesic properties, which is mediated through its mode of action as an inhibitor of prostaglandin synthesis.</w:t>
      </w:r>
    </w:p>
    <w:p w14:paraId="14A57DE7" w14:textId="77777777" w:rsidR="009B74CB" w:rsidRPr="009B74CB" w:rsidRDefault="009B74CB" w:rsidP="000C2019">
      <w:pPr>
        <w:widowControl w:val="0"/>
        <w:spacing w:after="0" w:line="480" w:lineRule="auto"/>
        <w:jc w:val="both"/>
        <w:rPr>
          <w:rFonts w:ascii="Arial" w:hAnsi="Arial" w:cs="Arial"/>
        </w:rPr>
      </w:pPr>
    </w:p>
    <w:p w14:paraId="2BDBC3C3"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Indomethacin affords relief of symptoms; it does not alter the course of the underlying disease.</w:t>
      </w:r>
    </w:p>
    <w:p w14:paraId="28F1D633" w14:textId="77777777" w:rsidR="009B74CB" w:rsidRPr="009B74CB" w:rsidRDefault="009B74CB" w:rsidP="000C2019">
      <w:pPr>
        <w:widowControl w:val="0"/>
        <w:spacing w:after="0" w:line="480" w:lineRule="auto"/>
        <w:jc w:val="both"/>
        <w:rPr>
          <w:rFonts w:ascii="Arial" w:hAnsi="Arial" w:cs="Arial"/>
        </w:rPr>
      </w:pPr>
    </w:p>
    <w:p w14:paraId="60B32B81" w14:textId="77777777" w:rsidR="009B74CB" w:rsidRPr="009B74CB" w:rsidRDefault="009B74CB" w:rsidP="000C2019">
      <w:pPr>
        <w:widowControl w:val="0"/>
        <w:spacing w:after="0" w:line="480" w:lineRule="auto"/>
        <w:ind w:left="567" w:hanging="567"/>
        <w:jc w:val="both"/>
        <w:rPr>
          <w:rFonts w:ascii="Arial" w:hAnsi="Arial" w:cs="Arial"/>
          <w:b/>
        </w:rPr>
      </w:pPr>
      <w:r w:rsidRPr="009B74CB">
        <w:rPr>
          <w:rFonts w:ascii="Arial" w:hAnsi="Arial" w:cs="Arial"/>
          <w:b/>
          <w:lang w:val="en-GB"/>
        </w:rPr>
        <w:t>5.2</w:t>
      </w:r>
      <w:r w:rsidRPr="009B74CB">
        <w:rPr>
          <w:rFonts w:ascii="Arial" w:hAnsi="Arial" w:cs="Arial"/>
          <w:b/>
          <w:lang w:val="en-GB"/>
        </w:rPr>
        <w:tab/>
        <w:t>Pharmacokinetic properties</w:t>
      </w:r>
      <w:r w:rsidRPr="009B74CB">
        <w:rPr>
          <w:rFonts w:ascii="Arial" w:eastAsia="Times New Roman" w:hAnsi="Arial" w:cs="Arial"/>
          <w:b/>
        </w:rPr>
        <w:t>:</w:t>
      </w:r>
    </w:p>
    <w:p w14:paraId="5498F0EB" w14:textId="77777777" w:rsidR="009B74CB" w:rsidRPr="009B74CB" w:rsidRDefault="009B74CB" w:rsidP="000C2019">
      <w:pPr>
        <w:widowControl w:val="0"/>
        <w:spacing w:after="0" w:line="480" w:lineRule="auto"/>
        <w:jc w:val="both"/>
        <w:rPr>
          <w:rFonts w:ascii="Arial" w:hAnsi="Arial" w:cs="Arial"/>
          <w:b/>
          <w:iCs/>
        </w:rPr>
      </w:pPr>
      <w:r w:rsidRPr="009B74CB">
        <w:rPr>
          <w:rFonts w:ascii="Arial" w:hAnsi="Arial" w:cs="Arial"/>
          <w:b/>
          <w:iCs/>
        </w:rPr>
        <w:t>Absorption:</w:t>
      </w:r>
    </w:p>
    <w:p w14:paraId="0A5F4748" w14:textId="77777777" w:rsidR="009B74CB" w:rsidRPr="009B74CB" w:rsidRDefault="009B74CB" w:rsidP="000C2019">
      <w:pPr>
        <w:widowControl w:val="0"/>
        <w:spacing w:after="0" w:line="480" w:lineRule="auto"/>
        <w:jc w:val="both"/>
        <w:rPr>
          <w:rFonts w:ascii="Arial" w:hAnsi="Arial" w:cs="Arial"/>
          <w:bCs/>
          <w:iCs/>
        </w:rPr>
      </w:pPr>
      <w:r w:rsidRPr="009B74CB">
        <w:rPr>
          <w:rFonts w:ascii="Arial" w:hAnsi="Arial" w:cs="Arial"/>
          <w:bCs/>
          <w:iCs/>
        </w:rPr>
        <w:t xml:space="preserve">Following a single oral dose, indomethacin is readily absorbed, attaining peak plasma concentrations </w:t>
      </w:r>
      <w:r w:rsidRPr="009B74CB">
        <w:rPr>
          <w:rFonts w:ascii="Arial" w:hAnsi="Arial" w:cs="Arial"/>
          <w:bCs/>
          <w:iCs/>
        </w:rPr>
        <w:lastRenderedPageBreak/>
        <w:t>of approximately 1 and 2 mcg/mL, respectively, at about 2 hours. Orally administered indomethacin is virtually 100 % bioavailable, with 90 % of the dose absorbed within 4 hours.</w:t>
      </w:r>
    </w:p>
    <w:p w14:paraId="043E5BD1" w14:textId="77777777" w:rsidR="009B74CB" w:rsidRPr="009B74CB" w:rsidRDefault="009B74CB" w:rsidP="000C2019">
      <w:pPr>
        <w:widowControl w:val="0"/>
        <w:spacing w:after="0" w:line="480" w:lineRule="auto"/>
        <w:jc w:val="both"/>
        <w:rPr>
          <w:rFonts w:ascii="Arial" w:hAnsi="Arial" w:cs="Arial"/>
          <w:bCs/>
          <w:iCs/>
          <w:highlight w:val="yellow"/>
        </w:rPr>
      </w:pPr>
    </w:p>
    <w:p w14:paraId="67551F6A" w14:textId="77777777" w:rsidR="009B74CB" w:rsidRPr="009B74CB" w:rsidRDefault="009B74CB" w:rsidP="000C2019">
      <w:pPr>
        <w:widowControl w:val="0"/>
        <w:spacing w:after="0" w:line="480" w:lineRule="auto"/>
        <w:jc w:val="both"/>
        <w:rPr>
          <w:rFonts w:ascii="Arial" w:hAnsi="Arial" w:cs="Arial"/>
          <w:b/>
          <w:iCs/>
        </w:rPr>
      </w:pPr>
      <w:r w:rsidRPr="009B74CB">
        <w:rPr>
          <w:rFonts w:ascii="Arial" w:hAnsi="Arial" w:cs="Arial"/>
          <w:b/>
          <w:iCs/>
        </w:rPr>
        <w:t>Distribution:</w:t>
      </w:r>
    </w:p>
    <w:p w14:paraId="47A31214" w14:textId="77777777" w:rsidR="009B74CB" w:rsidRPr="009B74CB" w:rsidRDefault="009B74CB" w:rsidP="000C2019">
      <w:pPr>
        <w:widowControl w:val="0"/>
        <w:spacing w:after="0" w:line="480" w:lineRule="auto"/>
        <w:jc w:val="both"/>
        <w:rPr>
          <w:rFonts w:ascii="Arial" w:hAnsi="Arial" w:cs="Arial"/>
          <w:b/>
          <w:iCs/>
        </w:rPr>
      </w:pPr>
      <w:r w:rsidRPr="009B74CB">
        <w:rPr>
          <w:rFonts w:ascii="Arial" w:hAnsi="Arial" w:cs="Arial"/>
          <w:bCs/>
          <w:iCs/>
        </w:rPr>
        <w:t>Indomethacin exists in the plasma as the parent medicine and its dimethyl, desbenzoyl, and desmethyl-desbenzoyl metabolites, all in the unconjugated form. About 60 % of an oral dosage is recovered in urine as medicine and metabolites (26 % as indomethacin and its glucuronide), and 33 % is recovered in faeces (1,5 % as indomethacin).</w:t>
      </w:r>
    </w:p>
    <w:p w14:paraId="55F96AAC" w14:textId="77777777" w:rsidR="009B74CB" w:rsidRPr="009B74CB" w:rsidRDefault="009B74CB" w:rsidP="000C2019">
      <w:pPr>
        <w:widowControl w:val="0"/>
        <w:spacing w:after="0" w:line="480" w:lineRule="auto"/>
        <w:jc w:val="both"/>
        <w:rPr>
          <w:rFonts w:ascii="Arial" w:hAnsi="Arial" w:cs="Arial"/>
          <w:bCs/>
          <w:iCs/>
        </w:rPr>
      </w:pPr>
      <w:r w:rsidRPr="009B74CB">
        <w:rPr>
          <w:rFonts w:ascii="Arial" w:hAnsi="Arial" w:cs="Arial"/>
          <w:bCs/>
          <w:iCs/>
        </w:rPr>
        <w:t>About 99 % of indomethacin is bound to protein in plasma over the expected range of therapeutic plasma concentrations. Indomethacin crosses the blood-brain barrier and the placenta.</w:t>
      </w:r>
    </w:p>
    <w:p w14:paraId="5C7E276B" w14:textId="77777777" w:rsidR="009B74CB" w:rsidRPr="009B74CB" w:rsidRDefault="009B74CB" w:rsidP="000C2019">
      <w:pPr>
        <w:widowControl w:val="0"/>
        <w:spacing w:after="0" w:line="480" w:lineRule="auto"/>
        <w:jc w:val="both"/>
        <w:rPr>
          <w:rFonts w:ascii="Arial" w:hAnsi="Arial" w:cs="Arial"/>
          <w:highlight w:val="yellow"/>
        </w:rPr>
      </w:pPr>
    </w:p>
    <w:p w14:paraId="6EBB1307" w14:textId="77777777" w:rsidR="009B74CB" w:rsidRPr="009B74CB" w:rsidRDefault="009B74CB" w:rsidP="000C2019">
      <w:pPr>
        <w:widowControl w:val="0"/>
        <w:spacing w:after="0" w:line="480" w:lineRule="auto"/>
        <w:jc w:val="both"/>
        <w:rPr>
          <w:rFonts w:ascii="Arial" w:hAnsi="Arial" w:cs="Arial"/>
          <w:bCs/>
          <w:iCs/>
        </w:rPr>
      </w:pPr>
      <w:r w:rsidRPr="009B74CB">
        <w:rPr>
          <w:rFonts w:ascii="Arial" w:hAnsi="Arial" w:cs="Arial"/>
          <w:b/>
          <w:iCs/>
        </w:rPr>
        <w:t>Biotransformation:</w:t>
      </w:r>
    </w:p>
    <w:p w14:paraId="19D5E79C" w14:textId="6D4BB851" w:rsidR="009B74CB" w:rsidRPr="009B74CB" w:rsidRDefault="009B74CB" w:rsidP="000C2019">
      <w:pPr>
        <w:widowControl w:val="0"/>
        <w:spacing w:after="0" w:line="480" w:lineRule="auto"/>
        <w:jc w:val="both"/>
        <w:rPr>
          <w:rFonts w:ascii="Arial" w:hAnsi="Arial" w:cs="Arial"/>
          <w:bCs/>
          <w:iCs/>
        </w:rPr>
      </w:pPr>
      <w:r w:rsidRPr="009B74CB">
        <w:rPr>
          <w:rFonts w:ascii="Arial" w:hAnsi="Arial" w:cs="Arial"/>
          <w:bCs/>
          <w:iCs/>
        </w:rPr>
        <w:t xml:space="preserve">It is metabolised in the liver primarily by demethylation and deacetylation, it also undergoes glucuronidation and enterohepatic circulation. Enterohepatic cycling of metabolites, and probably indomethacin itself, occurs. Half-life in plasma is variable from 2 </w:t>
      </w:r>
      <w:r w:rsidR="002C262F">
        <w:rPr>
          <w:rFonts w:ascii="Arial" w:hAnsi="Arial" w:cs="Arial"/>
          <w:bCs/>
          <w:iCs/>
        </w:rPr>
        <w:t xml:space="preserve">- </w:t>
      </w:r>
      <w:r w:rsidRPr="009B74CB">
        <w:rPr>
          <w:rFonts w:ascii="Arial" w:hAnsi="Arial" w:cs="Arial"/>
          <w:bCs/>
          <w:iCs/>
        </w:rPr>
        <w:t>11 hours.</w:t>
      </w:r>
    </w:p>
    <w:p w14:paraId="3E230D16" w14:textId="77777777" w:rsidR="009B74CB" w:rsidRPr="009B74CB" w:rsidRDefault="009B74CB" w:rsidP="000C2019">
      <w:pPr>
        <w:widowControl w:val="0"/>
        <w:spacing w:after="0" w:line="480" w:lineRule="auto"/>
        <w:jc w:val="both"/>
        <w:rPr>
          <w:rFonts w:ascii="Arial" w:hAnsi="Arial" w:cs="Arial"/>
          <w:bCs/>
          <w:iCs/>
        </w:rPr>
      </w:pPr>
    </w:p>
    <w:p w14:paraId="61B9CE6C" w14:textId="77777777" w:rsidR="009B74CB" w:rsidRPr="009B74CB" w:rsidRDefault="009B74CB" w:rsidP="000C2019">
      <w:pPr>
        <w:widowControl w:val="0"/>
        <w:spacing w:after="0" w:line="480" w:lineRule="auto"/>
        <w:jc w:val="both"/>
        <w:rPr>
          <w:rFonts w:ascii="Arial" w:hAnsi="Arial" w:cs="Arial"/>
          <w:bCs/>
          <w:iCs/>
        </w:rPr>
      </w:pPr>
      <w:r w:rsidRPr="009B74CB">
        <w:rPr>
          <w:rFonts w:ascii="Arial" w:hAnsi="Arial" w:cs="Arial"/>
          <w:b/>
          <w:iCs/>
        </w:rPr>
        <w:t>Elimination:</w:t>
      </w:r>
    </w:p>
    <w:p w14:paraId="3030DF60" w14:textId="77777777" w:rsidR="009B74CB" w:rsidRPr="009B74CB" w:rsidRDefault="009B74CB" w:rsidP="000C2019">
      <w:pPr>
        <w:widowControl w:val="0"/>
        <w:spacing w:after="0" w:line="480" w:lineRule="auto"/>
        <w:jc w:val="both"/>
        <w:rPr>
          <w:rFonts w:ascii="Arial" w:hAnsi="Arial" w:cs="Arial"/>
          <w:bCs/>
          <w:iCs/>
        </w:rPr>
      </w:pPr>
      <w:r w:rsidRPr="009B74CB">
        <w:rPr>
          <w:rFonts w:ascii="Arial" w:hAnsi="Arial" w:cs="Arial"/>
          <w:bCs/>
          <w:iCs/>
        </w:rPr>
        <w:t>Indomethacin is eliminated via renal excretion, metabolism, and biliary excretion. Indomethacin undergoes appreciable enterohepatic circulation. The mean half-life of indomethacin is estimated to be about 4,5 hours. With a typical therapeutic regimen of 25 or 50 mg three times daily, the steady-state plasma concentrations of indomethacin are an average 1,4 times those following the first dose.</w:t>
      </w:r>
    </w:p>
    <w:p w14:paraId="5DF62D0E" w14:textId="77777777" w:rsidR="009B74CB" w:rsidRPr="009B74CB" w:rsidRDefault="009B74CB" w:rsidP="000C2019">
      <w:pPr>
        <w:widowControl w:val="0"/>
        <w:spacing w:after="0" w:line="480" w:lineRule="auto"/>
        <w:jc w:val="both"/>
        <w:rPr>
          <w:rFonts w:ascii="Arial" w:hAnsi="Arial" w:cs="Arial"/>
          <w:bCs/>
          <w:iCs/>
        </w:rPr>
      </w:pPr>
    </w:p>
    <w:p w14:paraId="482B615B" w14:textId="77777777" w:rsidR="009B74CB" w:rsidRPr="009B74CB" w:rsidRDefault="009B74CB" w:rsidP="000C2019">
      <w:pPr>
        <w:widowControl w:val="0"/>
        <w:spacing w:after="0" w:line="480" w:lineRule="auto"/>
        <w:jc w:val="both"/>
        <w:rPr>
          <w:rFonts w:ascii="Arial" w:hAnsi="Arial" w:cs="Arial"/>
          <w:b/>
          <w:iCs/>
        </w:rPr>
      </w:pPr>
      <w:r w:rsidRPr="009B74CB">
        <w:rPr>
          <w:rFonts w:ascii="Arial" w:hAnsi="Arial" w:cs="Arial"/>
          <w:b/>
          <w:iCs/>
        </w:rPr>
        <w:t>Special populations:</w:t>
      </w:r>
    </w:p>
    <w:p w14:paraId="4342AFC8" w14:textId="77777777" w:rsidR="009B74CB" w:rsidRPr="009B74CB" w:rsidRDefault="009B74CB" w:rsidP="000C2019">
      <w:pPr>
        <w:widowControl w:val="0"/>
        <w:spacing w:after="0" w:line="480" w:lineRule="auto"/>
        <w:jc w:val="both"/>
        <w:rPr>
          <w:rFonts w:ascii="Arial" w:hAnsi="Arial" w:cs="Arial"/>
          <w:b/>
          <w:iCs/>
        </w:rPr>
      </w:pPr>
      <w:r w:rsidRPr="009B74CB">
        <w:rPr>
          <w:rFonts w:ascii="Arial" w:hAnsi="Arial" w:cs="Arial"/>
          <w:b/>
          <w:iCs/>
        </w:rPr>
        <w:t>Elderly patients:</w:t>
      </w:r>
    </w:p>
    <w:p w14:paraId="705E6FAF" w14:textId="77777777" w:rsidR="009B74CB" w:rsidRPr="009B74CB" w:rsidRDefault="009B74CB" w:rsidP="000C2019">
      <w:pPr>
        <w:widowControl w:val="0"/>
        <w:spacing w:after="0" w:line="480" w:lineRule="auto"/>
        <w:jc w:val="both"/>
        <w:rPr>
          <w:rFonts w:ascii="Arial" w:hAnsi="Arial" w:cs="Arial"/>
          <w:bCs/>
          <w:iCs/>
        </w:rPr>
      </w:pPr>
      <w:r w:rsidRPr="009B74CB">
        <w:rPr>
          <w:rFonts w:ascii="Arial" w:hAnsi="Arial" w:cs="Arial"/>
          <w:bCs/>
          <w:iCs/>
        </w:rPr>
        <w:t>An increase in age increases the possibility of side effects. Indomethacin should be used with greater care in the elderly.</w:t>
      </w:r>
    </w:p>
    <w:p w14:paraId="71EF7938" w14:textId="77777777" w:rsidR="009B74CB" w:rsidRPr="009B74CB" w:rsidRDefault="009B74CB" w:rsidP="000C2019">
      <w:pPr>
        <w:pStyle w:val="ListParagraph"/>
        <w:widowControl w:val="0"/>
        <w:spacing w:line="480" w:lineRule="auto"/>
        <w:ind w:left="305"/>
        <w:contextualSpacing w:val="0"/>
        <w:jc w:val="both"/>
        <w:rPr>
          <w:rFonts w:ascii="Arial" w:hAnsi="Arial" w:cs="Arial"/>
          <w:sz w:val="22"/>
          <w:szCs w:val="22"/>
        </w:rPr>
      </w:pPr>
    </w:p>
    <w:p w14:paraId="0B0A41DF" w14:textId="77777777" w:rsidR="009B74CB" w:rsidRPr="009B74CB" w:rsidRDefault="009B74CB" w:rsidP="000C2019">
      <w:pPr>
        <w:widowControl w:val="0"/>
        <w:spacing w:after="0" w:line="480" w:lineRule="auto"/>
        <w:ind w:left="567" w:hanging="567"/>
        <w:jc w:val="both"/>
        <w:rPr>
          <w:rFonts w:ascii="Arial" w:hAnsi="Arial" w:cs="Arial"/>
          <w:b/>
          <w:bCs/>
          <w:highlight w:val="yellow"/>
        </w:rPr>
      </w:pPr>
      <w:r w:rsidRPr="009B74CB">
        <w:rPr>
          <w:rFonts w:ascii="Arial" w:hAnsi="Arial" w:cs="Arial"/>
          <w:b/>
          <w:noProof/>
          <w:lang w:val="en-GB"/>
        </w:rPr>
        <w:lastRenderedPageBreak/>
        <w:t>6.</w:t>
      </w:r>
      <w:r w:rsidRPr="009B74CB">
        <w:rPr>
          <w:rFonts w:ascii="Arial" w:hAnsi="Arial" w:cs="Arial"/>
          <w:b/>
          <w:noProof/>
          <w:lang w:val="en-GB"/>
        </w:rPr>
        <w:tab/>
        <w:t>PHARMACEUTICAL PARTICULARS:</w:t>
      </w:r>
    </w:p>
    <w:p w14:paraId="238DCA7A" w14:textId="77777777" w:rsidR="009B74CB" w:rsidRPr="009B74CB" w:rsidRDefault="009B74CB" w:rsidP="000C2019">
      <w:pPr>
        <w:widowControl w:val="0"/>
        <w:spacing w:after="0" w:line="480" w:lineRule="auto"/>
        <w:ind w:left="567" w:hanging="567"/>
        <w:jc w:val="both"/>
        <w:rPr>
          <w:rFonts w:ascii="Arial" w:hAnsi="Arial" w:cs="Arial"/>
          <w:noProof/>
          <w:highlight w:val="yellow"/>
          <w:lang w:val="en-GB"/>
        </w:rPr>
      </w:pPr>
      <w:r w:rsidRPr="009B74CB">
        <w:rPr>
          <w:rFonts w:ascii="Arial" w:hAnsi="Arial" w:cs="Arial"/>
          <w:b/>
          <w:noProof/>
          <w:lang w:val="en-GB"/>
        </w:rPr>
        <w:t>6.1</w:t>
      </w:r>
      <w:r w:rsidRPr="009B74CB">
        <w:rPr>
          <w:rFonts w:ascii="Arial" w:hAnsi="Arial" w:cs="Arial"/>
          <w:b/>
          <w:noProof/>
          <w:lang w:val="en-GB"/>
        </w:rPr>
        <w:tab/>
        <w:t>List of excipients</w:t>
      </w:r>
      <w:r w:rsidRPr="009B74CB">
        <w:rPr>
          <w:rFonts w:ascii="Arial" w:hAnsi="Arial" w:cs="Arial"/>
          <w:b/>
          <w:bCs/>
          <w:noProof/>
          <w:lang w:val="en-GB"/>
        </w:rPr>
        <w:t>:</w:t>
      </w:r>
    </w:p>
    <w:p w14:paraId="5DCDC526" w14:textId="6322C827" w:rsidR="009B74CB" w:rsidRPr="009B74CB" w:rsidRDefault="009B74CB" w:rsidP="000C2019">
      <w:pPr>
        <w:widowControl w:val="0"/>
        <w:spacing w:after="0" w:line="480" w:lineRule="auto"/>
        <w:jc w:val="both"/>
        <w:rPr>
          <w:rFonts w:ascii="Arial" w:hAnsi="Arial" w:cs="Arial"/>
        </w:rPr>
      </w:pPr>
      <w:r w:rsidRPr="009B74CB">
        <w:rPr>
          <w:rFonts w:ascii="Arial" w:hAnsi="Arial" w:cs="Arial"/>
        </w:rPr>
        <w:t>Colloidal silicon dioxide (aerosil)</w:t>
      </w:r>
    </w:p>
    <w:p w14:paraId="3A113598" w14:textId="15BA353D" w:rsidR="009B74CB" w:rsidRPr="009B74CB" w:rsidRDefault="009B74CB" w:rsidP="000C2019">
      <w:pPr>
        <w:widowControl w:val="0"/>
        <w:spacing w:after="0" w:line="480" w:lineRule="auto"/>
        <w:jc w:val="both"/>
        <w:rPr>
          <w:rFonts w:ascii="Arial" w:hAnsi="Arial" w:cs="Arial"/>
        </w:rPr>
      </w:pPr>
      <w:r w:rsidRPr="009B74CB">
        <w:rPr>
          <w:rFonts w:ascii="Arial" w:hAnsi="Arial" w:cs="Arial"/>
        </w:rPr>
        <w:t>Magnesium stearate</w:t>
      </w:r>
    </w:p>
    <w:p w14:paraId="4141EC8C" w14:textId="01BD9247" w:rsidR="009B74CB" w:rsidRPr="009B74CB" w:rsidRDefault="009B74CB" w:rsidP="000C2019">
      <w:pPr>
        <w:widowControl w:val="0"/>
        <w:spacing w:after="0" w:line="480" w:lineRule="auto"/>
        <w:jc w:val="both"/>
        <w:rPr>
          <w:rFonts w:ascii="Arial" w:hAnsi="Arial" w:cs="Arial"/>
        </w:rPr>
      </w:pPr>
      <w:r w:rsidRPr="009B74CB">
        <w:rPr>
          <w:rFonts w:ascii="Arial" w:hAnsi="Arial" w:cs="Arial"/>
        </w:rPr>
        <w:t>Pre-gelatinised starch</w:t>
      </w:r>
    </w:p>
    <w:p w14:paraId="191C9905" w14:textId="5F5A73B5" w:rsidR="009B74CB" w:rsidRPr="009B74CB" w:rsidRDefault="009B74CB" w:rsidP="000C2019">
      <w:pPr>
        <w:widowControl w:val="0"/>
        <w:spacing w:after="0" w:line="480" w:lineRule="auto"/>
        <w:jc w:val="both"/>
        <w:rPr>
          <w:rFonts w:ascii="Arial" w:hAnsi="Arial" w:cs="Arial"/>
        </w:rPr>
      </w:pPr>
      <w:r w:rsidRPr="009B74CB">
        <w:rPr>
          <w:rFonts w:ascii="Arial" w:hAnsi="Arial" w:cs="Arial"/>
        </w:rPr>
        <w:t xml:space="preserve">Sodium lauryl sulphate </w:t>
      </w:r>
    </w:p>
    <w:p w14:paraId="79270657" w14:textId="209BE190" w:rsidR="009B74CB" w:rsidRPr="009B74CB" w:rsidRDefault="009B74CB" w:rsidP="000C2019">
      <w:pPr>
        <w:widowControl w:val="0"/>
        <w:spacing w:after="0" w:line="480" w:lineRule="auto"/>
        <w:jc w:val="both"/>
        <w:rPr>
          <w:rFonts w:ascii="Arial" w:hAnsi="Arial" w:cs="Arial"/>
        </w:rPr>
      </w:pPr>
      <w:r w:rsidRPr="009B74CB">
        <w:rPr>
          <w:rFonts w:ascii="Arial" w:hAnsi="Arial" w:cs="Arial"/>
        </w:rPr>
        <w:t>Talc.</w:t>
      </w:r>
    </w:p>
    <w:p w14:paraId="692B3A47" w14:textId="77777777" w:rsidR="009B74CB" w:rsidRPr="009B74CB" w:rsidRDefault="009B74CB" w:rsidP="000C2019">
      <w:pPr>
        <w:widowControl w:val="0"/>
        <w:spacing w:after="0" w:line="480" w:lineRule="auto"/>
        <w:jc w:val="both"/>
        <w:rPr>
          <w:rFonts w:ascii="Arial" w:hAnsi="Arial" w:cs="Arial"/>
        </w:rPr>
      </w:pPr>
      <w:r w:rsidRPr="009B74CB">
        <w:rPr>
          <w:rFonts w:ascii="Arial" w:hAnsi="Arial" w:cs="Arial"/>
        </w:rPr>
        <w:t>Capsule shell: Erythrosine, quinolene yellow and titanium dioxide.</w:t>
      </w:r>
    </w:p>
    <w:p w14:paraId="3A67AD9B" w14:textId="77777777" w:rsidR="009B74CB" w:rsidRPr="009B74CB" w:rsidRDefault="009B74CB" w:rsidP="000C2019">
      <w:pPr>
        <w:widowControl w:val="0"/>
        <w:spacing w:after="0" w:line="480" w:lineRule="auto"/>
        <w:jc w:val="both"/>
        <w:rPr>
          <w:rFonts w:ascii="Arial" w:hAnsi="Arial" w:cs="Arial"/>
        </w:rPr>
      </w:pPr>
    </w:p>
    <w:p w14:paraId="367BD7CB" w14:textId="77777777" w:rsidR="009B74CB" w:rsidRPr="009B74CB" w:rsidRDefault="009B74CB" w:rsidP="000C2019">
      <w:pPr>
        <w:widowControl w:val="0"/>
        <w:spacing w:after="0" w:line="480" w:lineRule="auto"/>
        <w:ind w:left="567" w:hanging="567"/>
        <w:jc w:val="both"/>
        <w:rPr>
          <w:rFonts w:ascii="Arial" w:hAnsi="Arial" w:cs="Arial"/>
          <w:noProof/>
          <w:lang w:val="en-GB"/>
        </w:rPr>
      </w:pPr>
      <w:r w:rsidRPr="009B74CB">
        <w:rPr>
          <w:rFonts w:ascii="Arial" w:hAnsi="Arial" w:cs="Arial"/>
          <w:b/>
          <w:noProof/>
          <w:lang w:val="en-GB"/>
        </w:rPr>
        <w:t>6.2</w:t>
      </w:r>
      <w:r w:rsidRPr="009B74CB">
        <w:rPr>
          <w:rFonts w:ascii="Arial" w:hAnsi="Arial" w:cs="Arial"/>
          <w:b/>
          <w:noProof/>
          <w:lang w:val="en-GB"/>
        </w:rPr>
        <w:tab/>
        <w:t>Incompatibilities:</w:t>
      </w:r>
    </w:p>
    <w:p w14:paraId="48126156" w14:textId="77777777" w:rsidR="009B74CB" w:rsidRPr="009B74CB" w:rsidRDefault="009B74CB" w:rsidP="000C2019">
      <w:pPr>
        <w:widowControl w:val="0"/>
        <w:spacing w:after="0" w:line="480" w:lineRule="auto"/>
        <w:jc w:val="both"/>
        <w:rPr>
          <w:rFonts w:ascii="Arial" w:hAnsi="Arial" w:cs="Arial"/>
          <w:highlight w:val="yellow"/>
        </w:rPr>
      </w:pPr>
      <w:r w:rsidRPr="009B74CB">
        <w:rPr>
          <w:rFonts w:ascii="Arial" w:hAnsi="Arial" w:cs="Arial"/>
        </w:rPr>
        <w:t>Not applicable.</w:t>
      </w:r>
    </w:p>
    <w:p w14:paraId="042CEAE0" w14:textId="77777777" w:rsidR="009B74CB" w:rsidRPr="009B74CB" w:rsidRDefault="009B74CB" w:rsidP="000C2019">
      <w:pPr>
        <w:widowControl w:val="0"/>
        <w:spacing w:after="0" w:line="480" w:lineRule="auto"/>
        <w:ind w:left="567" w:hanging="567"/>
        <w:jc w:val="both"/>
        <w:outlineLvl w:val="0"/>
        <w:rPr>
          <w:rFonts w:ascii="Arial" w:hAnsi="Arial" w:cs="Arial"/>
          <w:b/>
          <w:noProof/>
          <w:highlight w:val="yellow"/>
          <w:lang w:val="en-GB"/>
        </w:rPr>
      </w:pPr>
    </w:p>
    <w:p w14:paraId="4A3B438E" w14:textId="77777777" w:rsidR="009B74CB" w:rsidRPr="009B74CB" w:rsidRDefault="009B74CB" w:rsidP="000C2019">
      <w:pPr>
        <w:widowControl w:val="0"/>
        <w:spacing w:after="0" w:line="480" w:lineRule="auto"/>
        <w:ind w:left="567" w:hanging="567"/>
        <w:jc w:val="both"/>
        <w:rPr>
          <w:rFonts w:ascii="Arial" w:hAnsi="Arial" w:cs="Arial"/>
        </w:rPr>
      </w:pPr>
      <w:r w:rsidRPr="009B74CB">
        <w:rPr>
          <w:rFonts w:ascii="Arial" w:hAnsi="Arial" w:cs="Arial"/>
          <w:b/>
          <w:noProof/>
          <w:lang w:val="en-GB"/>
        </w:rPr>
        <w:t>6.3</w:t>
      </w:r>
      <w:r w:rsidRPr="009B74CB">
        <w:rPr>
          <w:rFonts w:ascii="Arial" w:hAnsi="Arial" w:cs="Arial"/>
          <w:b/>
          <w:noProof/>
          <w:lang w:val="en-GB"/>
        </w:rPr>
        <w:tab/>
        <w:t>Shelf life</w:t>
      </w:r>
      <w:r w:rsidRPr="009B74CB">
        <w:rPr>
          <w:rFonts w:ascii="Arial" w:hAnsi="Arial" w:cs="Arial"/>
          <w:b/>
          <w:bCs/>
        </w:rPr>
        <w:t>:</w:t>
      </w:r>
    </w:p>
    <w:p w14:paraId="5E9B708E" w14:textId="2D83E7F1" w:rsidR="009B74CB" w:rsidRPr="009B74CB" w:rsidRDefault="000C2019" w:rsidP="000C2019">
      <w:pPr>
        <w:widowControl w:val="0"/>
        <w:spacing w:after="0" w:line="480" w:lineRule="auto"/>
        <w:jc w:val="both"/>
        <w:rPr>
          <w:rFonts w:ascii="Arial" w:hAnsi="Arial" w:cs="Arial"/>
        </w:rPr>
      </w:pPr>
      <w:r>
        <w:rPr>
          <w:rFonts w:ascii="Arial" w:hAnsi="Arial" w:cs="Arial"/>
        </w:rPr>
        <w:t>24 months (2 years)</w:t>
      </w:r>
    </w:p>
    <w:p w14:paraId="0C39ECDA" w14:textId="77777777" w:rsidR="009B74CB" w:rsidRPr="009B74CB" w:rsidRDefault="009B74CB" w:rsidP="000C2019">
      <w:pPr>
        <w:widowControl w:val="0"/>
        <w:spacing w:after="0" w:line="480" w:lineRule="auto"/>
        <w:ind w:left="567" w:hanging="567"/>
        <w:jc w:val="both"/>
        <w:outlineLvl w:val="0"/>
        <w:rPr>
          <w:rFonts w:ascii="Arial" w:hAnsi="Arial" w:cs="Arial"/>
          <w:bCs/>
          <w:noProof/>
          <w:highlight w:val="yellow"/>
          <w:lang w:val="en-GB"/>
        </w:rPr>
      </w:pPr>
    </w:p>
    <w:p w14:paraId="254024F0" w14:textId="77777777" w:rsidR="009B74CB" w:rsidRPr="009B74CB" w:rsidRDefault="009B74CB" w:rsidP="000C2019">
      <w:pPr>
        <w:widowControl w:val="0"/>
        <w:spacing w:after="0" w:line="480" w:lineRule="auto"/>
        <w:ind w:left="567" w:hanging="567"/>
        <w:jc w:val="both"/>
        <w:rPr>
          <w:rFonts w:ascii="Arial" w:hAnsi="Arial" w:cs="Arial"/>
          <w:b/>
          <w:noProof/>
          <w:lang w:val="en-GB"/>
        </w:rPr>
      </w:pPr>
      <w:r w:rsidRPr="009B74CB">
        <w:rPr>
          <w:rFonts w:ascii="Arial" w:hAnsi="Arial" w:cs="Arial"/>
          <w:b/>
          <w:noProof/>
          <w:lang w:val="en-GB"/>
        </w:rPr>
        <w:t>6.4</w:t>
      </w:r>
      <w:r w:rsidRPr="009B74CB">
        <w:rPr>
          <w:rFonts w:ascii="Arial" w:hAnsi="Arial" w:cs="Arial"/>
          <w:b/>
          <w:noProof/>
          <w:lang w:val="en-GB"/>
        </w:rPr>
        <w:tab/>
        <w:t>Special precautions for storage:</w:t>
      </w:r>
    </w:p>
    <w:p w14:paraId="28D5D871" w14:textId="77777777" w:rsidR="009B74CB" w:rsidRPr="009B74CB" w:rsidRDefault="009B74CB" w:rsidP="000C2019">
      <w:pPr>
        <w:widowControl w:val="0"/>
        <w:spacing w:after="0" w:line="480" w:lineRule="auto"/>
        <w:ind w:left="567" w:hanging="567"/>
        <w:jc w:val="both"/>
        <w:outlineLvl w:val="0"/>
        <w:rPr>
          <w:rFonts w:ascii="Arial" w:hAnsi="Arial" w:cs="Arial"/>
        </w:rPr>
      </w:pPr>
      <w:r w:rsidRPr="009B74CB">
        <w:rPr>
          <w:rFonts w:ascii="Arial" w:hAnsi="Arial" w:cs="Arial"/>
        </w:rPr>
        <w:t xml:space="preserve">Store at or below 25 °C in a dry place. Protect from light. </w:t>
      </w:r>
    </w:p>
    <w:p w14:paraId="2EDD24F1" w14:textId="77777777" w:rsidR="009B74CB" w:rsidRPr="009B74CB" w:rsidRDefault="009B74CB" w:rsidP="000C2019">
      <w:pPr>
        <w:widowControl w:val="0"/>
        <w:spacing w:after="0" w:line="480" w:lineRule="auto"/>
        <w:ind w:left="567" w:hanging="567"/>
        <w:jc w:val="both"/>
        <w:outlineLvl w:val="0"/>
        <w:rPr>
          <w:rFonts w:ascii="Arial" w:hAnsi="Arial" w:cs="Arial"/>
          <w:b/>
          <w:noProof/>
          <w:lang w:val="en-GB"/>
        </w:rPr>
      </w:pPr>
    </w:p>
    <w:p w14:paraId="74DF0CBC" w14:textId="77777777" w:rsidR="009B74CB" w:rsidRPr="009B74CB" w:rsidRDefault="009B74CB" w:rsidP="000C2019">
      <w:pPr>
        <w:widowControl w:val="0"/>
        <w:spacing w:after="0" w:line="480" w:lineRule="auto"/>
        <w:ind w:left="567" w:hanging="567"/>
        <w:jc w:val="both"/>
        <w:rPr>
          <w:rFonts w:ascii="Arial" w:hAnsi="Arial" w:cs="Arial"/>
          <w:b/>
          <w:noProof/>
          <w:highlight w:val="yellow"/>
          <w:lang w:val="en-GB"/>
        </w:rPr>
      </w:pPr>
      <w:r w:rsidRPr="009B74CB">
        <w:rPr>
          <w:rFonts w:ascii="Arial" w:hAnsi="Arial" w:cs="Arial"/>
          <w:b/>
        </w:rPr>
        <w:t>6.5</w:t>
      </w:r>
      <w:r w:rsidRPr="009B74CB">
        <w:rPr>
          <w:rFonts w:ascii="Arial" w:hAnsi="Arial" w:cs="Arial"/>
          <w:b/>
        </w:rPr>
        <w:tab/>
        <w:t>Nature and contents of container:</w:t>
      </w:r>
    </w:p>
    <w:p w14:paraId="2BF88AAC" w14:textId="1DD60ED7" w:rsidR="009B74CB" w:rsidRPr="009B74CB" w:rsidRDefault="009B74CB" w:rsidP="000C2019">
      <w:pPr>
        <w:widowControl w:val="0"/>
        <w:spacing w:after="0" w:line="480" w:lineRule="auto"/>
        <w:jc w:val="both"/>
        <w:outlineLvl w:val="0"/>
        <w:rPr>
          <w:rFonts w:ascii="Arial" w:hAnsi="Arial" w:cs="Arial"/>
          <w:bCs/>
          <w:noProof/>
          <w:lang w:val="en-GB"/>
        </w:rPr>
      </w:pPr>
      <w:r w:rsidRPr="009B74CB">
        <w:rPr>
          <w:rFonts w:ascii="Arial" w:hAnsi="Arial" w:cs="Arial"/>
          <w:bCs/>
          <w:noProof/>
          <w:lang w:val="en-GB"/>
        </w:rPr>
        <w:t>INDOMETHACIN BIOTECH 25 capsules are supplied in white, polypropylene securitainers of 100 and 500 capsules, amber glass bottles of 100 and 500 capsules, while, high density polyethylene containers of 500 and 1 000 capsules, and PVC/</w:t>
      </w:r>
      <w:r w:rsidR="000C2019">
        <w:rPr>
          <w:rFonts w:ascii="Arial" w:hAnsi="Arial" w:cs="Arial"/>
          <w:bCs/>
          <w:noProof/>
          <w:lang w:val="en-GB"/>
        </w:rPr>
        <w:t xml:space="preserve"> </w:t>
      </w:r>
      <w:r w:rsidRPr="009B74CB">
        <w:rPr>
          <w:rFonts w:ascii="Arial" w:hAnsi="Arial" w:cs="Arial"/>
          <w:bCs/>
          <w:noProof/>
          <w:lang w:val="en-GB"/>
        </w:rPr>
        <w:t>aluminium blisters of 15 and 84 capsules.</w:t>
      </w:r>
    </w:p>
    <w:p w14:paraId="78ECC46B" w14:textId="77777777" w:rsidR="009B74CB" w:rsidRPr="009B74CB" w:rsidRDefault="009B74CB" w:rsidP="000C2019">
      <w:pPr>
        <w:widowControl w:val="0"/>
        <w:spacing w:after="0" w:line="480" w:lineRule="auto"/>
        <w:jc w:val="both"/>
        <w:outlineLvl w:val="0"/>
        <w:rPr>
          <w:rFonts w:ascii="Arial" w:hAnsi="Arial" w:cs="Arial"/>
          <w:bCs/>
          <w:noProof/>
          <w:highlight w:val="yellow"/>
          <w:lang w:val="en-GB"/>
        </w:rPr>
      </w:pPr>
      <w:r w:rsidRPr="009B74CB">
        <w:rPr>
          <w:rFonts w:ascii="Arial" w:hAnsi="Arial" w:cs="Arial"/>
          <w:bCs/>
          <w:noProof/>
          <w:lang w:val="en-GB"/>
        </w:rPr>
        <w:t>Not all pack sizes may be marketed.</w:t>
      </w:r>
    </w:p>
    <w:p w14:paraId="2E383834" w14:textId="77777777" w:rsidR="009B74CB" w:rsidRPr="009B74CB" w:rsidRDefault="009B74CB" w:rsidP="000C2019">
      <w:pPr>
        <w:widowControl w:val="0"/>
        <w:spacing w:after="0" w:line="480" w:lineRule="auto"/>
        <w:jc w:val="both"/>
        <w:rPr>
          <w:rFonts w:ascii="Arial" w:hAnsi="Arial" w:cs="Arial"/>
          <w:b/>
          <w:bCs/>
          <w:highlight w:val="yellow"/>
        </w:rPr>
      </w:pPr>
    </w:p>
    <w:p w14:paraId="3DD0FC21" w14:textId="77777777" w:rsidR="009B74CB" w:rsidRPr="009B74CB" w:rsidRDefault="009B74CB" w:rsidP="000C2019">
      <w:pPr>
        <w:widowControl w:val="0"/>
        <w:spacing w:after="0" w:line="480" w:lineRule="auto"/>
        <w:ind w:left="567" w:hanging="567"/>
        <w:jc w:val="both"/>
        <w:rPr>
          <w:rFonts w:ascii="Arial" w:hAnsi="Arial" w:cs="Arial"/>
          <w:noProof/>
          <w:highlight w:val="yellow"/>
          <w:lang w:val="en-GB"/>
        </w:rPr>
      </w:pPr>
      <w:bookmarkStart w:id="1" w:name="OLE_LINK1"/>
      <w:r w:rsidRPr="009B74CB">
        <w:rPr>
          <w:rFonts w:ascii="Arial" w:hAnsi="Arial" w:cs="Arial"/>
          <w:b/>
          <w:noProof/>
          <w:lang w:val="en-GB"/>
        </w:rPr>
        <w:t>6.6</w:t>
      </w:r>
      <w:r w:rsidRPr="009B74CB">
        <w:rPr>
          <w:rFonts w:ascii="Arial" w:hAnsi="Arial" w:cs="Arial"/>
          <w:b/>
          <w:noProof/>
          <w:lang w:val="en-GB"/>
        </w:rPr>
        <w:tab/>
        <w:t>Special precautions for disposal and other handling</w:t>
      </w:r>
      <w:bookmarkEnd w:id="1"/>
      <w:r w:rsidRPr="009B74CB">
        <w:rPr>
          <w:rFonts w:ascii="Arial" w:hAnsi="Arial" w:cs="Arial"/>
          <w:b/>
          <w:noProof/>
          <w:lang w:val="en-GB"/>
        </w:rPr>
        <w:t>:</w:t>
      </w:r>
    </w:p>
    <w:p w14:paraId="156564A5" w14:textId="77777777" w:rsidR="009B74CB" w:rsidRPr="009B74CB" w:rsidRDefault="009B74CB" w:rsidP="000C2019">
      <w:pPr>
        <w:widowControl w:val="0"/>
        <w:spacing w:after="0" w:line="480" w:lineRule="auto"/>
        <w:ind w:left="567" w:hanging="567"/>
        <w:jc w:val="both"/>
        <w:outlineLvl w:val="0"/>
        <w:rPr>
          <w:rFonts w:ascii="Arial" w:hAnsi="Arial" w:cs="Arial"/>
          <w:bCs/>
          <w:noProof/>
          <w:highlight w:val="yellow"/>
          <w:lang w:val="en-GB"/>
        </w:rPr>
      </w:pPr>
      <w:r w:rsidRPr="009B74CB">
        <w:rPr>
          <w:rFonts w:ascii="Arial" w:hAnsi="Arial" w:cs="Arial"/>
          <w:bCs/>
          <w:noProof/>
          <w:lang w:val="en-GB"/>
        </w:rPr>
        <w:t>No special requirements.</w:t>
      </w:r>
    </w:p>
    <w:p w14:paraId="6DD2BB92" w14:textId="77777777" w:rsidR="009B74CB" w:rsidRPr="009B74CB" w:rsidRDefault="009B74CB" w:rsidP="000C2019">
      <w:pPr>
        <w:widowControl w:val="0"/>
        <w:spacing w:after="0" w:line="480" w:lineRule="auto"/>
        <w:jc w:val="both"/>
        <w:rPr>
          <w:rFonts w:ascii="Arial" w:hAnsi="Arial" w:cs="Arial"/>
          <w:highlight w:val="yellow"/>
        </w:rPr>
      </w:pPr>
    </w:p>
    <w:p w14:paraId="4872C1A1" w14:textId="77777777" w:rsidR="009B74CB" w:rsidRPr="009B74CB" w:rsidRDefault="009B74CB" w:rsidP="000C2019">
      <w:pPr>
        <w:widowControl w:val="0"/>
        <w:spacing w:after="0" w:line="480" w:lineRule="auto"/>
        <w:ind w:left="567" w:hanging="567"/>
        <w:jc w:val="both"/>
        <w:rPr>
          <w:rFonts w:ascii="Arial" w:hAnsi="Arial" w:cs="Arial"/>
          <w:b/>
          <w:noProof/>
          <w:lang w:val="en-GB"/>
        </w:rPr>
      </w:pPr>
      <w:r w:rsidRPr="009B74CB">
        <w:rPr>
          <w:rFonts w:ascii="Arial" w:hAnsi="Arial" w:cs="Arial"/>
          <w:b/>
          <w:noProof/>
          <w:lang w:val="en-GB"/>
        </w:rPr>
        <w:lastRenderedPageBreak/>
        <w:t>7.</w:t>
      </w:r>
      <w:r w:rsidRPr="009B74CB">
        <w:rPr>
          <w:rFonts w:ascii="Arial" w:hAnsi="Arial" w:cs="Arial"/>
          <w:b/>
          <w:noProof/>
          <w:lang w:val="en-GB"/>
        </w:rPr>
        <w:tab/>
        <w:t>HOLDER OF CERTIFICATE OF REGISTRATION</w:t>
      </w:r>
      <w:r w:rsidRPr="009B74CB">
        <w:rPr>
          <w:rFonts w:ascii="Arial" w:eastAsia="Times New Roman" w:hAnsi="Arial" w:cs="Arial"/>
          <w:b/>
        </w:rPr>
        <w:t>:</w:t>
      </w:r>
    </w:p>
    <w:p w14:paraId="757B2569" w14:textId="77777777" w:rsidR="009B74CB" w:rsidRPr="009B74CB" w:rsidRDefault="009B74CB" w:rsidP="000C2019">
      <w:pPr>
        <w:widowControl w:val="0"/>
        <w:spacing w:after="0" w:line="480" w:lineRule="auto"/>
        <w:ind w:left="567" w:hanging="567"/>
        <w:jc w:val="both"/>
        <w:outlineLvl w:val="0"/>
        <w:rPr>
          <w:rFonts w:ascii="Arial" w:hAnsi="Arial" w:cs="Arial"/>
          <w:bCs/>
          <w:noProof/>
          <w:lang w:val="en-GB"/>
        </w:rPr>
      </w:pPr>
      <w:r w:rsidRPr="009B74CB">
        <w:rPr>
          <w:rFonts w:ascii="Arial" w:hAnsi="Arial" w:cs="Arial"/>
          <w:bCs/>
          <w:noProof/>
          <w:lang w:val="en-GB"/>
        </w:rPr>
        <w:t xml:space="preserve">Biotech Laboratories (Pty) Ltd </w:t>
      </w:r>
    </w:p>
    <w:p w14:paraId="10572AE1" w14:textId="77777777" w:rsidR="009B74CB" w:rsidRPr="009B74CB" w:rsidRDefault="009B74CB" w:rsidP="000C2019">
      <w:pPr>
        <w:widowControl w:val="0"/>
        <w:spacing w:after="0" w:line="480" w:lineRule="auto"/>
        <w:ind w:left="567" w:hanging="567"/>
        <w:jc w:val="both"/>
        <w:outlineLvl w:val="0"/>
        <w:rPr>
          <w:rFonts w:ascii="Arial" w:hAnsi="Arial" w:cs="Arial"/>
          <w:bCs/>
          <w:noProof/>
          <w:lang w:val="en-GB"/>
        </w:rPr>
      </w:pPr>
      <w:r w:rsidRPr="009B74CB">
        <w:rPr>
          <w:rFonts w:ascii="Arial" w:eastAsia="Times New Roman" w:hAnsi="Arial" w:cs="Arial"/>
          <w:spacing w:val="-3"/>
          <w:lang w:val="en-GB"/>
        </w:rPr>
        <w:t xml:space="preserve">Ground Floor, </w:t>
      </w:r>
      <w:r w:rsidRPr="009B74CB">
        <w:rPr>
          <w:rFonts w:ascii="Arial" w:hAnsi="Arial" w:cs="Arial"/>
          <w:bCs/>
          <w:noProof/>
          <w:lang w:val="en-GB"/>
        </w:rPr>
        <w:t xml:space="preserve">Block K West, Central Park </w:t>
      </w:r>
    </w:p>
    <w:p w14:paraId="7B14A56B" w14:textId="77777777" w:rsidR="009B74CB" w:rsidRPr="009B74CB" w:rsidRDefault="009B74CB" w:rsidP="000C2019">
      <w:pPr>
        <w:widowControl w:val="0"/>
        <w:spacing w:after="0" w:line="480" w:lineRule="auto"/>
        <w:ind w:left="567" w:hanging="567"/>
        <w:jc w:val="both"/>
        <w:outlineLvl w:val="0"/>
        <w:rPr>
          <w:rFonts w:ascii="Arial" w:hAnsi="Arial" w:cs="Arial"/>
          <w:bCs/>
          <w:noProof/>
          <w:lang w:val="en-GB"/>
        </w:rPr>
      </w:pPr>
      <w:r w:rsidRPr="009B74CB">
        <w:rPr>
          <w:rFonts w:ascii="Arial" w:hAnsi="Arial" w:cs="Arial"/>
          <w:bCs/>
          <w:noProof/>
          <w:lang w:val="en-GB"/>
        </w:rPr>
        <w:t>400 16</w:t>
      </w:r>
      <w:r w:rsidRPr="009B74CB">
        <w:rPr>
          <w:rFonts w:ascii="Arial" w:hAnsi="Arial" w:cs="Arial"/>
          <w:bCs/>
          <w:noProof/>
          <w:vertAlign w:val="superscript"/>
          <w:lang w:val="en-GB"/>
        </w:rPr>
        <w:t>th</w:t>
      </w:r>
      <w:r w:rsidRPr="009B74CB">
        <w:rPr>
          <w:rFonts w:ascii="Arial" w:hAnsi="Arial" w:cs="Arial"/>
          <w:bCs/>
          <w:noProof/>
          <w:lang w:val="en-GB"/>
        </w:rPr>
        <w:t xml:space="preserve"> Road</w:t>
      </w:r>
    </w:p>
    <w:p w14:paraId="621AF61A" w14:textId="77777777" w:rsidR="009B74CB" w:rsidRPr="009B74CB" w:rsidRDefault="009B74CB" w:rsidP="000C2019">
      <w:pPr>
        <w:widowControl w:val="0"/>
        <w:spacing w:after="0" w:line="480" w:lineRule="auto"/>
        <w:jc w:val="both"/>
        <w:rPr>
          <w:rFonts w:ascii="Arial" w:eastAsia="Times New Roman" w:hAnsi="Arial" w:cs="Arial"/>
          <w:spacing w:val="-3"/>
          <w:lang w:val="en-GB"/>
        </w:rPr>
      </w:pPr>
      <w:r w:rsidRPr="009B74CB">
        <w:rPr>
          <w:rFonts w:ascii="Arial" w:eastAsia="Times New Roman" w:hAnsi="Arial" w:cs="Arial"/>
          <w:spacing w:val="-3"/>
          <w:lang w:val="en-GB"/>
        </w:rPr>
        <w:t>Randjespark, Halfway House</w:t>
      </w:r>
    </w:p>
    <w:p w14:paraId="3F602394" w14:textId="77777777" w:rsidR="009B74CB" w:rsidRPr="009B74CB" w:rsidRDefault="009B74CB" w:rsidP="000C2019">
      <w:pPr>
        <w:widowControl w:val="0"/>
        <w:spacing w:after="0" w:line="480" w:lineRule="auto"/>
        <w:jc w:val="both"/>
        <w:rPr>
          <w:rFonts w:ascii="Arial" w:eastAsia="Times New Roman" w:hAnsi="Arial" w:cs="Arial"/>
          <w:spacing w:val="-3"/>
          <w:lang w:val="en-GB"/>
        </w:rPr>
      </w:pPr>
      <w:r w:rsidRPr="009B74CB">
        <w:rPr>
          <w:rFonts w:ascii="Arial" w:eastAsia="Times New Roman" w:hAnsi="Arial" w:cs="Arial"/>
          <w:spacing w:val="-3"/>
          <w:lang w:val="en-GB"/>
        </w:rPr>
        <w:t>Midrand 1685</w:t>
      </w:r>
    </w:p>
    <w:p w14:paraId="6641C053" w14:textId="77777777" w:rsidR="009B74CB" w:rsidRPr="009B74CB" w:rsidRDefault="009B74CB" w:rsidP="000C2019">
      <w:pPr>
        <w:widowControl w:val="0"/>
        <w:spacing w:after="0" w:line="480" w:lineRule="auto"/>
        <w:ind w:left="567" w:hanging="567"/>
        <w:jc w:val="both"/>
        <w:outlineLvl w:val="0"/>
        <w:rPr>
          <w:rFonts w:ascii="Arial" w:hAnsi="Arial" w:cs="Arial"/>
          <w:bCs/>
          <w:noProof/>
          <w:highlight w:val="yellow"/>
          <w:lang w:val="en-GB"/>
        </w:rPr>
      </w:pPr>
    </w:p>
    <w:p w14:paraId="037C2F03" w14:textId="25443782" w:rsidR="009B74CB" w:rsidRPr="009B74CB" w:rsidRDefault="009B74CB" w:rsidP="000C2019">
      <w:pPr>
        <w:widowControl w:val="0"/>
        <w:spacing w:after="0" w:line="480" w:lineRule="auto"/>
        <w:ind w:left="567" w:hanging="567"/>
        <w:jc w:val="both"/>
        <w:rPr>
          <w:rFonts w:ascii="Arial" w:hAnsi="Arial" w:cs="Arial"/>
          <w:b/>
          <w:noProof/>
          <w:highlight w:val="yellow"/>
          <w:lang w:val="en-GB"/>
        </w:rPr>
      </w:pPr>
      <w:r w:rsidRPr="009B74CB">
        <w:rPr>
          <w:rFonts w:ascii="Arial" w:hAnsi="Arial" w:cs="Arial"/>
          <w:b/>
          <w:noProof/>
          <w:lang w:val="en-GB"/>
        </w:rPr>
        <w:t>8.</w:t>
      </w:r>
      <w:r w:rsidRPr="009B74CB">
        <w:rPr>
          <w:rFonts w:ascii="Arial" w:hAnsi="Arial" w:cs="Arial"/>
          <w:b/>
          <w:noProof/>
          <w:lang w:val="en-GB"/>
        </w:rPr>
        <w:tab/>
        <w:t>REGISTRATION NUMBER:</w:t>
      </w:r>
    </w:p>
    <w:p w14:paraId="4E24270F" w14:textId="77777777" w:rsidR="009B74CB" w:rsidRPr="009B74CB" w:rsidRDefault="009B74CB" w:rsidP="000C2019">
      <w:pPr>
        <w:widowControl w:val="0"/>
        <w:spacing w:after="0" w:line="480" w:lineRule="auto"/>
        <w:jc w:val="both"/>
        <w:rPr>
          <w:rFonts w:ascii="Arial" w:hAnsi="Arial" w:cs="Arial"/>
          <w:highlight w:val="yellow"/>
        </w:rPr>
      </w:pPr>
      <w:r w:rsidRPr="009B74CB">
        <w:rPr>
          <w:rFonts w:ascii="Arial" w:hAnsi="Arial" w:cs="Arial"/>
        </w:rPr>
        <w:t>U/3.1/177</w:t>
      </w:r>
    </w:p>
    <w:p w14:paraId="5BFB414A" w14:textId="77777777" w:rsidR="009B74CB" w:rsidRPr="009B74CB" w:rsidRDefault="009B74CB" w:rsidP="000C2019">
      <w:pPr>
        <w:widowControl w:val="0"/>
        <w:spacing w:after="0" w:line="480" w:lineRule="auto"/>
        <w:jc w:val="both"/>
        <w:rPr>
          <w:rFonts w:ascii="Arial" w:eastAsia="Times New Roman" w:hAnsi="Arial" w:cs="Arial"/>
          <w:highlight w:val="yellow"/>
          <w:lang w:val="en-GB"/>
        </w:rPr>
      </w:pPr>
    </w:p>
    <w:p w14:paraId="5104A1BA" w14:textId="77777777" w:rsidR="009B74CB" w:rsidRPr="009B74CB" w:rsidRDefault="009B74CB" w:rsidP="000C2019">
      <w:pPr>
        <w:widowControl w:val="0"/>
        <w:spacing w:after="0" w:line="480" w:lineRule="auto"/>
        <w:ind w:left="567" w:hanging="567"/>
        <w:jc w:val="both"/>
        <w:rPr>
          <w:rFonts w:ascii="Arial" w:eastAsia="Times New Roman" w:hAnsi="Arial" w:cs="Arial"/>
          <w:highlight w:val="yellow"/>
          <w:lang w:val="en-GB"/>
        </w:rPr>
      </w:pPr>
      <w:r w:rsidRPr="009B74CB">
        <w:rPr>
          <w:rFonts w:ascii="Arial" w:hAnsi="Arial" w:cs="Arial"/>
          <w:b/>
        </w:rPr>
        <w:t>9.</w:t>
      </w:r>
      <w:r w:rsidRPr="009B74CB">
        <w:rPr>
          <w:rFonts w:ascii="Arial" w:hAnsi="Arial" w:cs="Arial"/>
          <w:b/>
        </w:rPr>
        <w:tab/>
        <w:t>DATE OF FIRST AUTHORISATION/RENEWAL OF THE AUTHORISATION:</w:t>
      </w:r>
    </w:p>
    <w:p w14:paraId="39BD4159" w14:textId="77777777" w:rsidR="009B74CB" w:rsidRPr="009B74CB" w:rsidRDefault="009B74CB" w:rsidP="000C2019">
      <w:pPr>
        <w:widowControl w:val="0"/>
        <w:spacing w:after="0" w:line="480" w:lineRule="auto"/>
        <w:jc w:val="both"/>
        <w:rPr>
          <w:rFonts w:ascii="Arial" w:hAnsi="Arial" w:cs="Arial"/>
          <w:bCs/>
        </w:rPr>
      </w:pPr>
      <w:r w:rsidRPr="009B74CB">
        <w:rPr>
          <w:rFonts w:ascii="Arial" w:hAnsi="Arial" w:cs="Arial"/>
          <w:bCs/>
        </w:rPr>
        <w:t>18 August 1987</w:t>
      </w:r>
    </w:p>
    <w:p w14:paraId="2C80D8F0" w14:textId="77777777" w:rsidR="009B74CB" w:rsidRPr="009B74CB" w:rsidRDefault="009B74CB" w:rsidP="000C2019">
      <w:pPr>
        <w:widowControl w:val="0"/>
        <w:spacing w:after="0" w:line="480" w:lineRule="auto"/>
        <w:jc w:val="both"/>
        <w:rPr>
          <w:rFonts w:ascii="Arial" w:hAnsi="Arial" w:cs="Arial"/>
        </w:rPr>
      </w:pPr>
    </w:p>
    <w:p w14:paraId="660F2E5A" w14:textId="77777777" w:rsidR="009B74CB" w:rsidRPr="009B74CB" w:rsidRDefault="009B74CB" w:rsidP="000C2019">
      <w:pPr>
        <w:widowControl w:val="0"/>
        <w:spacing w:after="0" w:line="480" w:lineRule="auto"/>
        <w:ind w:left="567" w:hanging="567"/>
        <w:jc w:val="both"/>
        <w:rPr>
          <w:rFonts w:ascii="Arial" w:hAnsi="Arial" w:cs="Arial"/>
          <w:b/>
          <w:noProof/>
          <w:lang w:val="en-GB"/>
        </w:rPr>
      </w:pPr>
      <w:r w:rsidRPr="009B74CB">
        <w:rPr>
          <w:rFonts w:ascii="Arial" w:hAnsi="Arial" w:cs="Arial"/>
          <w:b/>
        </w:rPr>
        <w:t>10.</w:t>
      </w:r>
      <w:r w:rsidRPr="009B74CB">
        <w:rPr>
          <w:rFonts w:ascii="Arial" w:hAnsi="Arial" w:cs="Arial"/>
          <w:b/>
        </w:rPr>
        <w:tab/>
        <w:t>DATE OF REVISION OF THE TEXT:</w:t>
      </w:r>
    </w:p>
    <w:p w14:paraId="6F721141" w14:textId="33389C6F" w:rsidR="009B74CB" w:rsidRPr="009B74CB" w:rsidRDefault="000C2019" w:rsidP="000C2019">
      <w:pPr>
        <w:widowControl w:val="0"/>
        <w:spacing w:after="0" w:line="480" w:lineRule="auto"/>
        <w:jc w:val="both"/>
        <w:rPr>
          <w:rFonts w:ascii="Arial" w:hAnsi="Arial" w:cs="Arial"/>
          <w:b/>
          <w:bCs/>
        </w:rPr>
      </w:pPr>
      <w:r>
        <w:rPr>
          <w:rFonts w:ascii="Arial" w:hAnsi="Arial" w:cs="Arial"/>
        </w:rPr>
        <w:t>06 July 2023</w:t>
      </w:r>
    </w:p>
    <w:bookmarkEnd w:id="0"/>
    <w:p w14:paraId="31E7C39F" w14:textId="77777777" w:rsidR="00562A8F" w:rsidRPr="009B74CB" w:rsidRDefault="00562A8F" w:rsidP="000C2019">
      <w:pPr>
        <w:widowControl w:val="0"/>
        <w:spacing w:after="0" w:line="480" w:lineRule="auto"/>
        <w:jc w:val="both"/>
        <w:rPr>
          <w:rFonts w:ascii="Arial" w:hAnsi="Arial" w:cs="Arial"/>
        </w:rPr>
      </w:pPr>
    </w:p>
    <w:p w14:paraId="5014C1BB" w14:textId="77777777" w:rsidR="009B74CB" w:rsidRPr="009B74CB" w:rsidRDefault="009B74CB" w:rsidP="000C2019">
      <w:pPr>
        <w:widowControl w:val="0"/>
        <w:spacing w:after="0" w:line="480" w:lineRule="auto"/>
        <w:jc w:val="both"/>
        <w:rPr>
          <w:rFonts w:ascii="Arial" w:hAnsi="Arial" w:cs="Arial"/>
        </w:rPr>
      </w:pPr>
    </w:p>
    <w:sectPr w:rsidR="009B74CB" w:rsidRPr="009B74CB" w:rsidSect="00290D43">
      <w:headerReference w:type="default" r:id="rId9"/>
      <w:footerReference w:type="default" r:id="rId10"/>
      <w:pgSz w:w="11906" w:h="16838" w:code="9"/>
      <w:pgMar w:top="1134" w:right="1134" w:bottom="1134" w:left="1134"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54240" w14:textId="77777777" w:rsidR="006131C4" w:rsidRDefault="006131C4" w:rsidP="003E6572">
      <w:pPr>
        <w:spacing w:after="0" w:line="240" w:lineRule="auto"/>
      </w:pPr>
      <w:r>
        <w:separator/>
      </w:r>
    </w:p>
  </w:endnote>
  <w:endnote w:type="continuationSeparator" w:id="0">
    <w:p w14:paraId="0DEBA68A" w14:textId="77777777" w:rsidR="006131C4" w:rsidRDefault="006131C4" w:rsidP="003E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0FA69" w14:textId="6A86E67A" w:rsidR="00BB0B31" w:rsidRPr="00705FA3" w:rsidRDefault="00294D0A" w:rsidP="00290D43">
    <w:pPr>
      <w:pStyle w:val="Header"/>
      <w:tabs>
        <w:tab w:val="clear" w:pos="4513"/>
        <w:tab w:val="clear" w:pos="9026"/>
        <w:tab w:val="left" w:pos="465"/>
        <w:tab w:val="center" w:pos="4820"/>
        <w:tab w:val="right" w:pos="9356"/>
      </w:tabs>
      <w:spacing w:before="240" w:after="120"/>
      <w:jc w:val="right"/>
      <w:rPr>
        <w:rFonts w:ascii="Arial" w:hAnsi="Arial" w:cs="Arial"/>
        <w:sz w:val="18"/>
        <w:szCs w:val="18"/>
      </w:rPr>
    </w:pPr>
    <w:r w:rsidRPr="008A3045">
      <w:rPr>
        <w:rFonts w:ascii="Arial" w:hAnsi="Arial" w:cs="Arial"/>
        <w:sz w:val="18"/>
        <w:szCs w:val="18"/>
      </w:rPr>
      <w:t xml:space="preserve">Page </w:t>
    </w:r>
    <w:r w:rsidRPr="008A3045">
      <w:rPr>
        <w:rFonts w:ascii="Arial" w:hAnsi="Arial" w:cs="Arial"/>
        <w:bCs/>
        <w:sz w:val="18"/>
        <w:szCs w:val="18"/>
      </w:rPr>
      <w:fldChar w:fldCharType="begin"/>
    </w:r>
    <w:r w:rsidRPr="008A3045">
      <w:rPr>
        <w:rFonts w:ascii="Arial" w:hAnsi="Arial" w:cs="Arial"/>
        <w:bCs/>
        <w:sz w:val="18"/>
        <w:szCs w:val="18"/>
      </w:rPr>
      <w:instrText xml:space="preserve"> PAGE  \* Arabic  \* MERGEFORMAT </w:instrText>
    </w:r>
    <w:r w:rsidRPr="008A3045">
      <w:rPr>
        <w:rFonts w:ascii="Arial" w:hAnsi="Arial" w:cs="Arial"/>
        <w:bCs/>
        <w:sz w:val="18"/>
        <w:szCs w:val="18"/>
      </w:rPr>
      <w:fldChar w:fldCharType="separate"/>
    </w:r>
    <w:r>
      <w:rPr>
        <w:rFonts w:ascii="Arial" w:hAnsi="Arial" w:cs="Arial"/>
        <w:bCs/>
        <w:sz w:val="18"/>
        <w:szCs w:val="18"/>
      </w:rPr>
      <w:t>1</w:t>
    </w:r>
    <w:r w:rsidRPr="008A3045">
      <w:rPr>
        <w:rFonts w:ascii="Arial" w:hAnsi="Arial" w:cs="Arial"/>
        <w:bCs/>
        <w:sz w:val="18"/>
        <w:szCs w:val="18"/>
      </w:rPr>
      <w:fldChar w:fldCharType="end"/>
    </w:r>
    <w:r w:rsidRPr="008A3045">
      <w:rPr>
        <w:rFonts w:ascii="Arial" w:hAnsi="Arial" w:cs="Arial"/>
        <w:sz w:val="18"/>
        <w:szCs w:val="18"/>
      </w:rPr>
      <w:t xml:space="preserve"> of </w:t>
    </w:r>
    <w:r w:rsidRPr="008A3045">
      <w:rPr>
        <w:rFonts w:ascii="Arial" w:hAnsi="Arial" w:cs="Arial"/>
        <w:bCs/>
        <w:sz w:val="18"/>
        <w:szCs w:val="18"/>
      </w:rPr>
      <w:fldChar w:fldCharType="begin"/>
    </w:r>
    <w:r w:rsidRPr="008A3045">
      <w:rPr>
        <w:rFonts w:ascii="Arial" w:hAnsi="Arial" w:cs="Arial"/>
        <w:bCs/>
        <w:sz w:val="18"/>
        <w:szCs w:val="18"/>
      </w:rPr>
      <w:instrText xml:space="preserve"> NUMPAGES  \* Arabic  \* MERGEFORMAT </w:instrText>
    </w:r>
    <w:r w:rsidRPr="008A3045">
      <w:rPr>
        <w:rFonts w:ascii="Arial" w:hAnsi="Arial" w:cs="Arial"/>
        <w:bCs/>
        <w:sz w:val="18"/>
        <w:szCs w:val="18"/>
      </w:rPr>
      <w:fldChar w:fldCharType="separate"/>
    </w:r>
    <w:r>
      <w:rPr>
        <w:rFonts w:ascii="Arial" w:hAnsi="Arial" w:cs="Arial"/>
        <w:bCs/>
        <w:sz w:val="18"/>
        <w:szCs w:val="18"/>
      </w:rPr>
      <w:t>46</w:t>
    </w:r>
    <w:r w:rsidRPr="008A3045">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D0DA6" w14:textId="77777777" w:rsidR="006131C4" w:rsidRDefault="006131C4" w:rsidP="003E6572">
      <w:pPr>
        <w:spacing w:after="0" w:line="240" w:lineRule="auto"/>
      </w:pPr>
      <w:r>
        <w:separator/>
      </w:r>
    </w:p>
  </w:footnote>
  <w:footnote w:type="continuationSeparator" w:id="0">
    <w:p w14:paraId="33326DDF" w14:textId="77777777" w:rsidR="006131C4" w:rsidRDefault="006131C4" w:rsidP="003E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A41FA" w14:textId="77777777" w:rsidR="00F81AA7" w:rsidRPr="00B17455" w:rsidRDefault="00F81AA7" w:rsidP="00F81AA7">
    <w:pPr>
      <w:pStyle w:val="Header"/>
      <w:tabs>
        <w:tab w:val="clear" w:pos="9026"/>
        <w:tab w:val="right" w:pos="9498"/>
      </w:tabs>
      <w:rPr>
        <w:rFonts w:ascii="Arial" w:hAnsi="Arial" w:cs="Arial"/>
        <w:b/>
        <w:sz w:val="18"/>
        <w:szCs w:val="18"/>
      </w:rPr>
    </w:pPr>
    <w:bookmarkStart w:id="2" w:name="_Hlk135732855"/>
    <w:r w:rsidRPr="00B17455">
      <w:rPr>
        <w:rFonts w:ascii="Arial" w:hAnsi="Arial" w:cs="Arial"/>
        <w:b/>
        <w:sz w:val="18"/>
        <w:szCs w:val="18"/>
      </w:rPr>
      <w:t>Biotech Laboratories (Pty) Ltd</w:t>
    </w:r>
    <w:r w:rsidRPr="00B17455">
      <w:rPr>
        <w:rFonts w:ascii="Arial" w:hAnsi="Arial" w:cs="Arial"/>
        <w:b/>
        <w:sz w:val="18"/>
        <w:szCs w:val="18"/>
      </w:rPr>
      <w:tab/>
    </w:r>
    <w:r w:rsidRPr="00B17455">
      <w:rPr>
        <w:rFonts w:ascii="Arial" w:hAnsi="Arial" w:cs="Arial"/>
        <w:b/>
        <w:sz w:val="18"/>
        <w:szCs w:val="18"/>
      </w:rPr>
      <w:tab/>
      <w:t>Indomethacin Biotech 25</w:t>
    </w:r>
  </w:p>
  <w:p w14:paraId="6E11EC29" w14:textId="635E4A66" w:rsidR="00F81AA7" w:rsidRPr="00B17455" w:rsidRDefault="00F81AA7" w:rsidP="00F81AA7">
    <w:pPr>
      <w:pStyle w:val="Header"/>
      <w:tabs>
        <w:tab w:val="clear" w:pos="9026"/>
        <w:tab w:val="right" w:pos="9498"/>
      </w:tabs>
      <w:rPr>
        <w:rFonts w:ascii="Arial" w:hAnsi="Arial" w:cs="Arial"/>
        <w:bCs/>
        <w:sz w:val="18"/>
        <w:szCs w:val="18"/>
        <w:u w:val="single"/>
      </w:rPr>
    </w:pPr>
    <w:r w:rsidRPr="00B17455">
      <w:rPr>
        <w:rFonts w:ascii="Arial" w:hAnsi="Arial" w:cs="Arial"/>
        <w:bCs/>
        <w:sz w:val="18"/>
        <w:szCs w:val="18"/>
        <w:u w:val="single"/>
      </w:rPr>
      <w:tab/>
    </w:r>
    <w:r w:rsidRPr="00B17455">
      <w:rPr>
        <w:rFonts w:ascii="Arial" w:hAnsi="Arial" w:cs="Arial"/>
        <w:bCs/>
        <w:sz w:val="18"/>
        <w:szCs w:val="18"/>
        <w:u w:val="single"/>
      </w:rPr>
      <w:tab/>
      <w:t>Each capsule contains 25 mg</w:t>
    </w:r>
    <w:r w:rsidR="004E2CE4">
      <w:rPr>
        <w:rFonts w:ascii="Arial" w:hAnsi="Arial" w:cs="Arial"/>
        <w:bCs/>
        <w:sz w:val="18"/>
        <w:szCs w:val="18"/>
        <w:u w:val="single"/>
      </w:rPr>
      <w:t xml:space="preserve"> indomethacin</w:t>
    </w:r>
  </w:p>
  <w:p w14:paraId="15482611" w14:textId="5D8C82F5" w:rsidR="00B17455" w:rsidRPr="00B17455" w:rsidRDefault="00B17455" w:rsidP="00F81AA7">
    <w:pPr>
      <w:pStyle w:val="Header"/>
      <w:tabs>
        <w:tab w:val="clear" w:pos="9026"/>
        <w:tab w:val="right" w:pos="9498"/>
      </w:tabs>
      <w:rPr>
        <w:rFonts w:ascii="Arial" w:hAnsi="Arial" w:cs="Arial"/>
        <w:sz w:val="18"/>
        <w:szCs w:val="18"/>
      </w:rPr>
    </w:pPr>
    <w:r w:rsidRPr="00B17455">
      <w:rPr>
        <w:rFonts w:ascii="Arial" w:hAnsi="Arial" w:cs="Arial"/>
        <w:sz w:val="18"/>
        <w:szCs w:val="18"/>
      </w:rPr>
      <w:t>Response to PVC letter dated 2</w:t>
    </w:r>
    <w:r w:rsidR="004E3A30">
      <w:rPr>
        <w:rFonts w:ascii="Arial" w:hAnsi="Arial" w:cs="Arial"/>
        <w:sz w:val="18"/>
        <w:szCs w:val="18"/>
      </w:rPr>
      <w:t>8</w:t>
    </w:r>
    <w:r w:rsidRPr="00B17455">
      <w:rPr>
        <w:rFonts w:ascii="Arial" w:hAnsi="Arial" w:cs="Arial"/>
        <w:sz w:val="18"/>
        <w:szCs w:val="18"/>
      </w:rPr>
      <w:t>/03/2023 regarding Risk of renal tubular acidosis and hypokalaemia)</w:t>
    </w:r>
  </w:p>
  <w:p w14:paraId="701B1F05" w14:textId="5F51B138" w:rsidR="00BB0B31" w:rsidRPr="00B17455" w:rsidRDefault="00F81AA7" w:rsidP="00F81AA7">
    <w:pPr>
      <w:pStyle w:val="Header"/>
      <w:tabs>
        <w:tab w:val="clear" w:pos="9026"/>
        <w:tab w:val="right" w:pos="9498"/>
      </w:tabs>
      <w:rPr>
        <w:rFonts w:ascii="Arial" w:hAnsi="Arial" w:cs="Arial"/>
        <w:b/>
        <w:bCs/>
        <w:sz w:val="18"/>
        <w:szCs w:val="18"/>
        <w:u w:val="single"/>
      </w:rPr>
    </w:pPr>
    <w:r w:rsidRPr="00B17455">
      <w:rPr>
        <w:rFonts w:ascii="Arial" w:hAnsi="Arial" w:cs="Arial"/>
        <w:sz w:val="18"/>
        <w:szCs w:val="18"/>
        <w:u w:val="single"/>
      </w:rPr>
      <w:tab/>
    </w:r>
    <w:r w:rsidRPr="00B17455">
      <w:rPr>
        <w:rFonts w:ascii="Arial" w:hAnsi="Arial" w:cs="Arial"/>
        <w:sz w:val="18"/>
        <w:szCs w:val="18"/>
        <w:u w:val="single"/>
      </w:rPr>
      <w:tab/>
    </w:r>
    <w:r w:rsidRPr="00C000F0">
      <w:rPr>
        <w:rFonts w:ascii="Arial" w:hAnsi="Arial" w:cs="Arial"/>
        <w:b/>
        <w:bCs/>
        <w:sz w:val="18"/>
        <w:szCs w:val="18"/>
        <w:u w:val="single"/>
      </w:rPr>
      <w:t xml:space="preserve">Date of submission: </w:t>
    </w:r>
    <w:r w:rsidR="004E2CE4" w:rsidRPr="00C000F0">
      <w:rPr>
        <w:rFonts w:ascii="Arial" w:hAnsi="Arial" w:cs="Arial"/>
        <w:b/>
        <w:bCs/>
        <w:sz w:val="18"/>
        <w:szCs w:val="18"/>
        <w:u w:val="single"/>
      </w:rPr>
      <w:t>26 May 2023</w:t>
    </w:r>
  </w:p>
  <w:bookmarkEnd w:id="2"/>
  <w:p w14:paraId="7E077704" w14:textId="77777777" w:rsidR="00B17455" w:rsidRPr="00B17455" w:rsidRDefault="00B17455" w:rsidP="00F81AA7">
    <w:pPr>
      <w:pStyle w:val="Header"/>
      <w:tabs>
        <w:tab w:val="clear" w:pos="9026"/>
        <w:tab w:val="right" w:pos="9498"/>
      </w:tabs>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133"/>
    <w:multiLevelType w:val="hybridMultilevel"/>
    <w:tmpl w:val="0DB085C4"/>
    <w:lvl w:ilvl="0" w:tplc="2DA6B544">
      <w:start w:val="1"/>
      <w:numFmt w:val="bullet"/>
      <w:lvlText w:val=""/>
      <w:lvlJc w:val="left"/>
      <w:pPr>
        <w:ind w:left="632" w:hanging="360"/>
      </w:pPr>
      <w:rPr>
        <w:rFonts w:ascii="Symbol" w:hAnsi="Symbol" w:hint="default"/>
        <w:sz w:val="16"/>
        <w:szCs w:val="16"/>
      </w:rPr>
    </w:lvl>
    <w:lvl w:ilvl="1" w:tplc="1C090003">
      <w:start w:val="1"/>
      <w:numFmt w:val="bullet"/>
      <w:lvlText w:val="o"/>
      <w:lvlJc w:val="left"/>
      <w:pPr>
        <w:ind w:left="1352" w:hanging="360"/>
      </w:pPr>
      <w:rPr>
        <w:rFonts w:ascii="Courier New" w:hAnsi="Courier New" w:cs="Courier New" w:hint="default"/>
      </w:rPr>
    </w:lvl>
    <w:lvl w:ilvl="2" w:tplc="1C090005">
      <w:start w:val="1"/>
      <w:numFmt w:val="bullet"/>
      <w:lvlText w:val=""/>
      <w:lvlJc w:val="left"/>
      <w:pPr>
        <w:ind w:left="2072" w:hanging="360"/>
      </w:pPr>
      <w:rPr>
        <w:rFonts w:ascii="Wingdings" w:hAnsi="Wingdings" w:hint="default"/>
      </w:rPr>
    </w:lvl>
    <w:lvl w:ilvl="3" w:tplc="1C090001">
      <w:start w:val="1"/>
      <w:numFmt w:val="bullet"/>
      <w:lvlText w:val=""/>
      <w:lvlJc w:val="left"/>
      <w:pPr>
        <w:ind w:left="2792" w:hanging="360"/>
      </w:pPr>
      <w:rPr>
        <w:rFonts w:ascii="Symbol" w:hAnsi="Symbol" w:hint="default"/>
      </w:rPr>
    </w:lvl>
    <w:lvl w:ilvl="4" w:tplc="1C090003">
      <w:start w:val="1"/>
      <w:numFmt w:val="bullet"/>
      <w:lvlText w:val="o"/>
      <w:lvlJc w:val="left"/>
      <w:pPr>
        <w:ind w:left="3512" w:hanging="360"/>
      </w:pPr>
      <w:rPr>
        <w:rFonts w:ascii="Courier New" w:hAnsi="Courier New" w:cs="Courier New" w:hint="default"/>
      </w:rPr>
    </w:lvl>
    <w:lvl w:ilvl="5" w:tplc="1C090005">
      <w:start w:val="1"/>
      <w:numFmt w:val="bullet"/>
      <w:lvlText w:val=""/>
      <w:lvlJc w:val="left"/>
      <w:pPr>
        <w:ind w:left="4232" w:hanging="360"/>
      </w:pPr>
      <w:rPr>
        <w:rFonts w:ascii="Wingdings" w:hAnsi="Wingdings" w:hint="default"/>
      </w:rPr>
    </w:lvl>
    <w:lvl w:ilvl="6" w:tplc="1C090001">
      <w:start w:val="1"/>
      <w:numFmt w:val="bullet"/>
      <w:lvlText w:val=""/>
      <w:lvlJc w:val="left"/>
      <w:pPr>
        <w:ind w:left="4952" w:hanging="360"/>
      </w:pPr>
      <w:rPr>
        <w:rFonts w:ascii="Symbol" w:hAnsi="Symbol" w:hint="default"/>
      </w:rPr>
    </w:lvl>
    <w:lvl w:ilvl="7" w:tplc="1C090003">
      <w:start w:val="1"/>
      <w:numFmt w:val="bullet"/>
      <w:lvlText w:val="o"/>
      <w:lvlJc w:val="left"/>
      <w:pPr>
        <w:ind w:left="5672" w:hanging="360"/>
      </w:pPr>
      <w:rPr>
        <w:rFonts w:ascii="Courier New" w:hAnsi="Courier New" w:cs="Courier New" w:hint="default"/>
      </w:rPr>
    </w:lvl>
    <w:lvl w:ilvl="8" w:tplc="1C090005">
      <w:start w:val="1"/>
      <w:numFmt w:val="bullet"/>
      <w:lvlText w:val=""/>
      <w:lvlJc w:val="left"/>
      <w:pPr>
        <w:ind w:left="6392" w:hanging="360"/>
      </w:pPr>
      <w:rPr>
        <w:rFonts w:ascii="Wingdings" w:hAnsi="Wingdings" w:hint="default"/>
      </w:rPr>
    </w:lvl>
  </w:abstractNum>
  <w:abstractNum w:abstractNumId="1" w15:restartNumberingAfterBreak="0">
    <w:nsid w:val="182E49E9"/>
    <w:multiLevelType w:val="hybridMultilevel"/>
    <w:tmpl w:val="8A0ED22A"/>
    <w:lvl w:ilvl="0" w:tplc="1C090003">
      <w:start w:val="1"/>
      <w:numFmt w:val="bullet"/>
      <w:lvlText w:val="o"/>
      <w:lvlJc w:val="left"/>
      <w:pPr>
        <w:ind w:left="1025" w:hanging="360"/>
      </w:pPr>
      <w:rPr>
        <w:rFonts w:ascii="Courier New" w:hAnsi="Courier New" w:cs="Courier New" w:hint="default"/>
      </w:rPr>
    </w:lvl>
    <w:lvl w:ilvl="1" w:tplc="08090003" w:tentative="1">
      <w:start w:val="1"/>
      <w:numFmt w:val="bullet"/>
      <w:lvlText w:val="o"/>
      <w:lvlJc w:val="left"/>
      <w:pPr>
        <w:ind w:left="1745" w:hanging="360"/>
      </w:pPr>
      <w:rPr>
        <w:rFonts w:ascii="Courier New" w:hAnsi="Courier New" w:cs="Courier New" w:hint="default"/>
      </w:rPr>
    </w:lvl>
    <w:lvl w:ilvl="2" w:tplc="08090005" w:tentative="1">
      <w:start w:val="1"/>
      <w:numFmt w:val="bullet"/>
      <w:lvlText w:val=""/>
      <w:lvlJc w:val="left"/>
      <w:pPr>
        <w:ind w:left="2465" w:hanging="360"/>
      </w:pPr>
      <w:rPr>
        <w:rFonts w:ascii="Wingdings" w:hAnsi="Wingdings" w:hint="default"/>
      </w:rPr>
    </w:lvl>
    <w:lvl w:ilvl="3" w:tplc="08090001" w:tentative="1">
      <w:start w:val="1"/>
      <w:numFmt w:val="bullet"/>
      <w:lvlText w:val=""/>
      <w:lvlJc w:val="left"/>
      <w:pPr>
        <w:ind w:left="3185" w:hanging="360"/>
      </w:pPr>
      <w:rPr>
        <w:rFonts w:ascii="Symbol" w:hAnsi="Symbol" w:hint="default"/>
      </w:rPr>
    </w:lvl>
    <w:lvl w:ilvl="4" w:tplc="08090003" w:tentative="1">
      <w:start w:val="1"/>
      <w:numFmt w:val="bullet"/>
      <w:lvlText w:val="o"/>
      <w:lvlJc w:val="left"/>
      <w:pPr>
        <w:ind w:left="3905" w:hanging="360"/>
      </w:pPr>
      <w:rPr>
        <w:rFonts w:ascii="Courier New" w:hAnsi="Courier New" w:cs="Courier New" w:hint="default"/>
      </w:rPr>
    </w:lvl>
    <w:lvl w:ilvl="5" w:tplc="08090005" w:tentative="1">
      <w:start w:val="1"/>
      <w:numFmt w:val="bullet"/>
      <w:lvlText w:val=""/>
      <w:lvlJc w:val="left"/>
      <w:pPr>
        <w:ind w:left="4625" w:hanging="360"/>
      </w:pPr>
      <w:rPr>
        <w:rFonts w:ascii="Wingdings" w:hAnsi="Wingdings" w:hint="default"/>
      </w:rPr>
    </w:lvl>
    <w:lvl w:ilvl="6" w:tplc="08090001" w:tentative="1">
      <w:start w:val="1"/>
      <w:numFmt w:val="bullet"/>
      <w:lvlText w:val=""/>
      <w:lvlJc w:val="left"/>
      <w:pPr>
        <w:ind w:left="5345" w:hanging="360"/>
      </w:pPr>
      <w:rPr>
        <w:rFonts w:ascii="Symbol" w:hAnsi="Symbol" w:hint="default"/>
      </w:rPr>
    </w:lvl>
    <w:lvl w:ilvl="7" w:tplc="08090003" w:tentative="1">
      <w:start w:val="1"/>
      <w:numFmt w:val="bullet"/>
      <w:lvlText w:val="o"/>
      <w:lvlJc w:val="left"/>
      <w:pPr>
        <w:ind w:left="6065" w:hanging="360"/>
      </w:pPr>
      <w:rPr>
        <w:rFonts w:ascii="Courier New" w:hAnsi="Courier New" w:cs="Courier New" w:hint="default"/>
      </w:rPr>
    </w:lvl>
    <w:lvl w:ilvl="8" w:tplc="08090005" w:tentative="1">
      <w:start w:val="1"/>
      <w:numFmt w:val="bullet"/>
      <w:lvlText w:val=""/>
      <w:lvlJc w:val="left"/>
      <w:pPr>
        <w:ind w:left="6785" w:hanging="360"/>
      </w:pPr>
      <w:rPr>
        <w:rFonts w:ascii="Wingdings" w:hAnsi="Wingdings" w:hint="default"/>
      </w:rPr>
    </w:lvl>
  </w:abstractNum>
  <w:abstractNum w:abstractNumId="2" w15:restartNumberingAfterBreak="0">
    <w:nsid w:val="18AC34B1"/>
    <w:multiLevelType w:val="hybridMultilevel"/>
    <w:tmpl w:val="E0325CE6"/>
    <w:lvl w:ilvl="0" w:tplc="6A3AD08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8087A"/>
    <w:multiLevelType w:val="hybridMultilevel"/>
    <w:tmpl w:val="C7C6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D3692"/>
    <w:multiLevelType w:val="hybridMultilevel"/>
    <w:tmpl w:val="97122F78"/>
    <w:lvl w:ilvl="0" w:tplc="6504E612">
      <w:start w:val="1"/>
      <w:numFmt w:val="bullet"/>
      <w:lvlText w:val=""/>
      <w:lvlJc w:val="left"/>
      <w:pPr>
        <w:ind w:left="720" w:hanging="360"/>
      </w:pPr>
      <w:rPr>
        <w:rFonts w:ascii="Symbol" w:hAnsi="Symbol" w:hint="default"/>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CE91CF9"/>
    <w:multiLevelType w:val="hybridMultilevel"/>
    <w:tmpl w:val="9814BF78"/>
    <w:lvl w:ilvl="0" w:tplc="6D96ABF6">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FC54C35"/>
    <w:multiLevelType w:val="hybridMultilevel"/>
    <w:tmpl w:val="820A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373EB"/>
    <w:multiLevelType w:val="hybridMultilevel"/>
    <w:tmpl w:val="7B9A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1030A"/>
    <w:multiLevelType w:val="hybridMultilevel"/>
    <w:tmpl w:val="6F0A3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60872"/>
    <w:multiLevelType w:val="hybridMultilevel"/>
    <w:tmpl w:val="B7FE26D2"/>
    <w:lvl w:ilvl="0" w:tplc="4C0AAC8A">
      <w:start w:val="1"/>
      <w:numFmt w:val="bullet"/>
      <w:lvlText w:val=""/>
      <w:lvlJc w:val="left"/>
      <w:pPr>
        <w:tabs>
          <w:tab w:val="num" w:pos="170"/>
        </w:tabs>
        <w:ind w:left="170" w:hanging="170"/>
      </w:pPr>
      <w:rPr>
        <w:rFonts w:ascii="Symbol" w:hAnsi="Symbol" w:hint="default"/>
        <w:b w:val="0"/>
        <w:i w:val="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477922"/>
    <w:multiLevelType w:val="hybridMultilevel"/>
    <w:tmpl w:val="82BE1B3C"/>
    <w:lvl w:ilvl="0" w:tplc="E304A6A4">
      <w:start w:val="1"/>
      <w:numFmt w:val="bullet"/>
      <w:lvlText w:val=""/>
      <w:lvlJc w:val="left"/>
      <w:pPr>
        <w:ind w:left="1025" w:hanging="360"/>
      </w:pPr>
      <w:rPr>
        <w:rFonts w:ascii="Symbol" w:hAnsi="Symbol" w:hint="default"/>
        <w:sz w:val="18"/>
        <w:szCs w:val="18"/>
      </w:rPr>
    </w:lvl>
    <w:lvl w:ilvl="1" w:tplc="08090003" w:tentative="1">
      <w:start w:val="1"/>
      <w:numFmt w:val="bullet"/>
      <w:lvlText w:val="o"/>
      <w:lvlJc w:val="left"/>
      <w:pPr>
        <w:ind w:left="1745" w:hanging="360"/>
      </w:pPr>
      <w:rPr>
        <w:rFonts w:ascii="Courier New" w:hAnsi="Courier New" w:cs="Courier New" w:hint="default"/>
      </w:rPr>
    </w:lvl>
    <w:lvl w:ilvl="2" w:tplc="08090005" w:tentative="1">
      <w:start w:val="1"/>
      <w:numFmt w:val="bullet"/>
      <w:lvlText w:val=""/>
      <w:lvlJc w:val="left"/>
      <w:pPr>
        <w:ind w:left="2465" w:hanging="360"/>
      </w:pPr>
      <w:rPr>
        <w:rFonts w:ascii="Wingdings" w:hAnsi="Wingdings" w:hint="default"/>
      </w:rPr>
    </w:lvl>
    <w:lvl w:ilvl="3" w:tplc="08090001" w:tentative="1">
      <w:start w:val="1"/>
      <w:numFmt w:val="bullet"/>
      <w:lvlText w:val=""/>
      <w:lvlJc w:val="left"/>
      <w:pPr>
        <w:ind w:left="3185" w:hanging="360"/>
      </w:pPr>
      <w:rPr>
        <w:rFonts w:ascii="Symbol" w:hAnsi="Symbol" w:hint="default"/>
      </w:rPr>
    </w:lvl>
    <w:lvl w:ilvl="4" w:tplc="08090003" w:tentative="1">
      <w:start w:val="1"/>
      <w:numFmt w:val="bullet"/>
      <w:lvlText w:val="o"/>
      <w:lvlJc w:val="left"/>
      <w:pPr>
        <w:ind w:left="3905" w:hanging="360"/>
      </w:pPr>
      <w:rPr>
        <w:rFonts w:ascii="Courier New" w:hAnsi="Courier New" w:cs="Courier New" w:hint="default"/>
      </w:rPr>
    </w:lvl>
    <w:lvl w:ilvl="5" w:tplc="08090005" w:tentative="1">
      <w:start w:val="1"/>
      <w:numFmt w:val="bullet"/>
      <w:lvlText w:val=""/>
      <w:lvlJc w:val="left"/>
      <w:pPr>
        <w:ind w:left="4625" w:hanging="360"/>
      </w:pPr>
      <w:rPr>
        <w:rFonts w:ascii="Wingdings" w:hAnsi="Wingdings" w:hint="default"/>
      </w:rPr>
    </w:lvl>
    <w:lvl w:ilvl="6" w:tplc="08090001" w:tentative="1">
      <w:start w:val="1"/>
      <w:numFmt w:val="bullet"/>
      <w:lvlText w:val=""/>
      <w:lvlJc w:val="left"/>
      <w:pPr>
        <w:ind w:left="5345" w:hanging="360"/>
      </w:pPr>
      <w:rPr>
        <w:rFonts w:ascii="Symbol" w:hAnsi="Symbol" w:hint="default"/>
      </w:rPr>
    </w:lvl>
    <w:lvl w:ilvl="7" w:tplc="08090003" w:tentative="1">
      <w:start w:val="1"/>
      <w:numFmt w:val="bullet"/>
      <w:lvlText w:val="o"/>
      <w:lvlJc w:val="left"/>
      <w:pPr>
        <w:ind w:left="6065" w:hanging="360"/>
      </w:pPr>
      <w:rPr>
        <w:rFonts w:ascii="Courier New" w:hAnsi="Courier New" w:cs="Courier New" w:hint="default"/>
      </w:rPr>
    </w:lvl>
    <w:lvl w:ilvl="8" w:tplc="08090005" w:tentative="1">
      <w:start w:val="1"/>
      <w:numFmt w:val="bullet"/>
      <w:lvlText w:val=""/>
      <w:lvlJc w:val="left"/>
      <w:pPr>
        <w:ind w:left="6785" w:hanging="360"/>
      </w:pPr>
      <w:rPr>
        <w:rFonts w:ascii="Wingdings" w:hAnsi="Wingdings" w:hint="default"/>
      </w:rPr>
    </w:lvl>
  </w:abstractNum>
  <w:abstractNum w:abstractNumId="11" w15:restartNumberingAfterBreak="0">
    <w:nsid w:val="42272753"/>
    <w:multiLevelType w:val="hybridMultilevel"/>
    <w:tmpl w:val="AC08283A"/>
    <w:lvl w:ilvl="0" w:tplc="1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BC6D80"/>
    <w:multiLevelType w:val="hybridMultilevel"/>
    <w:tmpl w:val="921CD12A"/>
    <w:lvl w:ilvl="0" w:tplc="D7A0A5CC">
      <w:start w:val="1"/>
      <w:numFmt w:val="bullet"/>
      <w:lvlText w:val=""/>
      <w:lvlJc w:val="left"/>
      <w:pPr>
        <w:tabs>
          <w:tab w:val="num" w:pos="360"/>
        </w:tabs>
        <w:ind w:left="360" w:hanging="360"/>
      </w:pPr>
      <w:rPr>
        <w:rFonts w:ascii="Symbol" w:hAnsi="Symbol" w:hint="default"/>
        <w:b w:val="0"/>
        <w:i w:val="0"/>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757481"/>
    <w:multiLevelType w:val="hybridMultilevel"/>
    <w:tmpl w:val="346C6CC6"/>
    <w:lvl w:ilvl="0" w:tplc="3192011A">
      <w:start w:val="1"/>
      <w:numFmt w:val="bullet"/>
      <w:lvlText w:val=""/>
      <w:lvlJc w:val="left"/>
      <w:pPr>
        <w:ind w:left="720" w:hanging="360"/>
      </w:pPr>
      <w:rPr>
        <w:rFonts w:ascii="Symbol" w:hAnsi="Symbol" w:hint="default"/>
        <w:sz w:val="16"/>
        <w:szCs w:val="16"/>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2DB3D02"/>
    <w:multiLevelType w:val="hybridMultilevel"/>
    <w:tmpl w:val="6E728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00A84"/>
    <w:multiLevelType w:val="hybridMultilevel"/>
    <w:tmpl w:val="DF708D5A"/>
    <w:lvl w:ilvl="0" w:tplc="926A694A">
      <w:start w:val="1"/>
      <w:numFmt w:val="bullet"/>
      <w:lvlText w:val=""/>
      <w:lvlJc w:val="left"/>
      <w:pPr>
        <w:ind w:left="720" w:hanging="360"/>
      </w:pPr>
      <w:rPr>
        <w:rFonts w:ascii="Symbol" w:hAnsi="Symbol" w:hint="default"/>
        <w:sz w:val="18"/>
        <w:szCs w:val="18"/>
      </w:rPr>
    </w:lvl>
    <w:lvl w:ilvl="1" w:tplc="B602F26A">
      <w:start w:val="1"/>
      <w:numFmt w:val="bullet"/>
      <w:lvlText w:val=""/>
      <w:lvlJc w:val="left"/>
      <w:pPr>
        <w:ind w:left="1440" w:hanging="360"/>
      </w:pPr>
      <w:rPr>
        <w:rFonts w:ascii="Symbol" w:hAnsi="Symbol" w:hint="default"/>
        <w:sz w:val="16"/>
        <w:szCs w:val="1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C0D7F"/>
    <w:multiLevelType w:val="hybridMultilevel"/>
    <w:tmpl w:val="6E9CF7EA"/>
    <w:lvl w:ilvl="0" w:tplc="6794EDF8">
      <w:start w:val="1"/>
      <w:numFmt w:val="decimal"/>
      <w:lvlText w:val="%1."/>
      <w:lvlJc w:val="left"/>
      <w:pPr>
        <w:ind w:left="218" w:hanging="360"/>
      </w:pPr>
      <w:rPr>
        <w:sz w:val="22"/>
        <w:szCs w:val="22"/>
      </w:rPr>
    </w:lvl>
    <w:lvl w:ilvl="1" w:tplc="1C090019">
      <w:start w:val="1"/>
      <w:numFmt w:val="lowerLetter"/>
      <w:lvlText w:val="%2."/>
      <w:lvlJc w:val="left"/>
      <w:pPr>
        <w:ind w:left="938" w:hanging="360"/>
      </w:pPr>
    </w:lvl>
    <w:lvl w:ilvl="2" w:tplc="1C09001B">
      <w:start w:val="1"/>
      <w:numFmt w:val="lowerRoman"/>
      <w:lvlText w:val="%3."/>
      <w:lvlJc w:val="right"/>
      <w:pPr>
        <w:ind w:left="1658" w:hanging="180"/>
      </w:pPr>
    </w:lvl>
    <w:lvl w:ilvl="3" w:tplc="1C09000F" w:tentative="1">
      <w:start w:val="1"/>
      <w:numFmt w:val="decimal"/>
      <w:lvlText w:val="%4."/>
      <w:lvlJc w:val="left"/>
      <w:pPr>
        <w:ind w:left="2378" w:hanging="360"/>
      </w:pPr>
    </w:lvl>
    <w:lvl w:ilvl="4" w:tplc="1C090019" w:tentative="1">
      <w:start w:val="1"/>
      <w:numFmt w:val="lowerLetter"/>
      <w:lvlText w:val="%5."/>
      <w:lvlJc w:val="left"/>
      <w:pPr>
        <w:ind w:left="3098" w:hanging="360"/>
      </w:pPr>
    </w:lvl>
    <w:lvl w:ilvl="5" w:tplc="1C09001B" w:tentative="1">
      <w:start w:val="1"/>
      <w:numFmt w:val="lowerRoman"/>
      <w:lvlText w:val="%6."/>
      <w:lvlJc w:val="right"/>
      <w:pPr>
        <w:ind w:left="3818" w:hanging="180"/>
      </w:pPr>
    </w:lvl>
    <w:lvl w:ilvl="6" w:tplc="1C09000F" w:tentative="1">
      <w:start w:val="1"/>
      <w:numFmt w:val="decimal"/>
      <w:lvlText w:val="%7."/>
      <w:lvlJc w:val="left"/>
      <w:pPr>
        <w:ind w:left="4538" w:hanging="360"/>
      </w:pPr>
    </w:lvl>
    <w:lvl w:ilvl="7" w:tplc="1C090019" w:tentative="1">
      <w:start w:val="1"/>
      <w:numFmt w:val="lowerLetter"/>
      <w:lvlText w:val="%8."/>
      <w:lvlJc w:val="left"/>
      <w:pPr>
        <w:ind w:left="5258" w:hanging="360"/>
      </w:pPr>
    </w:lvl>
    <w:lvl w:ilvl="8" w:tplc="1C09001B" w:tentative="1">
      <w:start w:val="1"/>
      <w:numFmt w:val="lowerRoman"/>
      <w:lvlText w:val="%9."/>
      <w:lvlJc w:val="right"/>
      <w:pPr>
        <w:ind w:left="5978" w:hanging="180"/>
      </w:pPr>
    </w:lvl>
  </w:abstractNum>
  <w:num w:numId="1" w16cid:durableId="1476216954">
    <w:abstractNumId w:val="4"/>
  </w:num>
  <w:num w:numId="2" w16cid:durableId="120462210">
    <w:abstractNumId w:val="9"/>
  </w:num>
  <w:num w:numId="3" w16cid:durableId="738478542">
    <w:abstractNumId w:val="5"/>
  </w:num>
  <w:num w:numId="4" w16cid:durableId="1985087295">
    <w:abstractNumId w:val="13"/>
  </w:num>
  <w:num w:numId="5" w16cid:durableId="1046298665">
    <w:abstractNumId w:val="12"/>
  </w:num>
  <w:num w:numId="6" w16cid:durableId="1906061063">
    <w:abstractNumId w:val="16"/>
  </w:num>
  <w:num w:numId="7" w16cid:durableId="1801532922">
    <w:abstractNumId w:val="15"/>
  </w:num>
  <w:num w:numId="8" w16cid:durableId="1657562452">
    <w:abstractNumId w:val="14"/>
  </w:num>
  <w:num w:numId="9" w16cid:durableId="1874802128">
    <w:abstractNumId w:val="2"/>
  </w:num>
  <w:num w:numId="10" w16cid:durableId="1250624813">
    <w:abstractNumId w:val="10"/>
  </w:num>
  <w:num w:numId="11" w16cid:durableId="484592809">
    <w:abstractNumId w:val="11"/>
  </w:num>
  <w:num w:numId="12" w16cid:durableId="1473209894">
    <w:abstractNumId w:val="1"/>
  </w:num>
  <w:num w:numId="13" w16cid:durableId="1382484679">
    <w:abstractNumId w:val="6"/>
  </w:num>
  <w:num w:numId="14" w16cid:durableId="2131430411">
    <w:abstractNumId w:val="7"/>
  </w:num>
  <w:num w:numId="15" w16cid:durableId="136992070">
    <w:abstractNumId w:val="8"/>
  </w:num>
  <w:num w:numId="16" w16cid:durableId="1723796397">
    <w:abstractNumId w:val="3"/>
  </w:num>
  <w:num w:numId="17" w16cid:durableId="212483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Y0NDU2sDQwtjA1tzBQ0lEKTi0uzszPAykwqwUA14xA7iwAAAA="/>
  </w:docVars>
  <w:rsids>
    <w:rsidRoot w:val="003E6572"/>
    <w:rsid w:val="0000078E"/>
    <w:rsid w:val="00000838"/>
    <w:rsid w:val="00001DE9"/>
    <w:rsid w:val="00002CC9"/>
    <w:rsid w:val="000031F3"/>
    <w:rsid w:val="00004CC9"/>
    <w:rsid w:val="00004F74"/>
    <w:rsid w:val="0000603E"/>
    <w:rsid w:val="0000615A"/>
    <w:rsid w:val="0000670E"/>
    <w:rsid w:val="00007E3A"/>
    <w:rsid w:val="000115B1"/>
    <w:rsid w:val="0001706B"/>
    <w:rsid w:val="000215D2"/>
    <w:rsid w:val="00022F96"/>
    <w:rsid w:val="000237B9"/>
    <w:rsid w:val="00024199"/>
    <w:rsid w:val="00026499"/>
    <w:rsid w:val="00026504"/>
    <w:rsid w:val="000279C1"/>
    <w:rsid w:val="00031003"/>
    <w:rsid w:val="000313D4"/>
    <w:rsid w:val="000335FD"/>
    <w:rsid w:val="000348EA"/>
    <w:rsid w:val="000375C1"/>
    <w:rsid w:val="00042A75"/>
    <w:rsid w:val="00047391"/>
    <w:rsid w:val="00047CD0"/>
    <w:rsid w:val="00053270"/>
    <w:rsid w:val="00056FBD"/>
    <w:rsid w:val="000575E0"/>
    <w:rsid w:val="00057902"/>
    <w:rsid w:val="00060F84"/>
    <w:rsid w:val="000627AB"/>
    <w:rsid w:val="00064E15"/>
    <w:rsid w:val="00065D70"/>
    <w:rsid w:val="00066F09"/>
    <w:rsid w:val="000674F2"/>
    <w:rsid w:val="00072207"/>
    <w:rsid w:val="000725FD"/>
    <w:rsid w:val="000728ED"/>
    <w:rsid w:val="00074D5A"/>
    <w:rsid w:val="00075449"/>
    <w:rsid w:val="00082A00"/>
    <w:rsid w:val="00082DBE"/>
    <w:rsid w:val="00091A9E"/>
    <w:rsid w:val="00092DA0"/>
    <w:rsid w:val="0009457A"/>
    <w:rsid w:val="00097684"/>
    <w:rsid w:val="00097AB3"/>
    <w:rsid w:val="000A1F37"/>
    <w:rsid w:val="000A43F2"/>
    <w:rsid w:val="000A633B"/>
    <w:rsid w:val="000A725C"/>
    <w:rsid w:val="000B0AF8"/>
    <w:rsid w:val="000B17A4"/>
    <w:rsid w:val="000B668F"/>
    <w:rsid w:val="000B7B91"/>
    <w:rsid w:val="000C1207"/>
    <w:rsid w:val="000C2019"/>
    <w:rsid w:val="000C2506"/>
    <w:rsid w:val="000C4683"/>
    <w:rsid w:val="000C64DF"/>
    <w:rsid w:val="000C6E16"/>
    <w:rsid w:val="000C74D0"/>
    <w:rsid w:val="000D0149"/>
    <w:rsid w:val="000D24B4"/>
    <w:rsid w:val="000D3909"/>
    <w:rsid w:val="000D4D01"/>
    <w:rsid w:val="000D59D3"/>
    <w:rsid w:val="000D610C"/>
    <w:rsid w:val="000D6EF3"/>
    <w:rsid w:val="000E0825"/>
    <w:rsid w:val="000E096D"/>
    <w:rsid w:val="000E1EA3"/>
    <w:rsid w:val="000E66D9"/>
    <w:rsid w:val="000E7E73"/>
    <w:rsid w:val="000F0D4A"/>
    <w:rsid w:val="000F481F"/>
    <w:rsid w:val="000F5E1E"/>
    <w:rsid w:val="000F73DC"/>
    <w:rsid w:val="00100700"/>
    <w:rsid w:val="00102037"/>
    <w:rsid w:val="0010205B"/>
    <w:rsid w:val="00102329"/>
    <w:rsid w:val="00102B50"/>
    <w:rsid w:val="00105ED9"/>
    <w:rsid w:val="00107605"/>
    <w:rsid w:val="00111282"/>
    <w:rsid w:val="0011154F"/>
    <w:rsid w:val="00112AC9"/>
    <w:rsid w:val="00114C79"/>
    <w:rsid w:val="00117D02"/>
    <w:rsid w:val="00121EA3"/>
    <w:rsid w:val="00122206"/>
    <w:rsid w:val="00122C1B"/>
    <w:rsid w:val="00124982"/>
    <w:rsid w:val="00131EAD"/>
    <w:rsid w:val="00133C37"/>
    <w:rsid w:val="00134671"/>
    <w:rsid w:val="001352C6"/>
    <w:rsid w:val="00135D2A"/>
    <w:rsid w:val="001457F0"/>
    <w:rsid w:val="00145AAF"/>
    <w:rsid w:val="00152DAA"/>
    <w:rsid w:val="00154032"/>
    <w:rsid w:val="00154E77"/>
    <w:rsid w:val="0015614C"/>
    <w:rsid w:val="00157680"/>
    <w:rsid w:val="00160E7A"/>
    <w:rsid w:val="00165A21"/>
    <w:rsid w:val="001667E6"/>
    <w:rsid w:val="00166E56"/>
    <w:rsid w:val="00167151"/>
    <w:rsid w:val="00170605"/>
    <w:rsid w:val="00172DE0"/>
    <w:rsid w:val="0017314D"/>
    <w:rsid w:val="00173DDC"/>
    <w:rsid w:val="00173EE9"/>
    <w:rsid w:val="00175389"/>
    <w:rsid w:val="00177F0F"/>
    <w:rsid w:val="00180226"/>
    <w:rsid w:val="00191AF8"/>
    <w:rsid w:val="00194572"/>
    <w:rsid w:val="00194F39"/>
    <w:rsid w:val="001961A3"/>
    <w:rsid w:val="00196DAB"/>
    <w:rsid w:val="001A1ADA"/>
    <w:rsid w:val="001A37DD"/>
    <w:rsid w:val="001B23A6"/>
    <w:rsid w:val="001B3422"/>
    <w:rsid w:val="001B4447"/>
    <w:rsid w:val="001B5650"/>
    <w:rsid w:val="001B5A9E"/>
    <w:rsid w:val="001C2AEF"/>
    <w:rsid w:val="001C3BB2"/>
    <w:rsid w:val="001C674E"/>
    <w:rsid w:val="001D0AA9"/>
    <w:rsid w:val="001D1040"/>
    <w:rsid w:val="001D10C7"/>
    <w:rsid w:val="001D4713"/>
    <w:rsid w:val="001D5116"/>
    <w:rsid w:val="001D604E"/>
    <w:rsid w:val="001D7347"/>
    <w:rsid w:val="001D7A95"/>
    <w:rsid w:val="001E08B7"/>
    <w:rsid w:val="001E1F0B"/>
    <w:rsid w:val="001E2FC7"/>
    <w:rsid w:val="001E3D93"/>
    <w:rsid w:val="001E40DB"/>
    <w:rsid w:val="001E43AA"/>
    <w:rsid w:val="001E4D33"/>
    <w:rsid w:val="001E6E6C"/>
    <w:rsid w:val="001F11E5"/>
    <w:rsid w:val="001F2BDD"/>
    <w:rsid w:val="001F3E1A"/>
    <w:rsid w:val="001F6171"/>
    <w:rsid w:val="002018FD"/>
    <w:rsid w:val="002044C5"/>
    <w:rsid w:val="002115E4"/>
    <w:rsid w:val="00212043"/>
    <w:rsid w:val="00212A52"/>
    <w:rsid w:val="0021360D"/>
    <w:rsid w:val="002141DF"/>
    <w:rsid w:val="002145C9"/>
    <w:rsid w:val="00217A2C"/>
    <w:rsid w:val="002211FD"/>
    <w:rsid w:val="00222D9F"/>
    <w:rsid w:val="0022405F"/>
    <w:rsid w:val="00224AA0"/>
    <w:rsid w:val="00224B64"/>
    <w:rsid w:val="002278AD"/>
    <w:rsid w:val="00227CF3"/>
    <w:rsid w:val="00230FDA"/>
    <w:rsid w:val="002310F7"/>
    <w:rsid w:val="00235534"/>
    <w:rsid w:val="00237F12"/>
    <w:rsid w:val="0024088F"/>
    <w:rsid w:val="0024122F"/>
    <w:rsid w:val="00241708"/>
    <w:rsid w:val="002427BD"/>
    <w:rsid w:val="00242EEC"/>
    <w:rsid w:val="00242FF1"/>
    <w:rsid w:val="00243787"/>
    <w:rsid w:val="00243C45"/>
    <w:rsid w:val="00244235"/>
    <w:rsid w:val="00245367"/>
    <w:rsid w:val="00245B9E"/>
    <w:rsid w:val="002460F2"/>
    <w:rsid w:val="0024625C"/>
    <w:rsid w:val="00247FBA"/>
    <w:rsid w:val="00250CFF"/>
    <w:rsid w:val="00252940"/>
    <w:rsid w:val="002537D5"/>
    <w:rsid w:val="00255E4B"/>
    <w:rsid w:val="002611CE"/>
    <w:rsid w:val="00264880"/>
    <w:rsid w:val="00264E69"/>
    <w:rsid w:val="00270BD6"/>
    <w:rsid w:val="00271955"/>
    <w:rsid w:val="002719A6"/>
    <w:rsid w:val="002728ED"/>
    <w:rsid w:val="0027372A"/>
    <w:rsid w:val="002761F2"/>
    <w:rsid w:val="002762A0"/>
    <w:rsid w:val="00277D55"/>
    <w:rsid w:val="00277F3F"/>
    <w:rsid w:val="00285EAB"/>
    <w:rsid w:val="00287A48"/>
    <w:rsid w:val="00290D43"/>
    <w:rsid w:val="002928F8"/>
    <w:rsid w:val="00294C57"/>
    <w:rsid w:val="00294D0A"/>
    <w:rsid w:val="002967C0"/>
    <w:rsid w:val="00297587"/>
    <w:rsid w:val="002A15B7"/>
    <w:rsid w:val="002A65F1"/>
    <w:rsid w:val="002A6915"/>
    <w:rsid w:val="002A78C2"/>
    <w:rsid w:val="002B011D"/>
    <w:rsid w:val="002B4B88"/>
    <w:rsid w:val="002B6D8B"/>
    <w:rsid w:val="002B7861"/>
    <w:rsid w:val="002C24E8"/>
    <w:rsid w:val="002C262F"/>
    <w:rsid w:val="002C4008"/>
    <w:rsid w:val="002D0B7A"/>
    <w:rsid w:val="002D1B7C"/>
    <w:rsid w:val="002D35A3"/>
    <w:rsid w:val="002D3CDC"/>
    <w:rsid w:val="002D53BA"/>
    <w:rsid w:val="002D6144"/>
    <w:rsid w:val="002E21E9"/>
    <w:rsid w:val="002E2A54"/>
    <w:rsid w:val="002E4561"/>
    <w:rsid w:val="002E643D"/>
    <w:rsid w:val="002E7ED7"/>
    <w:rsid w:val="002F0A9D"/>
    <w:rsid w:val="002F0EFA"/>
    <w:rsid w:val="002F31E7"/>
    <w:rsid w:val="002F3270"/>
    <w:rsid w:val="002F4DF3"/>
    <w:rsid w:val="0030000D"/>
    <w:rsid w:val="00300717"/>
    <w:rsid w:val="003050A8"/>
    <w:rsid w:val="0030754C"/>
    <w:rsid w:val="00314195"/>
    <w:rsid w:val="00314C5A"/>
    <w:rsid w:val="0031552F"/>
    <w:rsid w:val="00316F1E"/>
    <w:rsid w:val="003208CF"/>
    <w:rsid w:val="003218B6"/>
    <w:rsid w:val="003260F3"/>
    <w:rsid w:val="003262DC"/>
    <w:rsid w:val="0032796D"/>
    <w:rsid w:val="00331FAD"/>
    <w:rsid w:val="00332186"/>
    <w:rsid w:val="00333E61"/>
    <w:rsid w:val="00340BCB"/>
    <w:rsid w:val="00340C61"/>
    <w:rsid w:val="00340F65"/>
    <w:rsid w:val="00343D8C"/>
    <w:rsid w:val="00345D75"/>
    <w:rsid w:val="003462CC"/>
    <w:rsid w:val="00347FD3"/>
    <w:rsid w:val="0035105A"/>
    <w:rsid w:val="00351BB9"/>
    <w:rsid w:val="003523D0"/>
    <w:rsid w:val="00354EF9"/>
    <w:rsid w:val="003556BC"/>
    <w:rsid w:val="003564DC"/>
    <w:rsid w:val="00362DF0"/>
    <w:rsid w:val="00363D84"/>
    <w:rsid w:val="00364069"/>
    <w:rsid w:val="00366842"/>
    <w:rsid w:val="003673D9"/>
    <w:rsid w:val="00372B8D"/>
    <w:rsid w:val="0037461D"/>
    <w:rsid w:val="00374C4D"/>
    <w:rsid w:val="00375F75"/>
    <w:rsid w:val="00375F8C"/>
    <w:rsid w:val="0038026C"/>
    <w:rsid w:val="00381035"/>
    <w:rsid w:val="00382FA6"/>
    <w:rsid w:val="003857D1"/>
    <w:rsid w:val="00385FF3"/>
    <w:rsid w:val="0038724C"/>
    <w:rsid w:val="0039050C"/>
    <w:rsid w:val="0039068F"/>
    <w:rsid w:val="00393F91"/>
    <w:rsid w:val="003945CD"/>
    <w:rsid w:val="00395194"/>
    <w:rsid w:val="003954BB"/>
    <w:rsid w:val="003968D0"/>
    <w:rsid w:val="00396D62"/>
    <w:rsid w:val="003A2C7C"/>
    <w:rsid w:val="003A37FB"/>
    <w:rsid w:val="003A3E9B"/>
    <w:rsid w:val="003B1227"/>
    <w:rsid w:val="003B1D65"/>
    <w:rsid w:val="003B260C"/>
    <w:rsid w:val="003B41D9"/>
    <w:rsid w:val="003B5EAA"/>
    <w:rsid w:val="003B6255"/>
    <w:rsid w:val="003B6586"/>
    <w:rsid w:val="003B7531"/>
    <w:rsid w:val="003B7533"/>
    <w:rsid w:val="003C007D"/>
    <w:rsid w:val="003C11E7"/>
    <w:rsid w:val="003C346F"/>
    <w:rsid w:val="003C410A"/>
    <w:rsid w:val="003C69D5"/>
    <w:rsid w:val="003C7D65"/>
    <w:rsid w:val="003C7FA5"/>
    <w:rsid w:val="003D0880"/>
    <w:rsid w:val="003D2718"/>
    <w:rsid w:val="003D5D9A"/>
    <w:rsid w:val="003D76FE"/>
    <w:rsid w:val="003E1708"/>
    <w:rsid w:val="003E4603"/>
    <w:rsid w:val="003E4C2F"/>
    <w:rsid w:val="003E4F91"/>
    <w:rsid w:val="003E6572"/>
    <w:rsid w:val="003E7257"/>
    <w:rsid w:val="003F16B7"/>
    <w:rsid w:val="003F22FD"/>
    <w:rsid w:val="003F2E3D"/>
    <w:rsid w:val="003F5862"/>
    <w:rsid w:val="003F70F9"/>
    <w:rsid w:val="003F71C7"/>
    <w:rsid w:val="003F78E1"/>
    <w:rsid w:val="00400542"/>
    <w:rsid w:val="004022EE"/>
    <w:rsid w:val="0040276B"/>
    <w:rsid w:val="00403293"/>
    <w:rsid w:val="0040477E"/>
    <w:rsid w:val="00404854"/>
    <w:rsid w:val="004070FF"/>
    <w:rsid w:val="004074ED"/>
    <w:rsid w:val="00415AF4"/>
    <w:rsid w:val="00415C7F"/>
    <w:rsid w:val="00417BCD"/>
    <w:rsid w:val="00421171"/>
    <w:rsid w:val="00421D41"/>
    <w:rsid w:val="0042256F"/>
    <w:rsid w:val="00422643"/>
    <w:rsid w:val="0042343E"/>
    <w:rsid w:val="00425BCA"/>
    <w:rsid w:val="004265E8"/>
    <w:rsid w:val="00431C49"/>
    <w:rsid w:val="00432A0E"/>
    <w:rsid w:val="00434598"/>
    <w:rsid w:val="00435C3D"/>
    <w:rsid w:val="00435CE7"/>
    <w:rsid w:val="00440F9E"/>
    <w:rsid w:val="00444C17"/>
    <w:rsid w:val="004463D8"/>
    <w:rsid w:val="0045138C"/>
    <w:rsid w:val="00451C50"/>
    <w:rsid w:val="0045213E"/>
    <w:rsid w:val="00453B66"/>
    <w:rsid w:val="00456E25"/>
    <w:rsid w:val="00460AE1"/>
    <w:rsid w:val="00462BAE"/>
    <w:rsid w:val="00462E93"/>
    <w:rsid w:val="00465060"/>
    <w:rsid w:val="00466090"/>
    <w:rsid w:val="00470896"/>
    <w:rsid w:val="004719C9"/>
    <w:rsid w:val="00471B28"/>
    <w:rsid w:val="004726FE"/>
    <w:rsid w:val="00472929"/>
    <w:rsid w:val="00476BDC"/>
    <w:rsid w:val="00476CDE"/>
    <w:rsid w:val="00477FD7"/>
    <w:rsid w:val="00480644"/>
    <w:rsid w:val="00482418"/>
    <w:rsid w:val="00482535"/>
    <w:rsid w:val="00484A66"/>
    <w:rsid w:val="004856DE"/>
    <w:rsid w:val="00490122"/>
    <w:rsid w:val="00496FC4"/>
    <w:rsid w:val="004B0B5B"/>
    <w:rsid w:val="004B0E52"/>
    <w:rsid w:val="004B0FC5"/>
    <w:rsid w:val="004B2BA8"/>
    <w:rsid w:val="004B50CA"/>
    <w:rsid w:val="004B54B7"/>
    <w:rsid w:val="004B61B3"/>
    <w:rsid w:val="004B77EF"/>
    <w:rsid w:val="004B7F38"/>
    <w:rsid w:val="004C050D"/>
    <w:rsid w:val="004C0B00"/>
    <w:rsid w:val="004C3123"/>
    <w:rsid w:val="004C4CE9"/>
    <w:rsid w:val="004C4D15"/>
    <w:rsid w:val="004C6D4F"/>
    <w:rsid w:val="004C753C"/>
    <w:rsid w:val="004D15E7"/>
    <w:rsid w:val="004D20AF"/>
    <w:rsid w:val="004D2D53"/>
    <w:rsid w:val="004D4FBA"/>
    <w:rsid w:val="004D53C4"/>
    <w:rsid w:val="004D6E58"/>
    <w:rsid w:val="004E2CE4"/>
    <w:rsid w:val="004E3A30"/>
    <w:rsid w:val="004E3D20"/>
    <w:rsid w:val="004E41F9"/>
    <w:rsid w:val="004E51DC"/>
    <w:rsid w:val="004F4554"/>
    <w:rsid w:val="004F529A"/>
    <w:rsid w:val="004F7EDA"/>
    <w:rsid w:val="00504E9F"/>
    <w:rsid w:val="005051F4"/>
    <w:rsid w:val="00506257"/>
    <w:rsid w:val="00506677"/>
    <w:rsid w:val="00506A75"/>
    <w:rsid w:val="005070F1"/>
    <w:rsid w:val="0051043D"/>
    <w:rsid w:val="00510447"/>
    <w:rsid w:val="00510C54"/>
    <w:rsid w:val="0051186D"/>
    <w:rsid w:val="00511CFE"/>
    <w:rsid w:val="00512247"/>
    <w:rsid w:val="005122D0"/>
    <w:rsid w:val="00512DE9"/>
    <w:rsid w:val="00513C42"/>
    <w:rsid w:val="00513E61"/>
    <w:rsid w:val="00514C2F"/>
    <w:rsid w:val="00515EAF"/>
    <w:rsid w:val="00516005"/>
    <w:rsid w:val="00521491"/>
    <w:rsid w:val="00524975"/>
    <w:rsid w:val="0052627E"/>
    <w:rsid w:val="00527379"/>
    <w:rsid w:val="0053051D"/>
    <w:rsid w:val="00531407"/>
    <w:rsid w:val="00531A04"/>
    <w:rsid w:val="00533905"/>
    <w:rsid w:val="00537E19"/>
    <w:rsid w:val="00540AD2"/>
    <w:rsid w:val="005416FD"/>
    <w:rsid w:val="00545026"/>
    <w:rsid w:val="00552D81"/>
    <w:rsid w:val="005566D9"/>
    <w:rsid w:val="005617E8"/>
    <w:rsid w:val="00561CAE"/>
    <w:rsid w:val="00562A8F"/>
    <w:rsid w:val="00563D1F"/>
    <w:rsid w:val="00566D2D"/>
    <w:rsid w:val="005707C9"/>
    <w:rsid w:val="00571359"/>
    <w:rsid w:val="00573594"/>
    <w:rsid w:val="0057622B"/>
    <w:rsid w:val="00576B7D"/>
    <w:rsid w:val="00576C47"/>
    <w:rsid w:val="00576FF2"/>
    <w:rsid w:val="00577152"/>
    <w:rsid w:val="00577D11"/>
    <w:rsid w:val="00580586"/>
    <w:rsid w:val="00580D97"/>
    <w:rsid w:val="0058177F"/>
    <w:rsid w:val="0058252D"/>
    <w:rsid w:val="005842F9"/>
    <w:rsid w:val="00586F76"/>
    <w:rsid w:val="005873F5"/>
    <w:rsid w:val="005878C1"/>
    <w:rsid w:val="00592789"/>
    <w:rsid w:val="0059287C"/>
    <w:rsid w:val="005930DE"/>
    <w:rsid w:val="00593201"/>
    <w:rsid w:val="00597068"/>
    <w:rsid w:val="005A178B"/>
    <w:rsid w:val="005A4EC2"/>
    <w:rsid w:val="005A5E6E"/>
    <w:rsid w:val="005A6D62"/>
    <w:rsid w:val="005B04E4"/>
    <w:rsid w:val="005B05C0"/>
    <w:rsid w:val="005B2A4F"/>
    <w:rsid w:val="005B3CB0"/>
    <w:rsid w:val="005B442E"/>
    <w:rsid w:val="005B50BF"/>
    <w:rsid w:val="005B5984"/>
    <w:rsid w:val="005B6146"/>
    <w:rsid w:val="005C238F"/>
    <w:rsid w:val="005C2DFE"/>
    <w:rsid w:val="005C2E3B"/>
    <w:rsid w:val="005C397C"/>
    <w:rsid w:val="005C4BE6"/>
    <w:rsid w:val="005C4DC3"/>
    <w:rsid w:val="005C6F52"/>
    <w:rsid w:val="005D1CB1"/>
    <w:rsid w:val="005D27DA"/>
    <w:rsid w:val="005D32C5"/>
    <w:rsid w:val="005D3DD7"/>
    <w:rsid w:val="005D61A7"/>
    <w:rsid w:val="005D6B21"/>
    <w:rsid w:val="005D7652"/>
    <w:rsid w:val="005E0B57"/>
    <w:rsid w:val="005E0F05"/>
    <w:rsid w:val="005E27EB"/>
    <w:rsid w:val="005E309A"/>
    <w:rsid w:val="005E3636"/>
    <w:rsid w:val="005E5C0B"/>
    <w:rsid w:val="005E5FEA"/>
    <w:rsid w:val="005E6142"/>
    <w:rsid w:val="005F0987"/>
    <w:rsid w:val="005F1436"/>
    <w:rsid w:val="005F1B25"/>
    <w:rsid w:val="005F474C"/>
    <w:rsid w:val="005F59B7"/>
    <w:rsid w:val="00601509"/>
    <w:rsid w:val="00602005"/>
    <w:rsid w:val="006020C2"/>
    <w:rsid w:val="006023A6"/>
    <w:rsid w:val="006032DE"/>
    <w:rsid w:val="006075ED"/>
    <w:rsid w:val="006078B8"/>
    <w:rsid w:val="006131C4"/>
    <w:rsid w:val="00613482"/>
    <w:rsid w:val="00613545"/>
    <w:rsid w:val="0062150F"/>
    <w:rsid w:val="00621C55"/>
    <w:rsid w:val="00621DBB"/>
    <w:rsid w:val="00622812"/>
    <w:rsid w:val="00624EC6"/>
    <w:rsid w:val="006326DF"/>
    <w:rsid w:val="00633AB3"/>
    <w:rsid w:val="00636CB7"/>
    <w:rsid w:val="00642F96"/>
    <w:rsid w:val="00647781"/>
    <w:rsid w:val="006516E3"/>
    <w:rsid w:val="0066200A"/>
    <w:rsid w:val="00664F76"/>
    <w:rsid w:val="00670A46"/>
    <w:rsid w:val="00670D56"/>
    <w:rsid w:val="00671072"/>
    <w:rsid w:val="00672443"/>
    <w:rsid w:val="00674C01"/>
    <w:rsid w:val="0067536C"/>
    <w:rsid w:val="00676653"/>
    <w:rsid w:val="006810F0"/>
    <w:rsid w:val="006833EF"/>
    <w:rsid w:val="006842A6"/>
    <w:rsid w:val="00684AEF"/>
    <w:rsid w:val="00685404"/>
    <w:rsid w:val="006865FF"/>
    <w:rsid w:val="00690407"/>
    <w:rsid w:val="00691ADD"/>
    <w:rsid w:val="00691B4A"/>
    <w:rsid w:val="006927E6"/>
    <w:rsid w:val="00692EEF"/>
    <w:rsid w:val="006932DB"/>
    <w:rsid w:val="00695EF4"/>
    <w:rsid w:val="006A139B"/>
    <w:rsid w:val="006A6753"/>
    <w:rsid w:val="006B28F0"/>
    <w:rsid w:val="006B3301"/>
    <w:rsid w:val="006B394B"/>
    <w:rsid w:val="006B3BF5"/>
    <w:rsid w:val="006B4046"/>
    <w:rsid w:val="006C13F3"/>
    <w:rsid w:val="006C4F7B"/>
    <w:rsid w:val="006C562B"/>
    <w:rsid w:val="006C62F3"/>
    <w:rsid w:val="006C6BE6"/>
    <w:rsid w:val="006C7993"/>
    <w:rsid w:val="006D031E"/>
    <w:rsid w:val="006D1E78"/>
    <w:rsid w:val="006D49F4"/>
    <w:rsid w:val="006D5C08"/>
    <w:rsid w:val="006D7216"/>
    <w:rsid w:val="006D75A8"/>
    <w:rsid w:val="006E1C67"/>
    <w:rsid w:val="006E681D"/>
    <w:rsid w:val="006F12DB"/>
    <w:rsid w:val="006F2562"/>
    <w:rsid w:val="006F350B"/>
    <w:rsid w:val="006F474D"/>
    <w:rsid w:val="006F5F26"/>
    <w:rsid w:val="006F66A9"/>
    <w:rsid w:val="006F6B16"/>
    <w:rsid w:val="006F6F2E"/>
    <w:rsid w:val="00702B3A"/>
    <w:rsid w:val="00702EC1"/>
    <w:rsid w:val="00703592"/>
    <w:rsid w:val="00704751"/>
    <w:rsid w:val="00704AB1"/>
    <w:rsid w:val="00704ED2"/>
    <w:rsid w:val="00705FA3"/>
    <w:rsid w:val="007074B0"/>
    <w:rsid w:val="00711151"/>
    <w:rsid w:val="00712128"/>
    <w:rsid w:val="0071513E"/>
    <w:rsid w:val="00730DE7"/>
    <w:rsid w:val="00732A8F"/>
    <w:rsid w:val="007336A5"/>
    <w:rsid w:val="00735EE6"/>
    <w:rsid w:val="00740D37"/>
    <w:rsid w:val="007465AF"/>
    <w:rsid w:val="00746A55"/>
    <w:rsid w:val="00750483"/>
    <w:rsid w:val="007506FC"/>
    <w:rsid w:val="00750B05"/>
    <w:rsid w:val="0075278C"/>
    <w:rsid w:val="00756734"/>
    <w:rsid w:val="00757394"/>
    <w:rsid w:val="0076143B"/>
    <w:rsid w:val="007628FC"/>
    <w:rsid w:val="0076482B"/>
    <w:rsid w:val="00767976"/>
    <w:rsid w:val="007715CF"/>
    <w:rsid w:val="0077269D"/>
    <w:rsid w:val="00773A58"/>
    <w:rsid w:val="00774153"/>
    <w:rsid w:val="00774AC2"/>
    <w:rsid w:val="00775D0C"/>
    <w:rsid w:val="00776E1B"/>
    <w:rsid w:val="00777E4E"/>
    <w:rsid w:val="00784563"/>
    <w:rsid w:val="007907D3"/>
    <w:rsid w:val="0079161E"/>
    <w:rsid w:val="00797224"/>
    <w:rsid w:val="007A201A"/>
    <w:rsid w:val="007A5E66"/>
    <w:rsid w:val="007B11DB"/>
    <w:rsid w:val="007B1987"/>
    <w:rsid w:val="007B1B5B"/>
    <w:rsid w:val="007B5320"/>
    <w:rsid w:val="007B56F6"/>
    <w:rsid w:val="007C3FB0"/>
    <w:rsid w:val="007D19BF"/>
    <w:rsid w:val="007D247D"/>
    <w:rsid w:val="007D335D"/>
    <w:rsid w:val="007D482F"/>
    <w:rsid w:val="007D4E8F"/>
    <w:rsid w:val="007D72D8"/>
    <w:rsid w:val="007D7747"/>
    <w:rsid w:val="007D7B95"/>
    <w:rsid w:val="007E15F1"/>
    <w:rsid w:val="007E38A7"/>
    <w:rsid w:val="007E5D7E"/>
    <w:rsid w:val="007E5F0E"/>
    <w:rsid w:val="007E6058"/>
    <w:rsid w:val="007E68BA"/>
    <w:rsid w:val="007E70A7"/>
    <w:rsid w:val="007E763C"/>
    <w:rsid w:val="007E7C38"/>
    <w:rsid w:val="007F1050"/>
    <w:rsid w:val="007F1DE1"/>
    <w:rsid w:val="007F330B"/>
    <w:rsid w:val="007F38F5"/>
    <w:rsid w:val="007F3B6B"/>
    <w:rsid w:val="007F6145"/>
    <w:rsid w:val="007F695B"/>
    <w:rsid w:val="00803C6B"/>
    <w:rsid w:val="0080658D"/>
    <w:rsid w:val="0081398A"/>
    <w:rsid w:val="008141BE"/>
    <w:rsid w:val="00815F61"/>
    <w:rsid w:val="00817198"/>
    <w:rsid w:val="00817C11"/>
    <w:rsid w:val="00825BF7"/>
    <w:rsid w:val="008260AD"/>
    <w:rsid w:val="00831D4F"/>
    <w:rsid w:val="00832535"/>
    <w:rsid w:val="008460DF"/>
    <w:rsid w:val="00846624"/>
    <w:rsid w:val="0084665B"/>
    <w:rsid w:val="00847661"/>
    <w:rsid w:val="008479B0"/>
    <w:rsid w:val="0085030D"/>
    <w:rsid w:val="0085059E"/>
    <w:rsid w:val="0085143C"/>
    <w:rsid w:val="00851AC3"/>
    <w:rsid w:val="00857116"/>
    <w:rsid w:val="00860F25"/>
    <w:rsid w:val="00861E6F"/>
    <w:rsid w:val="008657AA"/>
    <w:rsid w:val="00866E2A"/>
    <w:rsid w:val="008679B6"/>
    <w:rsid w:val="00877430"/>
    <w:rsid w:val="008777BE"/>
    <w:rsid w:val="00877BFC"/>
    <w:rsid w:val="00880383"/>
    <w:rsid w:val="008818C2"/>
    <w:rsid w:val="00886E26"/>
    <w:rsid w:val="00890BC2"/>
    <w:rsid w:val="00893799"/>
    <w:rsid w:val="00896ABA"/>
    <w:rsid w:val="008A0DF5"/>
    <w:rsid w:val="008A3045"/>
    <w:rsid w:val="008A3648"/>
    <w:rsid w:val="008A61A5"/>
    <w:rsid w:val="008A7536"/>
    <w:rsid w:val="008B2D36"/>
    <w:rsid w:val="008B3579"/>
    <w:rsid w:val="008B533C"/>
    <w:rsid w:val="008C051D"/>
    <w:rsid w:val="008C1F1C"/>
    <w:rsid w:val="008D1342"/>
    <w:rsid w:val="008D6024"/>
    <w:rsid w:val="008D7C01"/>
    <w:rsid w:val="008E29A8"/>
    <w:rsid w:val="008E29DA"/>
    <w:rsid w:val="008E5812"/>
    <w:rsid w:val="008E6C96"/>
    <w:rsid w:val="008F0C3F"/>
    <w:rsid w:val="008F1AC7"/>
    <w:rsid w:val="008F514C"/>
    <w:rsid w:val="00900CA3"/>
    <w:rsid w:val="009014A0"/>
    <w:rsid w:val="0090204A"/>
    <w:rsid w:val="00902C2B"/>
    <w:rsid w:val="009037FC"/>
    <w:rsid w:val="009104E3"/>
    <w:rsid w:val="00911698"/>
    <w:rsid w:val="00916092"/>
    <w:rsid w:val="009216AE"/>
    <w:rsid w:val="00921C45"/>
    <w:rsid w:val="00922331"/>
    <w:rsid w:val="009235C5"/>
    <w:rsid w:val="009268F6"/>
    <w:rsid w:val="0092744D"/>
    <w:rsid w:val="009275D2"/>
    <w:rsid w:val="00927707"/>
    <w:rsid w:val="0093190C"/>
    <w:rsid w:val="00931E5C"/>
    <w:rsid w:val="00933AC5"/>
    <w:rsid w:val="0093467A"/>
    <w:rsid w:val="00935FC5"/>
    <w:rsid w:val="00937F4A"/>
    <w:rsid w:val="0094093C"/>
    <w:rsid w:val="00941A21"/>
    <w:rsid w:val="00943471"/>
    <w:rsid w:val="00945FB6"/>
    <w:rsid w:val="00950728"/>
    <w:rsid w:val="00951928"/>
    <w:rsid w:val="00951FAF"/>
    <w:rsid w:val="00952740"/>
    <w:rsid w:val="00952771"/>
    <w:rsid w:val="00952DF0"/>
    <w:rsid w:val="00960218"/>
    <w:rsid w:val="00960952"/>
    <w:rsid w:val="00962D0F"/>
    <w:rsid w:val="00967DE3"/>
    <w:rsid w:val="00970492"/>
    <w:rsid w:val="009713D5"/>
    <w:rsid w:val="00971DD1"/>
    <w:rsid w:val="0097292E"/>
    <w:rsid w:val="00974630"/>
    <w:rsid w:val="00976ED9"/>
    <w:rsid w:val="00977045"/>
    <w:rsid w:val="0097728B"/>
    <w:rsid w:val="009776D1"/>
    <w:rsid w:val="00980688"/>
    <w:rsid w:val="00983D4C"/>
    <w:rsid w:val="00984B31"/>
    <w:rsid w:val="00986542"/>
    <w:rsid w:val="009910DE"/>
    <w:rsid w:val="009921AE"/>
    <w:rsid w:val="00992A0B"/>
    <w:rsid w:val="00993B71"/>
    <w:rsid w:val="009A2571"/>
    <w:rsid w:val="009A27A5"/>
    <w:rsid w:val="009B020E"/>
    <w:rsid w:val="009B5909"/>
    <w:rsid w:val="009B70FD"/>
    <w:rsid w:val="009B74CB"/>
    <w:rsid w:val="009B7776"/>
    <w:rsid w:val="009C2527"/>
    <w:rsid w:val="009C4070"/>
    <w:rsid w:val="009C60BA"/>
    <w:rsid w:val="009C787F"/>
    <w:rsid w:val="009D0F4D"/>
    <w:rsid w:val="009D191B"/>
    <w:rsid w:val="009D1DAA"/>
    <w:rsid w:val="009D2D01"/>
    <w:rsid w:val="009D3091"/>
    <w:rsid w:val="009D77D2"/>
    <w:rsid w:val="009E095E"/>
    <w:rsid w:val="009E1F5A"/>
    <w:rsid w:val="009E488A"/>
    <w:rsid w:val="009E71A4"/>
    <w:rsid w:val="009F1BA2"/>
    <w:rsid w:val="009F3DA0"/>
    <w:rsid w:val="009F3F97"/>
    <w:rsid w:val="009F6457"/>
    <w:rsid w:val="00A017D5"/>
    <w:rsid w:val="00A02C10"/>
    <w:rsid w:val="00A03A3F"/>
    <w:rsid w:val="00A04ABF"/>
    <w:rsid w:val="00A07595"/>
    <w:rsid w:val="00A10BA9"/>
    <w:rsid w:val="00A11720"/>
    <w:rsid w:val="00A1482F"/>
    <w:rsid w:val="00A16DE9"/>
    <w:rsid w:val="00A17F78"/>
    <w:rsid w:val="00A216CB"/>
    <w:rsid w:val="00A250BE"/>
    <w:rsid w:val="00A30001"/>
    <w:rsid w:val="00A31B1A"/>
    <w:rsid w:val="00A35FD1"/>
    <w:rsid w:val="00A3777C"/>
    <w:rsid w:val="00A37C6B"/>
    <w:rsid w:val="00A40CFE"/>
    <w:rsid w:val="00A41469"/>
    <w:rsid w:val="00A44CBA"/>
    <w:rsid w:val="00A45361"/>
    <w:rsid w:val="00A47092"/>
    <w:rsid w:val="00A50502"/>
    <w:rsid w:val="00A52A01"/>
    <w:rsid w:val="00A53893"/>
    <w:rsid w:val="00A5461C"/>
    <w:rsid w:val="00A55BCA"/>
    <w:rsid w:val="00A55F68"/>
    <w:rsid w:val="00A561DF"/>
    <w:rsid w:val="00A70DBD"/>
    <w:rsid w:val="00A70FFE"/>
    <w:rsid w:val="00A71374"/>
    <w:rsid w:val="00A71919"/>
    <w:rsid w:val="00A7253E"/>
    <w:rsid w:val="00A72615"/>
    <w:rsid w:val="00A73568"/>
    <w:rsid w:val="00A7542F"/>
    <w:rsid w:val="00A75A39"/>
    <w:rsid w:val="00A75ACA"/>
    <w:rsid w:val="00A76845"/>
    <w:rsid w:val="00A776C5"/>
    <w:rsid w:val="00A811F4"/>
    <w:rsid w:val="00A84785"/>
    <w:rsid w:val="00A84A13"/>
    <w:rsid w:val="00A858B3"/>
    <w:rsid w:val="00A8697A"/>
    <w:rsid w:val="00A86E3E"/>
    <w:rsid w:val="00A871E4"/>
    <w:rsid w:val="00A901AE"/>
    <w:rsid w:val="00A90A36"/>
    <w:rsid w:val="00A923C1"/>
    <w:rsid w:val="00A925C9"/>
    <w:rsid w:val="00A94B0F"/>
    <w:rsid w:val="00A9524D"/>
    <w:rsid w:val="00A95A89"/>
    <w:rsid w:val="00A95F0B"/>
    <w:rsid w:val="00A97EE9"/>
    <w:rsid w:val="00AA225A"/>
    <w:rsid w:val="00AA437F"/>
    <w:rsid w:val="00AB060B"/>
    <w:rsid w:val="00AB6550"/>
    <w:rsid w:val="00AB7BDF"/>
    <w:rsid w:val="00AC16E1"/>
    <w:rsid w:val="00AC27F4"/>
    <w:rsid w:val="00AC38BF"/>
    <w:rsid w:val="00AC38C1"/>
    <w:rsid w:val="00AC57F0"/>
    <w:rsid w:val="00AD0DE9"/>
    <w:rsid w:val="00AD1416"/>
    <w:rsid w:val="00AD5BE1"/>
    <w:rsid w:val="00AE1EE5"/>
    <w:rsid w:val="00AE2ACA"/>
    <w:rsid w:val="00AE2EC8"/>
    <w:rsid w:val="00AE3E84"/>
    <w:rsid w:val="00AE5B91"/>
    <w:rsid w:val="00AE65BF"/>
    <w:rsid w:val="00AE6D71"/>
    <w:rsid w:val="00AF592E"/>
    <w:rsid w:val="00B006A5"/>
    <w:rsid w:val="00B00976"/>
    <w:rsid w:val="00B01302"/>
    <w:rsid w:val="00B0293B"/>
    <w:rsid w:val="00B034A1"/>
    <w:rsid w:val="00B13A1F"/>
    <w:rsid w:val="00B17455"/>
    <w:rsid w:val="00B21903"/>
    <w:rsid w:val="00B21BB6"/>
    <w:rsid w:val="00B21D90"/>
    <w:rsid w:val="00B244F7"/>
    <w:rsid w:val="00B250AB"/>
    <w:rsid w:val="00B35B44"/>
    <w:rsid w:val="00B35E6D"/>
    <w:rsid w:val="00B37B1E"/>
    <w:rsid w:val="00B37B6C"/>
    <w:rsid w:val="00B41451"/>
    <w:rsid w:val="00B43866"/>
    <w:rsid w:val="00B45656"/>
    <w:rsid w:val="00B5233B"/>
    <w:rsid w:val="00B53A9F"/>
    <w:rsid w:val="00B55BB2"/>
    <w:rsid w:val="00B55F9F"/>
    <w:rsid w:val="00B575CF"/>
    <w:rsid w:val="00B60928"/>
    <w:rsid w:val="00B60B0E"/>
    <w:rsid w:val="00B62468"/>
    <w:rsid w:val="00B63A65"/>
    <w:rsid w:val="00B63A95"/>
    <w:rsid w:val="00B65CAA"/>
    <w:rsid w:val="00B701DF"/>
    <w:rsid w:val="00B73031"/>
    <w:rsid w:val="00B7396F"/>
    <w:rsid w:val="00B73DD4"/>
    <w:rsid w:val="00B76656"/>
    <w:rsid w:val="00B76FEC"/>
    <w:rsid w:val="00B87369"/>
    <w:rsid w:val="00B8755A"/>
    <w:rsid w:val="00B8772C"/>
    <w:rsid w:val="00B9050B"/>
    <w:rsid w:val="00B94BCE"/>
    <w:rsid w:val="00B955F8"/>
    <w:rsid w:val="00B96B77"/>
    <w:rsid w:val="00BA02B1"/>
    <w:rsid w:val="00BA3829"/>
    <w:rsid w:val="00BA5070"/>
    <w:rsid w:val="00BA6788"/>
    <w:rsid w:val="00BA6B66"/>
    <w:rsid w:val="00BA74FE"/>
    <w:rsid w:val="00BB0B31"/>
    <w:rsid w:val="00BB1ED4"/>
    <w:rsid w:val="00BB4016"/>
    <w:rsid w:val="00BB51A2"/>
    <w:rsid w:val="00BB565D"/>
    <w:rsid w:val="00BB62F6"/>
    <w:rsid w:val="00BB7EFA"/>
    <w:rsid w:val="00BC13D2"/>
    <w:rsid w:val="00BC1C68"/>
    <w:rsid w:val="00BC1CBB"/>
    <w:rsid w:val="00BC3915"/>
    <w:rsid w:val="00BC3F0A"/>
    <w:rsid w:val="00BC59AB"/>
    <w:rsid w:val="00BC6615"/>
    <w:rsid w:val="00BC6CC5"/>
    <w:rsid w:val="00BC6E45"/>
    <w:rsid w:val="00BC7C74"/>
    <w:rsid w:val="00BD2510"/>
    <w:rsid w:val="00BD5A2C"/>
    <w:rsid w:val="00BD7A02"/>
    <w:rsid w:val="00BE015C"/>
    <w:rsid w:val="00BE2873"/>
    <w:rsid w:val="00BE7A9F"/>
    <w:rsid w:val="00BF00E2"/>
    <w:rsid w:val="00BF1477"/>
    <w:rsid w:val="00BF64CF"/>
    <w:rsid w:val="00C00053"/>
    <w:rsid w:val="00C000F0"/>
    <w:rsid w:val="00C06138"/>
    <w:rsid w:val="00C0627B"/>
    <w:rsid w:val="00C06D9C"/>
    <w:rsid w:val="00C07A81"/>
    <w:rsid w:val="00C10180"/>
    <w:rsid w:val="00C11251"/>
    <w:rsid w:val="00C13B0A"/>
    <w:rsid w:val="00C13D00"/>
    <w:rsid w:val="00C156F3"/>
    <w:rsid w:val="00C167C2"/>
    <w:rsid w:val="00C23D26"/>
    <w:rsid w:val="00C24668"/>
    <w:rsid w:val="00C26C0A"/>
    <w:rsid w:val="00C3087F"/>
    <w:rsid w:val="00C30A4D"/>
    <w:rsid w:val="00C35A69"/>
    <w:rsid w:val="00C36A68"/>
    <w:rsid w:val="00C44B3D"/>
    <w:rsid w:val="00C44D2E"/>
    <w:rsid w:val="00C467B2"/>
    <w:rsid w:val="00C53490"/>
    <w:rsid w:val="00C53C77"/>
    <w:rsid w:val="00C55759"/>
    <w:rsid w:val="00C62BB4"/>
    <w:rsid w:val="00C67591"/>
    <w:rsid w:val="00C7337B"/>
    <w:rsid w:val="00C75B62"/>
    <w:rsid w:val="00C802BD"/>
    <w:rsid w:val="00C80A4D"/>
    <w:rsid w:val="00C83002"/>
    <w:rsid w:val="00C845E6"/>
    <w:rsid w:val="00C86BD6"/>
    <w:rsid w:val="00C91706"/>
    <w:rsid w:val="00C92311"/>
    <w:rsid w:val="00C93596"/>
    <w:rsid w:val="00C93D4E"/>
    <w:rsid w:val="00C96736"/>
    <w:rsid w:val="00C96F6D"/>
    <w:rsid w:val="00C972F7"/>
    <w:rsid w:val="00CA64A8"/>
    <w:rsid w:val="00CA6DB4"/>
    <w:rsid w:val="00CA7145"/>
    <w:rsid w:val="00CB0D18"/>
    <w:rsid w:val="00CB222C"/>
    <w:rsid w:val="00CB5B68"/>
    <w:rsid w:val="00CC0293"/>
    <w:rsid w:val="00CC0451"/>
    <w:rsid w:val="00CC4278"/>
    <w:rsid w:val="00CC56DC"/>
    <w:rsid w:val="00CD0188"/>
    <w:rsid w:val="00CD0652"/>
    <w:rsid w:val="00CE4C11"/>
    <w:rsid w:val="00CF3071"/>
    <w:rsid w:val="00CF4860"/>
    <w:rsid w:val="00D002BC"/>
    <w:rsid w:val="00D01BF0"/>
    <w:rsid w:val="00D070E4"/>
    <w:rsid w:val="00D078EC"/>
    <w:rsid w:val="00D11CD3"/>
    <w:rsid w:val="00D12291"/>
    <w:rsid w:val="00D13D7C"/>
    <w:rsid w:val="00D14014"/>
    <w:rsid w:val="00D22325"/>
    <w:rsid w:val="00D238F2"/>
    <w:rsid w:val="00D303D3"/>
    <w:rsid w:val="00D3233E"/>
    <w:rsid w:val="00D3339C"/>
    <w:rsid w:val="00D35251"/>
    <w:rsid w:val="00D35677"/>
    <w:rsid w:val="00D37057"/>
    <w:rsid w:val="00D403E0"/>
    <w:rsid w:val="00D410E2"/>
    <w:rsid w:val="00D43631"/>
    <w:rsid w:val="00D44A93"/>
    <w:rsid w:val="00D461C2"/>
    <w:rsid w:val="00D51917"/>
    <w:rsid w:val="00D51ABC"/>
    <w:rsid w:val="00D56321"/>
    <w:rsid w:val="00D564D0"/>
    <w:rsid w:val="00D56B8E"/>
    <w:rsid w:val="00D573BE"/>
    <w:rsid w:val="00D60087"/>
    <w:rsid w:val="00D624E9"/>
    <w:rsid w:val="00D627AE"/>
    <w:rsid w:val="00D669E5"/>
    <w:rsid w:val="00D67092"/>
    <w:rsid w:val="00D711CF"/>
    <w:rsid w:val="00D73FB7"/>
    <w:rsid w:val="00D747FB"/>
    <w:rsid w:val="00D7494E"/>
    <w:rsid w:val="00D74A50"/>
    <w:rsid w:val="00D757A0"/>
    <w:rsid w:val="00D767B5"/>
    <w:rsid w:val="00D82109"/>
    <w:rsid w:val="00D85ADC"/>
    <w:rsid w:val="00D904C1"/>
    <w:rsid w:val="00D90966"/>
    <w:rsid w:val="00D92CF3"/>
    <w:rsid w:val="00D9336B"/>
    <w:rsid w:val="00D9429C"/>
    <w:rsid w:val="00D9525D"/>
    <w:rsid w:val="00D952BD"/>
    <w:rsid w:val="00DA0F94"/>
    <w:rsid w:val="00DA1F89"/>
    <w:rsid w:val="00DA487A"/>
    <w:rsid w:val="00DA4E8A"/>
    <w:rsid w:val="00DA5496"/>
    <w:rsid w:val="00DA6036"/>
    <w:rsid w:val="00DB0C29"/>
    <w:rsid w:val="00DB2F54"/>
    <w:rsid w:val="00DB4B65"/>
    <w:rsid w:val="00DB5827"/>
    <w:rsid w:val="00DB5904"/>
    <w:rsid w:val="00DB5EE6"/>
    <w:rsid w:val="00DB7B2B"/>
    <w:rsid w:val="00DB7D86"/>
    <w:rsid w:val="00DC0AC9"/>
    <w:rsid w:val="00DC1C55"/>
    <w:rsid w:val="00DC1EC8"/>
    <w:rsid w:val="00DC4CDD"/>
    <w:rsid w:val="00DC5175"/>
    <w:rsid w:val="00DC6322"/>
    <w:rsid w:val="00DC6532"/>
    <w:rsid w:val="00DC774C"/>
    <w:rsid w:val="00DD3842"/>
    <w:rsid w:val="00DD487F"/>
    <w:rsid w:val="00DE1DD8"/>
    <w:rsid w:val="00DE2A58"/>
    <w:rsid w:val="00DE579B"/>
    <w:rsid w:val="00DE5DE8"/>
    <w:rsid w:val="00DE62D1"/>
    <w:rsid w:val="00DE70C7"/>
    <w:rsid w:val="00DF46A5"/>
    <w:rsid w:val="00DF60B8"/>
    <w:rsid w:val="00DF7D4D"/>
    <w:rsid w:val="00E0163C"/>
    <w:rsid w:val="00E0409B"/>
    <w:rsid w:val="00E068A6"/>
    <w:rsid w:val="00E1026B"/>
    <w:rsid w:val="00E10DE1"/>
    <w:rsid w:val="00E10E6F"/>
    <w:rsid w:val="00E11F29"/>
    <w:rsid w:val="00E13CAD"/>
    <w:rsid w:val="00E14E26"/>
    <w:rsid w:val="00E1512E"/>
    <w:rsid w:val="00E159A4"/>
    <w:rsid w:val="00E15D6A"/>
    <w:rsid w:val="00E178BA"/>
    <w:rsid w:val="00E2096D"/>
    <w:rsid w:val="00E2432E"/>
    <w:rsid w:val="00E300E9"/>
    <w:rsid w:val="00E34BF7"/>
    <w:rsid w:val="00E34D01"/>
    <w:rsid w:val="00E34F3F"/>
    <w:rsid w:val="00E40101"/>
    <w:rsid w:val="00E44627"/>
    <w:rsid w:val="00E450AA"/>
    <w:rsid w:val="00E45327"/>
    <w:rsid w:val="00E5048F"/>
    <w:rsid w:val="00E5059C"/>
    <w:rsid w:val="00E514E8"/>
    <w:rsid w:val="00E515FA"/>
    <w:rsid w:val="00E51CE1"/>
    <w:rsid w:val="00E5221D"/>
    <w:rsid w:val="00E544E9"/>
    <w:rsid w:val="00E5547B"/>
    <w:rsid w:val="00E62C3C"/>
    <w:rsid w:val="00E6324E"/>
    <w:rsid w:val="00E664E0"/>
    <w:rsid w:val="00E70F28"/>
    <w:rsid w:val="00E71B14"/>
    <w:rsid w:val="00E72706"/>
    <w:rsid w:val="00E82DD9"/>
    <w:rsid w:val="00E830D2"/>
    <w:rsid w:val="00E86748"/>
    <w:rsid w:val="00E91D5A"/>
    <w:rsid w:val="00E9686A"/>
    <w:rsid w:val="00E96F85"/>
    <w:rsid w:val="00E97330"/>
    <w:rsid w:val="00E97465"/>
    <w:rsid w:val="00E978CD"/>
    <w:rsid w:val="00EA004C"/>
    <w:rsid w:val="00EA1A8B"/>
    <w:rsid w:val="00EA1CA7"/>
    <w:rsid w:val="00EA1E77"/>
    <w:rsid w:val="00EA4738"/>
    <w:rsid w:val="00EA6FBE"/>
    <w:rsid w:val="00EB0B12"/>
    <w:rsid w:val="00EB3763"/>
    <w:rsid w:val="00EC0F8E"/>
    <w:rsid w:val="00EC2B88"/>
    <w:rsid w:val="00EC4C62"/>
    <w:rsid w:val="00EC59BB"/>
    <w:rsid w:val="00EC634A"/>
    <w:rsid w:val="00ED1BB8"/>
    <w:rsid w:val="00ED6515"/>
    <w:rsid w:val="00ED7FD1"/>
    <w:rsid w:val="00EE0B0E"/>
    <w:rsid w:val="00EE412A"/>
    <w:rsid w:val="00EE53D7"/>
    <w:rsid w:val="00EE595E"/>
    <w:rsid w:val="00EE59E7"/>
    <w:rsid w:val="00EE5CCC"/>
    <w:rsid w:val="00EF0C87"/>
    <w:rsid w:val="00EF235C"/>
    <w:rsid w:val="00EF4D8A"/>
    <w:rsid w:val="00EF6C61"/>
    <w:rsid w:val="00EF79FE"/>
    <w:rsid w:val="00F03DA7"/>
    <w:rsid w:val="00F0570E"/>
    <w:rsid w:val="00F072DF"/>
    <w:rsid w:val="00F073C2"/>
    <w:rsid w:val="00F13AB7"/>
    <w:rsid w:val="00F14091"/>
    <w:rsid w:val="00F15035"/>
    <w:rsid w:val="00F15509"/>
    <w:rsid w:val="00F15A77"/>
    <w:rsid w:val="00F164F6"/>
    <w:rsid w:val="00F207E5"/>
    <w:rsid w:val="00F2131F"/>
    <w:rsid w:val="00F23052"/>
    <w:rsid w:val="00F230EE"/>
    <w:rsid w:val="00F233A1"/>
    <w:rsid w:val="00F24A2D"/>
    <w:rsid w:val="00F2553C"/>
    <w:rsid w:val="00F30D89"/>
    <w:rsid w:val="00F31B04"/>
    <w:rsid w:val="00F32E8F"/>
    <w:rsid w:val="00F345A5"/>
    <w:rsid w:val="00F36224"/>
    <w:rsid w:val="00F36DC0"/>
    <w:rsid w:val="00F36DCE"/>
    <w:rsid w:val="00F42063"/>
    <w:rsid w:val="00F4263D"/>
    <w:rsid w:val="00F434EF"/>
    <w:rsid w:val="00F44D3A"/>
    <w:rsid w:val="00F4534A"/>
    <w:rsid w:val="00F47713"/>
    <w:rsid w:val="00F47960"/>
    <w:rsid w:val="00F50671"/>
    <w:rsid w:val="00F5080F"/>
    <w:rsid w:val="00F511CB"/>
    <w:rsid w:val="00F514EC"/>
    <w:rsid w:val="00F648AC"/>
    <w:rsid w:val="00F7030D"/>
    <w:rsid w:val="00F71534"/>
    <w:rsid w:val="00F715E3"/>
    <w:rsid w:val="00F72209"/>
    <w:rsid w:val="00F72757"/>
    <w:rsid w:val="00F76D3C"/>
    <w:rsid w:val="00F81AA7"/>
    <w:rsid w:val="00F82DFF"/>
    <w:rsid w:val="00F859EE"/>
    <w:rsid w:val="00F866D4"/>
    <w:rsid w:val="00F87217"/>
    <w:rsid w:val="00F91558"/>
    <w:rsid w:val="00F94D2C"/>
    <w:rsid w:val="00FA024C"/>
    <w:rsid w:val="00FA2669"/>
    <w:rsid w:val="00FA31F0"/>
    <w:rsid w:val="00FA6A92"/>
    <w:rsid w:val="00FB11CC"/>
    <w:rsid w:val="00FB3590"/>
    <w:rsid w:val="00FB3DAF"/>
    <w:rsid w:val="00FB539B"/>
    <w:rsid w:val="00FB6858"/>
    <w:rsid w:val="00FB768C"/>
    <w:rsid w:val="00FC0EB6"/>
    <w:rsid w:val="00FC0FB9"/>
    <w:rsid w:val="00FC4803"/>
    <w:rsid w:val="00FC6385"/>
    <w:rsid w:val="00FC6C6C"/>
    <w:rsid w:val="00FC6F55"/>
    <w:rsid w:val="00FD1A49"/>
    <w:rsid w:val="00FD3314"/>
    <w:rsid w:val="00FD4DD0"/>
    <w:rsid w:val="00FD7028"/>
    <w:rsid w:val="00FD77E7"/>
    <w:rsid w:val="00FE018E"/>
    <w:rsid w:val="00FE39DD"/>
    <w:rsid w:val="00FE3B4D"/>
    <w:rsid w:val="00FE6959"/>
    <w:rsid w:val="00FE7107"/>
    <w:rsid w:val="00FE7233"/>
    <w:rsid w:val="00FE7299"/>
    <w:rsid w:val="00FF01AF"/>
    <w:rsid w:val="00FF1D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C7CB4"/>
  <w15:chartTrackingRefBased/>
  <w15:docId w15:val="{2071646B-50F3-4223-91B2-714065CE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572"/>
  </w:style>
  <w:style w:type="paragraph" w:styleId="Footer">
    <w:name w:val="footer"/>
    <w:basedOn w:val="Normal"/>
    <w:link w:val="FooterChar"/>
    <w:uiPriority w:val="99"/>
    <w:unhideWhenUsed/>
    <w:rsid w:val="003E6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572"/>
  </w:style>
  <w:style w:type="paragraph" w:styleId="BalloonText">
    <w:name w:val="Balloon Text"/>
    <w:basedOn w:val="Normal"/>
    <w:link w:val="BalloonTextChar"/>
    <w:uiPriority w:val="99"/>
    <w:semiHidden/>
    <w:unhideWhenUsed/>
    <w:rsid w:val="00390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50C"/>
    <w:rPr>
      <w:rFonts w:ascii="Segoe UI" w:hAnsi="Segoe UI" w:cs="Segoe UI"/>
      <w:sz w:val="18"/>
      <w:szCs w:val="18"/>
    </w:rPr>
  </w:style>
  <w:style w:type="table" w:styleId="TableGrid">
    <w:name w:val="Table Grid"/>
    <w:basedOn w:val="TableNormal"/>
    <w:uiPriority w:val="39"/>
    <w:rsid w:val="00601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2F3"/>
    <w:pPr>
      <w:spacing w:after="0" w:line="240" w:lineRule="auto"/>
      <w:ind w:left="720"/>
      <w:contextualSpacing/>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EB0B12"/>
    <w:rPr>
      <w:sz w:val="16"/>
      <w:szCs w:val="16"/>
    </w:rPr>
  </w:style>
  <w:style w:type="paragraph" w:styleId="CommentText">
    <w:name w:val="annotation text"/>
    <w:basedOn w:val="Normal"/>
    <w:link w:val="CommentTextChar"/>
    <w:uiPriority w:val="99"/>
    <w:unhideWhenUsed/>
    <w:rsid w:val="00EB0B12"/>
    <w:pPr>
      <w:spacing w:line="240" w:lineRule="auto"/>
    </w:pPr>
    <w:rPr>
      <w:sz w:val="20"/>
      <w:szCs w:val="20"/>
    </w:rPr>
  </w:style>
  <w:style w:type="character" w:customStyle="1" w:styleId="CommentTextChar">
    <w:name w:val="Comment Text Char"/>
    <w:basedOn w:val="DefaultParagraphFont"/>
    <w:link w:val="CommentText"/>
    <w:uiPriority w:val="99"/>
    <w:rsid w:val="00EB0B12"/>
    <w:rPr>
      <w:sz w:val="20"/>
      <w:szCs w:val="20"/>
    </w:rPr>
  </w:style>
  <w:style w:type="paragraph" w:styleId="CommentSubject">
    <w:name w:val="annotation subject"/>
    <w:basedOn w:val="CommentText"/>
    <w:next w:val="CommentText"/>
    <w:link w:val="CommentSubjectChar"/>
    <w:uiPriority w:val="99"/>
    <w:semiHidden/>
    <w:unhideWhenUsed/>
    <w:rsid w:val="00EB0B12"/>
    <w:rPr>
      <w:b/>
      <w:bCs/>
    </w:rPr>
  </w:style>
  <w:style w:type="character" w:customStyle="1" w:styleId="CommentSubjectChar">
    <w:name w:val="Comment Subject Char"/>
    <w:basedOn w:val="CommentTextChar"/>
    <w:link w:val="CommentSubject"/>
    <w:uiPriority w:val="99"/>
    <w:semiHidden/>
    <w:rsid w:val="00EB0B12"/>
    <w:rPr>
      <w:b/>
      <w:bCs/>
      <w:sz w:val="20"/>
      <w:szCs w:val="20"/>
    </w:rPr>
  </w:style>
  <w:style w:type="character" w:customStyle="1" w:styleId="grsslicetext1">
    <w:name w:val="grsslicetext1"/>
    <w:basedOn w:val="DefaultParagraphFont"/>
    <w:rsid w:val="00EB0B12"/>
    <w:rPr>
      <w:color w:val="000000"/>
    </w:rPr>
  </w:style>
  <w:style w:type="paragraph" w:styleId="Revision">
    <w:name w:val="Revision"/>
    <w:hidden/>
    <w:uiPriority w:val="99"/>
    <w:semiHidden/>
    <w:rsid w:val="00382FA6"/>
    <w:pPr>
      <w:spacing w:after="0" w:line="240" w:lineRule="auto"/>
    </w:p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locked/>
    <w:rsid w:val="000725FD"/>
    <w:rPr>
      <w:rFonts w:ascii="Arial" w:eastAsia="Arial" w:hAnsi="Arial" w:cs="Arial"/>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0725FD"/>
    <w:pPr>
      <w:widowControl w:val="0"/>
      <w:shd w:val="clear" w:color="auto" w:fill="FFFFFF"/>
      <w:spacing w:before="220" w:after="120" w:line="212" w:lineRule="exact"/>
    </w:pPr>
    <w:rPr>
      <w:rFonts w:ascii="Arial" w:eastAsia="Arial" w:hAnsi="Arial" w:cs="Arial"/>
      <w:sz w:val="19"/>
      <w:szCs w:val="19"/>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locked/>
    <w:rsid w:val="003564DC"/>
    <w:rPr>
      <w:rFonts w:ascii="Arial" w:eastAsia="Arial" w:hAnsi="Arial" w:cs="Arial"/>
      <w:i/>
      <w:iCs/>
      <w:sz w:val="19"/>
      <w:szCs w:val="19"/>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3564DC"/>
    <w:pPr>
      <w:widowControl w:val="0"/>
      <w:shd w:val="clear" w:color="auto" w:fill="FFFFFF"/>
      <w:spacing w:after="0" w:line="437" w:lineRule="exact"/>
      <w:jc w:val="both"/>
    </w:pPr>
    <w:rPr>
      <w:rFonts w:ascii="Arial" w:eastAsia="Arial" w:hAnsi="Arial" w:cs="Arial"/>
      <w:i/>
      <w:iCs/>
      <w:sz w:val="19"/>
      <w:szCs w:val="19"/>
    </w:rPr>
  </w:style>
  <w:style w:type="character" w:customStyle="1" w:styleId="markedcontent">
    <w:name w:val="markedcontent"/>
    <w:basedOn w:val="DefaultParagraphFont"/>
    <w:rsid w:val="003564DC"/>
  </w:style>
  <w:style w:type="character" w:styleId="Hyperlink">
    <w:name w:val="Hyperlink"/>
    <w:basedOn w:val="DefaultParagraphFont"/>
    <w:uiPriority w:val="99"/>
    <w:unhideWhenUsed/>
    <w:rsid w:val="00111282"/>
    <w:rPr>
      <w:color w:val="0563C1" w:themeColor="hyperlink"/>
      <w:u w:val="single"/>
    </w:rPr>
  </w:style>
  <w:style w:type="paragraph" w:styleId="BodyTextIndent2">
    <w:name w:val="Body Text Indent 2"/>
    <w:basedOn w:val="Normal"/>
    <w:link w:val="BodyTextIndent2Char"/>
    <w:semiHidden/>
    <w:unhideWhenUsed/>
    <w:rsid w:val="00340C61"/>
    <w:pPr>
      <w:widowControl w:val="0"/>
      <w:tabs>
        <w:tab w:val="left" w:pos="567"/>
      </w:tabs>
      <w:spacing w:after="0" w:line="240" w:lineRule="auto"/>
      <w:ind w:left="567"/>
      <w:jc w:val="both"/>
    </w:pPr>
    <w:rPr>
      <w:rFonts w:ascii="Arial" w:eastAsia="Times New Roman" w:hAnsi="Arial" w:cs="Times New Roman"/>
      <w:color w:val="FF0000"/>
      <w:sz w:val="20"/>
      <w:szCs w:val="20"/>
      <w:lang w:val="es-ES_tradnl" w:eastAsia="es-ES"/>
    </w:rPr>
  </w:style>
  <w:style w:type="character" w:customStyle="1" w:styleId="BodyTextIndent2Char">
    <w:name w:val="Body Text Indent 2 Char"/>
    <w:basedOn w:val="DefaultParagraphFont"/>
    <w:link w:val="BodyTextIndent2"/>
    <w:semiHidden/>
    <w:rsid w:val="00340C61"/>
    <w:rPr>
      <w:rFonts w:ascii="Arial" w:eastAsia="Times New Roman" w:hAnsi="Arial" w:cs="Times New Roman"/>
      <w:color w:val="FF0000"/>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2793">
      <w:bodyDiv w:val="1"/>
      <w:marLeft w:val="0"/>
      <w:marRight w:val="0"/>
      <w:marTop w:val="0"/>
      <w:marBottom w:val="0"/>
      <w:divBdr>
        <w:top w:val="none" w:sz="0" w:space="0" w:color="auto"/>
        <w:left w:val="none" w:sz="0" w:space="0" w:color="auto"/>
        <w:bottom w:val="none" w:sz="0" w:space="0" w:color="auto"/>
        <w:right w:val="none" w:sz="0" w:space="0" w:color="auto"/>
      </w:divBdr>
    </w:div>
    <w:div w:id="59980993">
      <w:bodyDiv w:val="1"/>
      <w:marLeft w:val="0"/>
      <w:marRight w:val="0"/>
      <w:marTop w:val="0"/>
      <w:marBottom w:val="0"/>
      <w:divBdr>
        <w:top w:val="none" w:sz="0" w:space="0" w:color="auto"/>
        <w:left w:val="none" w:sz="0" w:space="0" w:color="auto"/>
        <w:bottom w:val="none" w:sz="0" w:space="0" w:color="auto"/>
        <w:right w:val="none" w:sz="0" w:space="0" w:color="auto"/>
      </w:divBdr>
    </w:div>
    <w:div w:id="310256703">
      <w:bodyDiv w:val="1"/>
      <w:marLeft w:val="0"/>
      <w:marRight w:val="0"/>
      <w:marTop w:val="0"/>
      <w:marBottom w:val="0"/>
      <w:divBdr>
        <w:top w:val="none" w:sz="0" w:space="0" w:color="auto"/>
        <w:left w:val="none" w:sz="0" w:space="0" w:color="auto"/>
        <w:bottom w:val="none" w:sz="0" w:space="0" w:color="auto"/>
        <w:right w:val="none" w:sz="0" w:space="0" w:color="auto"/>
      </w:divBdr>
    </w:div>
    <w:div w:id="315761714">
      <w:bodyDiv w:val="1"/>
      <w:marLeft w:val="0"/>
      <w:marRight w:val="0"/>
      <w:marTop w:val="0"/>
      <w:marBottom w:val="0"/>
      <w:divBdr>
        <w:top w:val="none" w:sz="0" w:space="0" w:color="auto"/>
        <w:left w:val="none" w:sz="0" w:space="0" w:color="auto"/>
        <w:bottom w:val="none" w:sz="0" w:space="0" w:color="auto"/>
        <w:right w:val="none" w:sz="0" w:space="0" w:color="auto"/>
      </w:divBdr>
    </w:div>
    <w:div w:id="510535057">
      <w:bodyDiv w:val="1"/>
      <w:marLeft w:val="0"/>
      <w:marRight w:val="0"/>
      <w:marTop w:val="0"/>
      <w:marBottom w:val="0"/>
      <w:divBdr>
        <w:top w:val="none" w:sz="0" w:space="0" w:color="auto"/>
        <w:left w:val="none" w:sz="0" w:space="0" w:color="auto"/>
        <w:bottom w:val="none" w:sz="0" w:space="0" w:color="auto"/>
        <w:right w:val="none" w:sz="0" w:space="0" w:color="auto"/>
      </w:divBdr>
    </w:div>
    <w:div w:id="510723363">
      <w:bodyDiv w:val="1"/>
      <w:marLeft w:val="0"/>
      <w:marRight w:val="0"/>
      <w:marTop w:val="0"/>
      <w:marBottom w:val="0"/>
      <w:divBdr>
        <w:top w:val="none" w:sz="0" w:space="0" w:color="auto"/>
        <w:left w:val="none" w:sz="0" w:space="0" w:color="auto"/>
        <w:bottom w:val="none" w:sz="0" w:space="0" w:color="auto"/>
        <w:right w:val="none" w:sz="0" w:space="0" w:color="auto"/>
      </w:divBdr>
    </w:div>
    <w:div w:id="629482556">
      <w:bodyDiv w:val="1"/>
      <w:marLeft w:val="0"/>
      <w:marRight w:val="0"/>
      <w:marTop w:val="0"/>
      <w:marBottom w:val="0"/>
      <w:divBdr>
        <w:top w:val="none" w:sz="0" w:space="0" w:color="auto"/>
        <w:left w:val="none" w:sz="0" w:space="0" w:color="auto"/>
        <w:bottom w:val="none" w:sz="0" w:space="0" w:color="auto"/>
        <w:right w:val="none" w:sz="0" w:space="0" w:color="auto"/>
      </w:divBdr>
    </w:div>
    <w:div w:id="655499642">
      <w:bodyDiv w:val="1"/>
      <w:marLeft w:val="0"/>
      <w:marRight w:val="0"/>
      <w:marTop w:val="0"/>
      <w:marBottom w:val="0"/>
      <w:divBdr>
        <w:top w:val="none" w:sz="0" w:space="0" w:color="auto"/>
        <w:left w:val="none" w:sz="0" w:space="0" w:color="auto"/>
        <w:bottom w:val="none" w:sz="0" w:space="0" w:color="auto"/>
        <w:right w:val="none" w:sz="0" w:space="0" w:color="auto"/>
      </w:divBdr>
    </w:div>
    <w:div w:id="744953647">
      <w:bodyDiv w:val="1"/>
      <w:marLeft w:val="0"/>
      <w:marRight w:val="0"/>
      <w:marTop w:val="0"/>
      <w:marBottom w:val="0"/>
      <w:divBdr>
        <w:top w:val="none" w:sz="0" w:space="0" w:color="auto"/>
        <w:left w:val="none" w:sz="0" w:space="0" w:color="auto"/>
        <w:bottom w:val="none" w:sz="0" w:space="0" w:color="auto"/>
        <w:right w:val="none" w:sz="0" w:space="0" w:color="auto"/>
      </w:divBdr>
    </w:div>
    <w:div w:id="954794991">
      <w:bodyDiv w:val="1"/>
      <w:marLeft w:val="0"/>
      <w:marRight w:val="0"/>
      <w:marTop w:val="0"/>
      <w:marBottom w:val="0"/>
      <w:divBdr>
        <w:top w:val="none" w:sz="0" w:space="0" w:color="auto"/>
        <w:left w:val="none" w:sz="0" w:space="0" w:color="auto"/>
        <w:bottom w:val="none" w:sz="0" w:space="0" w:color="auto"/>
        <w:right w:val="none" w:sz="0" w:space="0" w:color="auto"/>
      </w:divBdr>
    </w:div>
    <w:div w:id="1007947369">
      <w:bodyDiv w:val="1"/>
      <w:marLeft w:val="0"/>
      <w:marRight w:val="0"/>
      <w:marTop w:val="0"/>
      <w:marBottom w:val="0"/>
      <w:divBdr>
        <w:top w:val="none" w:sz="0" w:space="0" w:color="auto"/>
        <w:left w:val="none" w:sz="0" w:space="0" w:color="auto"/>
        <w:bottom w:val="none" w:sz="0" w:space="0" w:color="auto"/>
        <w:right w:val="none" w:sz="0" w:space="0" w:color="auto"/>
      </w:divBdr>
    </w:div>
    <w:div w:id="1111170336">
      <w:bodyDiv w:val="1"/>
      <w:marLeft w:val="0"/>
      <w:marRight w:val="0"/>
      <w:marTop w:val="0"/>
      <w:marBottom w:val="0"/>
      <w:divBdr>
        <w:top w:val="none" w:sz="0" w:space="0" w:color="auto"/>
        <w:left w:val="none" w:sz="0" w:space="0" w:color="auto"/>
        <w:bottom w:val="none" w:sz="0" w:space="0" w:color="auto"/>
        <w:right w:val="none" w:sz="0" w:space="0" w:color="auto"/>
      </w:divBdr>
    </w:div>
    <w:div w:id="1265724840">
      <w:bodyDiv w:val="1"/>
      <w:marLeft w:val="0"/>
      <w:marRight w:val="0"/>
      <w:marTop w:val="0"/>
      <w:marBottom w:val="0"/>
      <w:divBdr>
        <w:top w:val="none" w:sz="0" w:space="0" w:color="auto"/>
        <w:left w:val="none" w:sz="0" w:space="0" w:color="auto"/>
        <w:bottom w:val="none" w:sz="0" w:space="0" w:color="auto"/>
        <w:right w:val="none" w:sz="0" w:space="0" w:color="auto"/>
      </w:divBdr>
    </w:div>
    <w:div w:id="1327247836">
      <w:bodyDiv w:val="1"/>
      <w:marLeft w:val="0"/>
      <w:marRight w:val="0"/>
      <w:marTop w:val="0"/>
      <w:marBottom w:val="0"/>
      <w:divBdr>
        <w:top w:val="none" w:sz="0" w:space="0" w:color="auto"/>
        <w:left w:val="none" w:sz="0" w:space="0" w:color="auto"/>
        <w:bottom w:val="none" w:sz="0" w:space="0" w:color="auto"/>
        <w:right w:val="none" w:sz="0" w:space="0" w:color="auto"/>
      </w:divBdr>
    </w:div>
    <w:div w:id="1332220805">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57523846">
      <w:bodyDiv w:val="1"/>
      <w:marLeft w:val="0"/>
      <w:marRight w:val="0"/>
      <w:marTop w:val="0"/>
      <w:marBottom w:val="0"/>
      <w:divBdr>
        <w:top w:val="none" w:sz="0" w:space="0" w:color="auto"/>
        <w:left w:val="none" w:sz="0" w:space="0" w:color="auto"/>
        <w:bottom w:val="none" w:sz="0" w:space="0" w:color="auto"/>
        <w:right w:val="none" w:sz="0" w:space="0" w:color="auto"/>
      </w:divBdr>
    </w:div>
    <w:div w:id="1758593286">
      <w:bodyDiv w:val="1"/>
      <w:marLeft w:val="0"/>
      <w:marRight w:val="0"/>
      <w:marTop w:val="0"/>
      <w:marBottom w:val="0"/>
      <w:divBdr>
        <w:top w:val="none" w:sz="0" w:space="0" w:color="auto"/>
        <w:left w:val="none" w:sz="0" w:space="0" w:color="auto"/>
        <w:bottom w:val="none" w:sz="0" w:space="0" w:color="auto"/>
        <w:right w:val="none" w:sz="0" w:space="0" w:color="auto"/>
      </w:divBdr>
    </w:div>
    <w:div w:id="1776172930">
      <w:bodyDiv w:val="1"/>
      <w:marLeft w:val="0"/>
      <w:marRight w:val="0"/>
      <w:marTop w:val="0"/>
      <w:marBottom w:val="0"/>
      <w:divBdr>
        <w:top w:val="none" w:sz="0" w:space="0" w:color="auto"/>
        <w:left w:val="none" w:sz="0" w:space="0" w:color="auto"/>
        <w:bottom w:val="none" w:sz="0" w:space="0" w:color="auto"/>
        <w:right w:val="none" w:sz="0" w:space="0" w:color="auto"/>
      </w:divBdr>
    </w:div>
    <w:div w:id="1980183783">
      <w:bodyDiv w:val="1"/>
      <w:marLeft w:val="0"/>
      <w:marRight w:val="0"/>
      <w:marTop w:val="0"/>
      <w:marBottom w:val="0"/>
      <w:divBdr>
        <w:top w:val="none" w:sz="0" w:space="0" w:color="auto"/>
        <w:left w:val="none" w:sz="0" w:space="0" w:color="auto"/>
        <w:bottom w:val="none" w:sz="0" w:space="0" w:color="auto"/>
        <w:right w:val="none" w:sz="0" w:space="0" w:color="auto"/>
      </w:divBdr>
    </w:div>
    <w:div w:id="200038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ccode.com/M01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1CBB2-04CB-48DD-9190-5E28F18F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6450</Words>
  <Characters>36771</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Consultants A</dc:creator>
  <cp:keywords/>
  <dc:description/>
  <cp:lastModifiedBy>Thealdi Mitchell</cp:lastModifiedBy>
  <cp:revision>2</cp:revision>
  <cp:lastPrinted>2015-04-21T14:22:00Z</cp:lastPrinted>
  <dcterms:created xsi:type="dcterms:W3CDTF">2023-12-14T08:48:00Z</dcterms:created>
  <dcterms:modified xsi:type="dcterms:W3CDTF">2023-12-14T08:48:00Z</dcterms:modified>
</cp:coreProperties>
</file>