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1077A" w14:textId="7D803330" w:rsidR="00D05BD9" w:rsidRPr="00D05BD9" w:rsidRDefault="00D05BD9" w:rsidP="00D05BD9">
      <w:pPr>
        <w:widowControl w:val="0"/>
        <w:spacing w:after="0" w:line="480" w:lineRule="auto"/>
        <w:jc w:val="center"/>
        <w:rPr>
          <w:rFonts w:ascii="Arial" w:hAnsi="Arial" w:cs="Arial"/>
          <w:b/>
          <w:lang w:val="en-GB"/>
        </w:rPr>
      </w:pPr>
      <w:r w:rsidRPr="00D05BD9">
        <w:rPr>
          <w:rFonts w:ascii="Arial" w:hAnsi="Arial" w:cs="Arial"/>
          <w:b/>
          <w:lang w:val="en-GB"/>
        </w:rPr>
        <w:t>PROFESSIONAL INFORMATION FOR BIO-TRANEXAMIC 500</w:t>
      </w:r>
    </w:p>
    <w:p w14:paraId="72F89C73" w14:textId="77777777" w:rsidR="00D05BD9" w:rsidRPr="00D05BD9" w:rsidRDefault="00D05BD9" w:rsidP="00D05BD9">
      <w:pPr>
        <w:widowControl w:val="0"/>
        <w:spacing w:after="0" w:line="480" w:lineRule="auto"/>
        <w:rPr>
          <w:rFonts w:ascii="Arial" w:hAnsi="Arial" w:cs="Arial"/>
          <w:b/>
          <w:lang w:val="en-GB"/>
        </w:rPr>
      </w:pPr>
      <w:r w:rsidRPr="00D05BD9">
        <w:rPr>
          <w:rFonts w:ascii="Arial" w:hAnsi="Arial" w:cs="Arial"/>
          <w:b/>
          <w:lang w:val="en-GB"/>
        </w:rPr>
        <w:t>SCHEDULING STATUS</w:t>
      </w:r>
      <w:r w:rsidRPr="00D05BD9">
        <w:rPr>
          <w:rFonts w:ascii="Arial" w:hAnsi="Arial" w:cs="Arial"/>
          <w:b/>
          <w:lang w:val="en-GB"/>
        </w:rPr>
        <w:tab/>
      </w:r>
    </w:p>
    <w:p w14:paraId="4696CC68" w14:textId="77777777" w:rsidR="00D05BD9" w:rsidRPr="00D05BD9" w:rsidRDefault="00D05BD9" w:rsidP="00D05BD9">
      <w:pPr>
        <w:widowControl w:val="0"/>
        <w:spacing w:after="0" w:line="480" w:lineRule="auto"/>
        <w:rPr>
          <w:rFonts w:ascii="Arial" w:hAnsi="Arial" w:cs="Arial"/>
          <w:b/>
          <w:lang w:val="en-GB"/>
        </w:rPr>
      </w:pPr>
      <w:r w:rsidRPr="00D05BD9">
        <w:rPr>
          <w:rFonts w:ascii="Arial" w:hAnsi="Arial" w:cs="Arial"/>
          <w:bdr w:val="single" w:sz="4" w:space="0" w:color="auto"/>
          <w:lang w:val="en-GB"/>
        </w:rPr>
        <w:t>S4</w:t>
      </w:r>
      <w:r w:rsidRPr="00D05BD9">
        <w:rPr>
          <w:rFonts w:ascii="Arial" w:hAnsi="Arial" w:cs="Arial"/>
          <w:color w:val="FFFFFF" w:themeColor="background1"/>
          <w:bdr w:val="single" w:sz="4" w:space="0" w:color="auto"/>
          <w:lang w:val="en-GB"/>
        </w:rPr>
        <w:t>I</w:t>
      </w:r>
      <w:r w:rsidRPr="00D05BD9">
        <w:rPr>
          <w:rFonts w:ascii="Arial" w:hAnsi="Arial" w:cs="Arial"/>
          <w:bdr w:val="single" w:sz="4" w:space="0" w:color="auto"/>
          <w:lang w:val="en-GB"/>
        </w:rPr>
        <w:t xml:space="preserve"> </w:t>
      </w:r>
    </w:p>
    <w:p w14:paraId="222C8986" w14:textId="77777777" w:rsidR="00D05BD9" w:rsidRPr="00D05BD9" w:rsidRDefault="00D05BD9" w:rsidP="00D05BD9">
      <w:pPr>
        <w:spacing w:after="0" w:line="480" w:lineRule="auto"/>
        <w:rPr>
          <w:rFonts w:ascii="Arial" w:hAnsi="Arial" w:cs="Arial"/>
          <w:b/>
          <w:noProof/>
        </w:rPr>
      </w:pPr>
    </w:p>
    <w:p w14:paraId="21A4A80F" w14:textId="77777777" w:rsidR="00D05BD9" w:rsidRPr="00D05BD9" w:rsidRDefault="00D05BD9" w:rsidP="00D05BD9">
      <w:pPr>
        <w:spacing w:after="0" w:line="480" w:lineRule="auto"/>
        <w:rPr>
          <w:rFonts w:ascii="Arial" w:hAnsi="Arial" w:cs="Arial"/>
          <w:noProof/>
        </w:rPr>
      </w:pPr>
      <w:r w:rsidRPr="00D05BD9">
        <w:rPr>
          <w:rFonts w:ascii="Arial" w:hAnsi="Arial" w:cs="Arial"/>
          <w:b/>
          <w:noProof/>
        </w:rPr>
        <w:t>1.</w:t>
      </w:r>
      <w:r w:rsidRPr="00D05BD9">
        <w:rPr>
          <w:rFonts w:ascii="Arial" w:hAnsi="Arial" w:cs="Arial"/>
          <w:b/>
          <w:noProof/>
        </w:rPr>
        <w:tab/>
        <w:t>NAME OF THE MEDICINE</w:t>
      </w:r>
    </w:p>
    <w:p w14:paraId="44CFFAC6" w14:textId="77777777" w:rsidR="00D05BD9" w:rsidRPr="00D05BD9" w:rsidRDefault="00D05BD9" w:rsidP="00D05BD9">
      <w:pPr>
        <w:widowControl w:val="0"/>
        <w:spacing w:after="0" w:line="480" w:lineRule="auto"/>
        <w:rPr>
          <w:rFonts w:ascii="Arial" w:hAnsi="Arial" w:cs="Arial"/>
        </w:rPr>
      </w:pPr>
      <w:r w:rsidRPr="00D05BD9">
        <w:rPr>
          <w:rFonts w:ascii="Arial" w:hAnsi="Arial" w:cs="Arial"/>
        </w:rPr>
        <w:t>BIO-TRANEXAMIC 500 mg film-coated tablets</w:t>
      </w:r>
    </w:p>
    <w:p w14:paraId="79D46806" w14:textId="77777777" w:rsidR="00D05BD9" w:rsidRPr="00D05BD9" w:rsidRDefault="00D05BD9" w:rsidP="00D05BD9">
      <w:pPr>
        <w:widowControl w:val="0"/>
        <w:spacing w:after="0" w:line="480" w:lineRule="auto"/>
        <w:rPr>
          <w:rFonts w:ascii="Arial" w:hAnsi="Arial" w:cs="Arial"/>
          <w:lang w:val="en-GB"/>
        </w:rPr>
      </w:pPr>
    </w:p>
    <w:p w14:paraId="64A7B62C" w14:textId="77777777" w:rsidR="00D05BD9" w:rsidRPr="00D05BD9" w:rsidRDefault="00D05BD9" w:rsidP="00D05BD9">
      <w:pPr>
        <w:widowControl w:val="0"/>
        <w:spacing w:after="0" w:line="480" w:lineRule="auto"/>
        <w:rPr>
          <w:rFonts w:ascii="Arial" w:hAnsi="Arial" w:cs="Arial"/>
        </w:rPr>
      </w:pPr>
      <w:r w:rsidRPr="00D05BD9">
        <w:rPr>
          <w:rFonts w:ascii="Arial" w:hAnsi="Arial" w:cs="Arial"/>
          <w:b/>
          <w:noProof/>
        </w:rPr>
        <w:t>2.</w:t>
      </w:r>
      <w:r w:rsidRPr="00D05BD9">
        <w:rPr>
          <w:rFonts w:ascii="Arial" w:hAnsi="Arial" w:cs="Arial"/>
          <w:b/>
          <w:noProof/>
        </w:rPr>
        <w:tab/>
        <w:t>QUALITATIVE AND QUANTITATIVE COMPOSITION</w:t>
      </w:r>
      <w:r w:rsidRPr="00D05BD9">
        <w:rPr>
          <w:rFonts w:ascii="Arial" w:hAnsi="Arial" w:cs="Arial"/>
        </w:rPr>
        <w:t xml:space="preserve"> </w:t>
      </w:r>
    </w:p>
    <w:p w14:paraId="1104A9E7" w14:textId="77777777" w:rsidR="00D05BD9" w:rsidRPr="00D05BD9" w:rsidRDefault="00D05BD9" w:rsidP="00D05BD9">
      <w:pPr>
        <w:widowControl w:val="0"/>
        <w:spacing w:after="0" w:line="480" w:lineRule="auto"/>
        <w:rPr>
          <w:rFonts w:ascii="Arial" w:hAnsi="Arial" w:cs="Arial"/>
          <w:noProof/>
        </w:rPr>
      </w:pPr>
      <w:r w:rsidRPr="00D05BD9">
        <w:rPr>
          <w:rFonts w:ascii="Arial" w:hAnsi="Arial" w:cs="Arial"/>
        </w:rPr>
        <w:t>Each film-coated tablet contains 500 mg tranexamic acid.</w:t>
      </w:r>
    </w:p>
    <w:p w14:paraId="7AF6B651" w14:textId="77777777" w:rsidR="00D05BD9" w:rsidRPr="00D05BD9" w:rsidRDefault="00D05BD9" w:rsidP="00D05BD9">
      <w:pPr>
        <w:widowControl w:val="0"/>
        <w:spacing w:after="0" w:line="480" w:lineRule="auto"/>
        <w:rPr>
          <w:rFonts w:ascii="Arial" w:hAnsi="Arial" w:cs="Arial"/>
          <w:b/>
          <w:noProof/>
        </w:rPr>
      </w:pPr>
    </w:p>
    <w:p w14:paraId="65BD327E" w14:textId="77777777" w:rsidR="00D05BD9" w:rsidRPr="00D05BD9" w:rsidRDefault="00D05BD9" w:rsidP="00D05BD9">
      <w:pPr>
        <w:spacing w:after="0" w:line="480" w:lineRule="auto"/>
        <w:ind w:right="38"/>
        <w:rPr>
          <w:rFonts w:ascii="Arial" w:hAnsi="Arial" w:cs="Arial"/>
        </w:rPr>
      </w:pPr>
      <w:r w:rsidRPr="00D05BD9">
        <w:rPr>
          <w:rFonts w:ascii="Arial" w:hAnsi="Arial" w:cs="Arial"/>
        </w:rPr>
        <w:t>Sugar free.</w:t>
      </w:r>
    </w:p>
    <w:p w14:paraId="2646E95C" w14:textId="77777777" w:rsidR="00D05BD9" w:rsidRPr="00D05BD9" w:rsidRDefault="00D05BD9" w:rsidP="00D05BD9">
      <w:pPr>
        <w:spacing w:after="0" w:line="480" w:lineRule="auto"/>
        <w:ind w:right="38"/>
        <w:rPr>
          <w:rFonts w:ascii="Arial" w:eastAsia="Times New Roman" w:hAnsi="Arial" w:cs="Arial"/>
          <w:lang w:val="en-GB"/>
        </w:rPr>
      </w:pPr>
    </w:p>
    <w:p w14:paraId="0973433F" w14:textId="77777777" w:rsidR="00D05BD9" w:rsidRPr="00D05BD9" w:rsidRDefault="00D05BD9" w:rsidP="00D05BD9">
      <w:pPr>
        <w:widowControl w:val="0"/>
        <w:spacing w:after="0" w:line="480" w:lineRule="auto"/>
        <w:rPr>
          <w:rFonts w:ascii="Arial" w:hAnsi="Arial" w:cs="Arial"/>
          <w:highlight w:val="yellow"/>
        </w:rPr>
      </w:pPr>
      <w:r w:rsidRPr="00D05BD9">
        <w:rPr>
          <w:rFonts w:ascii="Arial" w:hAnsi="Arial" w:cs="Arial"/>
          <w:noProof/>
        </w:rPr>
        <w:t>For the full list of excipients, see section 6.1.</w:t>
      </w:r>
    </w:p>
    <w:p w14:paraId="25E76CAE" w14:textId="77777777" w:rsidR="00D05BD9" w:rsidRPr="00D05BD9" w:rsidRDefault="00D05BD9" w:rsidP="00D05BD9">
      <w:pPr>
        <w:widowControl w:val="0"/>
        <w:spacing w:after="0" w:line="480" w:lineRule="auto"/>
        <w:rPr>
          <w:rFonts w:ascii="Arial" w:hAnsi="Arial" w:cs="Arial"/>
        </w:rPr>
      </w:pPr>
    </w:p>
    <w:p w14:paraId="3A4109CE" w14:textId="77777777" w:rsidR="00D05BD9" w:rsidRPr="00D05BD9" w:rsidRDefault="00D05BD9" w:rsidP="00D05BD9">
      <w:pPr>
        <w:spacing w:after="0" w:line="480" w:lineRule="auto"/>
        <w:ind w:left="567" w:hanging="567"/>
        <w:rPr>
          <w:rFonts w:ascii="Arial" w:hAnsi="Arial" w:cs="Arial"/>
          <w:caps/>
          <w:noProof/>
        </w:rPr>
      </w:pPr>
      <w:r w:rsidRPr="00D05BD9">
        <w:rPr>
          <w:rFonts w:ascii="Arial" w:hAnsi="Arial" w:cs="Arial"/>
          <w:b/>
          <w:noProof/>
        </w:rPr>
        <w:t>3.</w:t>
      </w:r>
      <w:r w:rsidRPr="00D05BD9">
        <w:rPr>
          <w:rFonts w:ascii="Arial" w:hAnsi="Arial" w:cs="Arial"/>
          <w:b/>
          <w:noProof/>
        </w:rPr>
        <w:tab/>
        <w:t xml:space="preserve">PHARMACEUTICAL </w:t>
      </w:r>
      <w:r w:rsidRPr="00D05BD9">
        <w:rPr>
          <w:rFonts w:ascii="Arial" w:hAnsi="Arial" w:cs="Arial"/>
          <w:b/>
          <w:caps/>
          <w:noProof/>
        </w:rPr>
        <w:t>form</w:t>
      </w:r>
    </w:p>
    <w:p w14:paraId="6C21FF52" w14:textId="77777777" w:rsidR="00D05BD9" w:rsidRPr="00D43014" w:rsidRDefault="00D05BD9" w:rsidP="00D05BD9">
      <w:pPr>
        <w:spacing w:after="0" w:line="480" w:lineRule="auto"/>
        <w:rPr>
          <w:rFonts w:ascii="Arial" w:hAnsi="Arial" w:cs="Arial"/>
          <w:noProof/>
        </w:rPr>
      </w:pPr>
      <w:r w:rsidRPr="00D43014">
        <w:rPr>
          <w:rFonts w:ascii="Arial" w:hAnsi="Arial" w:cs="Arial"/>
          <w:noProof/>
        </w:rPr>
        <w:t>Film-coated tablets.</w:t>
      </w:r>
    </w:p>
    <w:p w14:paraId="6F4CE4AC" w14:textId="54299BDF" w:rsidR="00D05BD9" w:rsidRPr="00D05BD9" w:rsidRDefault="00D05BD9" w:rsidP="00D05BD9">
      <w:pPr>
        <w:spacing w:after="0" w:line="480" w:lineRule="auto"/>
        <w:rPr>
          <w:rFonts w:ascii="Arial" w:hAnsi="Arial" w:cs="Arial"/>
          <w:bCs/>
          <w:noProof/>
        </w:rPr>
      </w:pPr>
      <w:r w:rsidRPr="00D43014">
        <w:rPr>
          <w:rFonts w:ascii="Arial" w:hAnsi="Arial" w:cs="Arial"/>
          <w:bCs/>
          <w:noProof/>
        </w:rPr>
        <w:t>White to off white, film-coated, capsule shaped, biconvex, 18 mm long and 8 mm wide</w:t>
      </w:r>
      <w:r w:rsidR="00D43014" w:rsidRPr="00D43014">
        <w:rPr>
          <w:rFonts w:ascii="Arial" w:hAnsi="Arial" w:cs="Arial"/>
          <w:bCs/>
          <w:noProof/>
        </w:rPr>
        <w:t>, with a break-line and embossed “TXA 500”</w:t>
      </w:r>
      <w:r w:rsidRPr="00D43014">
        <w:rPr>
          <w:rFonts w:ascii="Arial" w:hAnsi="Arial" w:cs="Arial"/>
          <w:bCs/>
          <w:noProof/>
        </w:rPr>
        <w:t>.</w:t>
      </w:r>
    </w:p>
    <w:p w14:paraId="3CC43B27" w14:textId="77777777" w:rsidR="00D43014" w:rsidRPr="00D05BD9" w:rsidRDefault="00D43014" w:rsidP="00D05BD9">
      <w:pPr>
        <w:widowControl w:val="0"/>
        <w:spacing w:after="0" w:line="480" w:lineRule="auto"/>
        <w:rPr>
          <w:rFonts w:ascii="Arial" w:hAnsi="Arial" w:cs="Arial"/>
          <w:lang w:val="en-GB"/>
        </w:rPr>
      </w:pPr>
    </w:p>
    <w:p w14:paraId="7B2C3C83" w14:textId="77777777" w:rsidR="00D05BD9" w:rsidRPr="00D05BD9" w:rsidRDefault="00D05BD9" w:rsidP="00D05BD9">
      <w:pPr>
        <w:spacing w:after="0" w:line="480" w:lineRule="auto"/>
        <w:ind w:left="567" w:hanging="567"/>
        <w:rPr>
          <w:rFonts w:ascii="Arial" w:hAnsi="Arial" w:cs="Arial"/>
          <w:caps/>
          <w:noProof/>
        </w:rPr>
      </w:pPr>
      <w:r w:rsidRPr="00D05BD9">
        <w:rPr>
          <w:rFonts w:ascii="Arial" w:hAnsi="Arial" w:cs="Arial"/>
          <w:b/>
          <w:caps/>
          <w:noProof/>
        </w:rPr>
        <w:t>4.</w:t>
      </w:r>
      <w:r w:rsidRPr="00D05BD9">
        <w:rPr>
          <w:rFonts w:ascii="Arial" w:hAnsi="Arial" w:cs="Arial"/>
          <w:b/>
          <w:caps/>
          <w:noProof/>
        </w:rPr>
        <w:tab/>
        <w:t>Clinical particulars</w:t>
      </w:r>
    </w:p>
    <w:p w14:paraId="6B1A65FF" w14:textId="77777777" w:rsidR="00D05BD9" w:rsidRPr="00D05BD9" w:rsidRDefault="00D05BD9" w:rsidP="00D05BD9">
      <w:pPr>
        <w:spacing w:after="0" w:line="480" w:lineRule="auto"/>
        <w:ind w:left="567" w:hanging="567"/>
        <w:outlineLvl w:val="0"/>
        <w:rPr>
          <w:rFonts w:ascii="Arial" w:hAnsi="Arial" w:cs="Arial"/>
          <w:b/>
          <w:noProof/>
        </w:rPr>
      </w:pPr>
      <w:r w:rsidRPr="00D05BD9">
        <w:rPr>
          <w:rFonts w:ascii="Arial" w:hAnsi="Arial" w:cs="Arial"/>
          <w:b/>
          <w:noProof/>
        </w:rPr>
        <w:t>4.1</w:t>
      </w:r>
      <w:r w:rsidRPr="00D05BD9">
        <w:rPr>
          <w:rFonts w:ascii="Arial" w:hAnsi="Arial" w:cs="Arial"/>
          <w:b/>
          <w:noProof/>
        </w:rPr>
        <w:tab/>
        <w:t>Therapeutic indications</w:t>
      </w:r>
    </w:p>
    <w:p w14:paraId="6EC7E3F1" w14:textId="77777777" w:rsidR="00D05BD9" w:rsidRPr="00D05BD9" w:rsidRDefault="00D05BD9" w:rsidP="00D05BD9">
      <w:pPr>
        <w:pStyle w:val="ListParagraph"/>
        <w:numPr>
          <w:ilvl w:val="0"/>
          <w:numId w:val="28"/>
        </w:numPr>
        <w:spacing w:after="0" w:line="480" w:lineRule="auto"/>
        <w:ind w:left="325"/>
        <w:outlineLvl w:val="0"/>
        <w:rPr>
          <w:rFonts w:ascii="Arial" w:hAnsi="Arial" w:cs="Arial"/>
          <w:bCs/>
          <w:noProof/>
        </w:rPr>
      </w:pPr>
      <w:r w:rsidRPr="00D05BD9">
        <w:rPr>
          <w:rFonts w:ascii="Arial" w:hAnsi="Arial" w:cs="Arial"/>
          <w:bCs/>
          <w:noProof/>
        </w:rPr>
        <w:t>Short term use in the treatment of hyphaema and in patients with established coagulopathies who are undergoing minor surgery.</w:t>
      </w:r>
    </w:p>
    <w:p w14:paraId="05807B95" w14:textId="77777777" w:rsidR="00D05BD9" w:rsidRPr="00D05BD9" w:rsidRDefault="00D05BD9" w:rsidP="00D05BD9">
      <w:pPr>
        <w:pStyle w:val="ListParagraph"/>
        <w:numPr>
          <w:ilvl w:val="0"/>
          <w:numId w:val="28"/>
        </w:numPr>
        <w:spacing w:after="0" w:line="480" w:lineRule="auto"/>
        <w:ind w:left="325"/>
        <w:outlineLvl w:val="0"/>
        <w:rPr>
          <w:rFonts w:ascii="Arial" w:hAnsi="Arial" w:cs="Arial"/>
          <w:bCs/>
          <w:noProof/>
        </w:rPr>
      </w:pPr>
      <w:r w:rsidRPr="00D05BD9">
        <w:rPr>
          <w:rFonts w:ascii="Arial" w:hAnsi="Arial" w:cs="Arial"/>
          <w:bCs/>
          <w:noProof/>
        </w:rPr>
        <w:t>Management of dental extraction in haemophiliacs.</w:t>
      </w:r>
    </w:p>
    <w:p w14:paraId="2D11AD51" w14:textId="03917D43" w:rsidR="00D05BD9" w:rsidRPr="00D05BD9" w:rsidRDefault="00D05BD9" w:rsidP="00D05BD9">
      <w:pPr>
        <w:pStyle w:val="ListParagraph"/>
        <w:numPr>
          <w:ilvl w:val="0"/>
          <w:numId w:val="28"/>
        </w:numPr>
        <w:spacing w:after="0" w:line="480" w:lineRule="auto"/>
        <w:ind w:left="325"/>
        <w:outlineLvl w:val="0"/>
        <w:rPr>
          <w:rFonts w:ascii="Arial" w:hAnsi="Arial" w:cs="Arial"/>
          <w:bCs/>
          <w:noProof/>
        </w:rPr>
      </w:pPr>
      <w:r w:rsidRPr="00D05BD9">
        <w:rPr>
          <w:rFonts w:ascii="Arial" w:hAnsi="Arial" w:cs="Arial"/>
          <w:bCs/>
          <w:noProof/>
        </w:rPr>
        <w:t>Hereditary angioedema.</w:t>
      </w:r>
    </w:p>
    <w:p w14:paraId="1A32BA05" w14:textId="7F7F2FCE" w:rsidR="00D05BD9" w:rsidRDefault="00D05BD9" w:rsidP="00D05BD9">
      <w:pPr>
        <w:pStyle w:val="ListParagraph"/>
        <w:numPr>
          <w:ilvl w:val="0"/>
          <w:numId w:val="28"/>
        </w:numPr>
        <w:spacing w:line="480" w:lineRule="auto"/>
        <w:ind w:left="325"/>
        <w:outlineLvl w:val="0"/>
        <w:rPr>
          <w:rFonts w:ascii="Arial" w:hAnsi="Arial" w:cs="Arial"/>
          <w:bCs/>
          <w:noProof/>
        </w:rPr>
      </w:pPr>
      <w:r w:rsidRPr="00D05BD9">
        <w:rPr>
          <w:rFonts w:ascii="Arial" w:hAnsi="Arial" w:cs="Arial"/>
          <w:bCs/>
          <w:noProof/>
        </w:rPr>
        <w:t>Menorrhagia.</w:t>
      </w:r>
    </w:p>
    <w:p w14:paraId="27171122" w14:textId="77777777" w:rsidR="00D05BD9" w:rsidRPr="00D05BD9" w:rsidRDefault="00D05BD9" w:rsidP="00D05BD9">
      <w:pPr>
        <w:numPr>
          <w:ilvl w:val="1"/>
          <w:numId w:val="6"/>
        </w:numPr>
        <w:spacing w:after="0" w:line="480" w:lineRule="auto"/>
        <w:outlineLvl w:val="0"/>
        <w:rPr>
          <w:rFonts w:ascii="Arial" w:hAnsi="Arial" w:cs="Arial"/>
          <w:b/>
          <w:noProof/>
        </w:rPr>
      </w:pPr>
      <w:r w:rsidRPr="00D05BD9">
        <w:rPr>
          <w:rFonts w:ascii="Arial" w:hAnsi="Arial" w:cs="Arial"/>
          <w:b/>
          <w:noProof/>
        </w:rPr>
        <w:t>Posology and method of administration</w:t>
      </w:r>
    </w:p>
    <w:p w14:paraId="3AF90B7C" w14:textId="77777777" w:rsidR="00D05BD9" w:rsidRPr="00D05BD9" w:rsidRDefault="00D05BD9" w:rsidP="00D05BD9">
      <w:pPr>
        <w:spacing w:after="0" w:line="480" w:lineRule="auto"/>
        <w:rPr>
          <w:rFonts w:ascii="Arial" w:hAnsi="Arial" w:cs="Arial"/>
          <w:b/>
          <w:iCs/>
          <w:noProof/>
        </w:rPr>
      </w:pPr>
      <w:r w:rsidRPr="00D05BD9">
        <w:rPr>
          <w:rFonts w:ascii="Arial" w:hAnsi="Arial" w:cs="Arial"/>
          <w:b/>
          <w:iCs/>
          <w:noProof/>
        </w:rPr>
        <w:lastRenderedPageBreak/>
        <w:t>Posology</w:t>
      </w:r>
    </w:p>
    <w:p w14:paraId="7F3A6E7B" w14:textId="77777777" w:rsidR="00D05BD9" w:rsidRPr="00D05BD9" w:rsidRDefault="00D05BD9" w:rsidP="00D05BD9">
      <w:pPr>
        <w:spacing w:after="0" w:line="480" w:lineRule="auto"/>
        <w:rPr>
          <w:rFonts w:ascii="Arial" w:eastAsia="Times New Roman" w:hAnsi="Arial" w:cs="Arial"/>
          <w:b/>
          <w:bCs/>
          <w:i/>
          <w:iCs/>
        </w:rPr>
      </w:pPr>
      <w:r w:rsidRPr="00D05BD9">
        <w:rPr>
          <w:rFonts w:ascii="Arial" w:eastAsia="Times New Roman" w:hAnsi="Arial" w:cs="Arial"/>
          <w:b/>
          <w:bCs/>
          <w:i/>
          <w:iCs/>
        </w:rPr>
        <w:t>Traumatic hyphaema:</w:t>
      </w:r>
    </w:p>
    <w:p w14:paraId="7FAD6E19" w14:textId="77777777" w:rsidR="00D05BD9" w:rsidRPr="00D05BD9" w:rsidRDefault="00D05BD9" w:rsidP="00D05BD9">
      <w:pPr>
        <w:spacing w:after="0" w:line="480" w:lineRule="auto"/>
        <w:rPr>
          <w:rFonts w:ascii="Arial" w:eastAsia="Times New Roman" w:hAnsi="Arial" w:cs="Arial"/>
          <w:i/>
          <w:iCs/>
          <w:highlight w:val="yellow"/>
        </w:rPr>
      </w:pPr>
      <w:r w:rsidRPr="00D05BD9">
        <w:rPr>
          <w:rFonts w:ascii="Arial" w:eastAsia="Times New Roman" w:hAnsi="Arial" w:cs="Arial"/>
        </w:rPr>
        <w:t>1,0 to 1,5 g every 8 hours for six to seven days.</w:t>
      </w:r>
    </w:p>
    <w:p w14:paraId="3B65BA61" w14:textId="77777777" w:rsidR="00D05BD9" w:rsidRPr="00D05BD9" w:rsidRDefault="00D05BD9" w:rsidP="00D05BD9">
      <w:pPr>
        <w:spacing w:after="0" w:line="480" w:lineRule="auto"/>
        <w:rPr>
          <w:rFonts w:ascii="Arial" w:eastAsia="Times New Roman" w:hAnsi="Arial" w:cs="Arial"/>
          <w:highlight w:val="yellow"/>
          <w:lang w:val="en-GB"/>
        </w:rPr>
      </w:pPr>
    </w:p>
    <w:p w14:paraId="48ABFA79" w14:textId="77777777" w:rsidR="00D05BD9" w:rsidRPr="00D05BD9" w:rsidRDefault="00D05BD9" w:rsidP="00D05BD9">
      <w:pPr>
        <w:spacing w:after="0" w:line="480" w:lineRule="auto"/>
        <w:rPr>
          <w:rFonts w:ascii="Arial" w:eastAsia="Times New Roman" w:hAnsi="Arial" w:cs="Arial"/>
          <w:b/>
          <w:bCs/>
          <w:i/>
          <w:iCs/>
          <w:lang w:val="en-GB"/>
        </w:rPr>
      </w:pPr>
      <w:r w:rsidRPr="00D05BD9">
        <w:rPr>
          <w:rFonts w:ascii="Arial" w:eastAsia="Times New Roman" w:hAnsi="Arial" w:cs="Arial"/>
          <w:b/>
          <w:bCs/>
          <w:i/>
          <w:iCs/>
          <w:lang w:val="en-GB"/>
        </w:rPr>
        <w:t>Patients with established coagulopathies undergoing minor surgery:</w:t>
      </w:r>
    </w:p>
    <w:p w14:paraId="08B4C8A1" w14:textId="77777777" w:rsidR="00D05BD9" w:rsidRPr="00D05BD9" w:rsidRDefault="00D05BD9" w:rsidP="00D05BD9">
      <w:pPr>
        <w:spacing w:after="0" w:line="480" w:lineRule="auto"/>
        <w:rPr>
          <w:rFonts w:ascii="Arial" w:eastAsia="Times New Roman" w:hAnsi="Arial" w:cs="Arial"/>
          <w:lang w:val="en-GB"/>
        </w:rPr>
      </w:pPr>
      <w:r w:rsidRPr="00D05BD9">
        <w:rPr>
          <w:rFonts w:ascii="Arial" w:eastAsia="Times New Roman" w:hAnsi="Arial" w:cs="Arial"/>
          <w:lang w:val="en-GB"/>
        </w:rPr>
        <w:t>Conization of the cervix: 1,0 to 1,5 g (2 to 3 tablets) every 8 to 12 hours for 12 days post-operatively.</w:t>
      </w:r>
    </w:p>
    <w:p w14:paraId="1A8185B5" w14:textId="77777777" w:rsidR="00D05BD9" w:rsidRPr="00D05BD9" w:rsidRDefault="00D05BD9" w:rsidP="00D05BD9">
      <w:pPr>
        <w:spacing w:after="0" w:line="480" w:lineRule="auto"/>
        <w:rPr>
          <w:rFonts w:ascii="Arial" w:eastAsia="Times New Roman" w:hAnsi="Arial" w:cs="Arial"/>
          <w:lang w:val="en-GB"/>
        </w:rPr>
      </w:pPr>
    </w:p>
    <w:p w14:paraId="75F33396" w14:textId="77777777" w:rsidR="00D05BD9" w:rsidRPr="00D05BD9" w:rsidRDefault="00D05BD9" w:rsidP="00D05BD9">
      <w:pPr>
        <w:spacing w:after="0" w:line="480" w:lineRule="auto"/>
        <w:rPr>
          <w:rFonts w:ascii="Arial" w:eastAsia="Times New Roman" w:hAnsi="Arial" w:cs="Arial"/>
          <w:b/>
          <w:bCs/>
          <w:i/>
          <w:iCs/>
          <w:lang w:val="en-GB"/>
        </w:rPr>
      </w:pPr>
      <w:r w:rsidRPr="00D05BD9">
        <w:rPr>
          <w:rFonts w:ascii="Arial" w:eastAsia="Times New Roman" w:hAnsi="Arial" w:cs="Arial"/>
          <w:b/>
          <w:bCs/>
          <w:i/>
          <w:iCs/>
          <w:lang w:val="en-GB"/>
        </w:rPr>
        <w:t xml:space="preserve">Dental operations/extractions </w:t>
      </w:r>
      <w:r w:rsidRPr="00D05BD9">
        <w:rPr>
          <w:rFonts w:ascii="Arial" w:eastAsia="Times New Roman" w:hAnsi="Arial" w:cs="Arial"/>
          <w:b/>
          <w:bCs/>
          <w:i/>
          <w:iCs/>
        </w:rPr>
        <w:t>in haemophiliacs</w:t>
      </w:r>
      <w:r w:rsidRPr="00D05BD9">
        <w:rPr>
          <w:rFonts w:ascii="Arial" w:eastAsia="Times New Roman" w:hAnsi="Arial" w:cs="Arial"/>
          <w:b/>
          <w:bCs/>
          <w:i/>
          <w:iCs/>
          <w:lang w:val="en-GB"/>
        </w:rPr>
        <w:t>:</w:t>
      </w:r>
    </w:p>
    <w:p w14:paraId="0E0F0299" w14:textId="77777777" w:rsidR="00D05BD9" w:rsidRPr="00D05BD9" w:rsidRDefault="00D05BD9" w:rsidP="00D05BD9">
      <w:pPr>
        <w:spacing w:after="0" w:line="480" w:lineRule="auto"/>
        <w:rPr>
          <w:rFonts w:ascii="Arial" w:eastAsia="Times New Roman" w:hAnsi="Arial" w:cs="Arial"/>
          <w:lang w:val="en-GB"/>
        </w:rPr>
      </w:pPr>
      <w:r w:rsidRPr="00D05BD9">
        <w:rPr>
          <w:rFonts w:ascii="Arial" w:eastAsia="Times New Roman" w:hAnsi="Arial" w:cs="Arial"/>
          <w:lang w:val="en-GB"/>
        </w:rPr>
        <w:t>25 mg/kg orally two hours before the operation. Factor VIII and Factor IX should be given as well as BIO-TRANEXAMIC 500. After the operation, 25 mg/kg of BIO-TRANEXAMIC 500 is given 3 to 4 times a day for 6 to 8 days.</w:t>
      </w:r>
    </w:p>
    <w:p w14:paraId="70E359DB" w14:textId="77777777" w:rsidR="00D05BD9" w:rsidRPr="00D05BD9" w:rsidRDefault="00D05BD9" w:rsidP="00D05BD9">
      <w:pPr>
        <w:spacing w:after="0" w:line="480" w:lineRule="auto"/>
        <w:rPr>
          <w:rFonts w:ascii="Arial" w:eastAsia="Times New Roman" w:hAnsi="Arial" w:cs="Arial"/>
          <w:lang w:val="en-GB"/>
        </w:rPr>
      </w:pPr>
    </w:p>
    <w:p w14:paraId="5CFB2230" w14:textId="77777777" w:rsidR="00D05BD9" w:rsidRPr="00D05BD9" w:rsidRDefault="00D05BD9" w:rsidP="00D05BD9">
      <w:pPr>
        <w:spacing w:after="0" w:line="480" w:lineRule="auto"/>
        <w:rPr>
          <w:rFonts w:ascii="Arial" w:eastAsia="Times New Roman" w:hAnsi="Arial" w:cs="Arial"/>
          <w:b/>
          <w:bCs/>
          <w:i/>
          <w:iCs/>
          <w:lang w:val="en-GB"/>
        </w:rPr>
      </w:pPr>
      <w:r w:rsidRPr="00D05BD9">
        <w:rPr>
          <w:rFonts w:ascii="Arial" w:eastAsia="Times New Roman" w:hAnsi="Arial" w:cs="Arial"/>
          <w:b/>
          <w:bCs/>
          <w:i/>
          <w:iCs/>
          <w:lang w:val="en-GB"/>
        </w:rPr>
        <w:t>Hereditary angioneurotic oedema:</w:t>
      </w:r>
    </w:p>
    <w:p w14:paraId="295B808D" w14:textId="77777777" w:rsidR="00D05BD9" w:rsidRPr="00D05BD9" w:rsidRDefault="00D05BD9" w:rsidP="00D05BD9">
      <w:pPr>
        <w:spacing w:after="0" w:line="480" w:lineRule="auto"/>
        <w:rPr>
          <w:rFonts w:ascii="Arial" w:eastAsia="Times New Roman" w:hAnsi="Arial" w:cs="Arial"/>
          <w:lang w:val="en-GB"/>
        </w:rPr>
      </w:pPr>
      <w:r w:rsidRPr="00D05BD9">
        <w:rPr>
          <w:rFonts w:ascii="Arial" w:eastAsia="Times New Roman" w:hAnsi="Arial" w:cs="Arial"/>
          <w:lang w:val="en-GB"/>
        </w:rPr>
        <w:t>Some patients are aware of the onset of illness; a suitable treatment for these patients is 1,0 – 1,5 g two to three times daily for some days. Other patients are treated continually at this dosage.</w:t>
      </w:r>
    </w:p>
    <w:p w14:paraId="365F7764" w14:textId="77777777" w:rsidR="00D05BD9" w:rsidRPr="00D05BD9" w:rsidRDefault="00D05BD9" w:rsidP="00D05BD9">
      <w:pPr>
        <w:spacing w:after="0" w:line="480" w:lineRule="auto"/>
        <w:rPr>
          <w:rFonts w:ascii="Arial" w:eastAsia="Times New Roman" w:hAnsi="Arial" w:cs="Arial"/>
          <w:lang w:val="en-GB"/>
        </w:rPr>
      </w:pPr>
    </w:p>
    <w:p w14:paraId="07740CD3" w14:textId="77777777" w:rsidR="00D05BD9" w:rsidRPr="00D05BD9" w:rsidRDefault="00D05BD9" w:rsidP="00D05BD9">
      <w:pPr>
        <w:spacing w:after="0" w:line="480" w:lineRule="auto"/>
        <w:rPr>
          <w:rFonts w:ascii="Arial" w:eastAsia="Times New Roman" w:hAnsi="Arial" w:cs="Arial"/>
          <w:b/>
          <w:bCs/>
          <w:i/>
          <w:iCs/>
          <w:lang w:val="en-GB"/>
        </w:rPr>
      </w:pPr>
      <w:r w:rsidRPr="00D05BD9">
        <w:rPr>
          <w:rFonts w:ascii="Arial" w:eastAsia="Times New Roman" w:hAnsi="Arial" w:cs="Arial"/>
          <w:b/>
          <w:bCs/>
          <w:i/>
          <w:iCs/>
          <w:lang w:val="en-GB"/>
        </w:rPr>
        <w:t>Menorrhagia:</w:t>
      </w:r>
    </w:p>
    <w:p w14:paraId="0A1CB7CC" w14:textId="77777777" w:rsidR="00D05BD9" w:rsidRPr="00D05BD9" w:rsidRDefault="00D05BD9" w:rsidP="00D05BD9">
      <w:pPr>
        <w:spacing w:after="0" w:line="480" w:lineRule="auto"/>
        <w:rPr>
          <w:rFonts w:ascii="Arial" w:eastAsia="Times New Roman" w:hAnsi="Arial" w:cs="Arial"/>
          <w:highlight w:val="yellow"/>
          <w:lang w:val="en-GB"/>
        </w:rPr>
      </w:pPr>
      <w:r w:rsidRPr="00D05BD9">
        <w:rPr>
          <w:rFonts w:ascii="Arial" w:eastAsia="Times New Roman" w:hAnsi="Arial" w:cs="Arial"/>
          <w:lang w:val="en-GB"/>
        </w:rPr>
        <w:t>Two to three coated tablets (1 – 1 ,5 g) or one effervescent tablet (1 g) three to four times daily, given at the onset of heavy bleeding for the duration of the period.</w:t>
      </w:r>
    </w:p>
    <w:p w14:paraId="0AC3C8FB" w14:textId="77777777" w:rsidR="00D05BD9" w:rsidRPr="00D05BD9" w:rsidRDefault="00D05BD9" w:rsidP="00D05BD9">
      <w:pPr>
        <w:widowControl w:val="0"/>
        <w:spacing w:after="0" w:line="480" w:lineRule="auto"/>
        <w:rPr>
          <w:rFonts w:ascii="Arial" w:hAnsi="Arial" w:cs="Arial"/>
          <w:bCs/>
          <w:iCs/>
          <w:highlight w:val="yellow"/>
          <w:lang w:val="en-GB"/>
        </w:rPr>
      </w:pPr>
    </w:p>
    <w:p w14:paraId="1401FDAF" w14:textId="77777777" w:rsidR="00D05BD9" w:rsidRPr="00D05BD9" w:rsidRDefault="00D05BD9" w:rsidP="00D05BD9">
      <w:pPr>
        <w:widowControl w:val="0"/>
        <w:spacing w:after="0" w:line="480" w:lineRule="auto"/>
        <w:rPr>
          <w:rFonts w:ascii="Arial" w:hAnsi="Arial" w:cs="Arial"/>
          <w:b/>
          <w:i/>
          <w:lang w:val="en-GB"/>
        </w:rPr>
      </w:pPr>
      <w:r w:rsidRPr="00D05BD9">
        <w:rPr>
          <w:rFonts w:ascii="Arial" w:hAnsi="Arial" w:cs="Arial"/>
          <w:b/>
          <w:i/>
          <w:lang w:val="en-GB"/>
        </w:rPr>
        <w:t>Special populations:</w:t>
      </w:r>
    </w:p>
    <w:p w14:paraId="2B6DD467" w14:textId="77777777" w:rsidR="00D05BD9" w:rsidRPr="00D05BD9" w:rsidRDefault="00D05BD9" w:rsidP="00D05BD9">
      <w:pPr>
        <w:widowControl w:val="0"/>
        <w:spacing w:after="0" w:line="480" w:lineRule="auto"/>
        <w:rPr>
          <w:rFonts w:ascii="Arial" w:hAnsi="Arial" w:cs="Arial"/>
          <w:bCs/>
          <w:iCs/>
          <w:lang w:val="en-GB"/>
        </w:rPr>
      </w:pPr>
      <w:r w:rsidRPr="00D05BD9">
        <w:rPr>
          <w:rFonts w:ascii="Arial" w:hAnsi="Arial" w:cs="Arial"/>
          <w:bCs/>
          <w:i/>
          <w:lang w:val="en-GB"/>
        </w:rPr>
        <w:t>Renal insufficiency:</w:t>
      </w:r>
      <w:r w:rsidRPr="00D05BD9">
        <w:rPr>
          <w:rFonts w:ascii="Arial" w:hAnsi="Arial" w:cs="Arial"/>
          <w:bCs/>
          <w:iCs/>
          <w:lang w:val="en-GB"/>
        </w:rPr>
        <w:t xml:space="preserve"> </w:t>
      </w:r>
    </w:p>
    <w:p w14:paraId="2F7A453E" w14:textId="3009989A" w:rsidR="00D05BD9" w:rsidRPr="00D05BD9" w:rsidRDefault="00D05BD9" w:rsidP="00D05BD9">
      <w:pPr>
        <w:widowControl w:val="0"/>
        <w:spacing w:after="0" w:line="480" w:lineRule="auto"/>
        <w:rPr>
          <w:rFonts w:ascii="Arial" w:hAnsi="Arial" w:cs="Arial"/>
          <w:bCs/>
          <w:iCs/>
          <w:lang w:val="en-GB"/>
        </w:rPr>
      </w:pPr>
      <w:r w:rsidRPr="00D05BD9">
        <w:rPr>
          <w:rFonts w:ascii="Arial" w:hAnsi="Arial" w:cs="Arial"/>
          <w:bCs/>
          <w:iCs/>
          <w:lang w:val="en-GB"/>
        </w:rPr>
        <w:t xml:space="preserve">For patients with renal failure, </w:t>
      </w:r>
      <w:r w:rsidRPr="00D05BD9">
        <w:rPr>
          <w:rFonts w:ascii="Arial" w:eastAsia="Times New Roman" w:hAnsi="Arial" w:cs="Arial"/>
          <w:lang w:val="en-GB"/>
        </w:rPr>
        <w:t>BIO-TRANEXAMIC 500</w:t>
      </w:r>
      <w:r w:rsidRPr="00D05BD9">
        <w:rPr>
          <w:rFonts w:ascii="Arial" w:hAnsi="Arial" w:cs="Arial"/>
          <w:bCs/>
          <w:iCs/>
          <w:lang w:val="en-GB"/>
        </w:rPr>
        <w:t xml:space="preserve"> should be given with caution because of the risk of accumulation.</w:t>
      </w:r>
    </w:p>
    <w:p w14:paraId="00BF1C7E" w14:textId="77777777" w:rsidR="00D05BD9" w:rsidRPr="00D05BD9" w:rsidRDefault="00D05BD9" w:rsidP="00D05BD9">
      <w:pPr>
        <w:widowControl w:val="0"/>
        <w:spacing w:after="0" w:line="480" w:lineRule="auto"/>
        <w:rPr>
          <w:rFonts w:ascii="Arial" w:hAnsi="Arial" w:cs="Arial"/>
          <w:bCs/>
          <w:iCs/>
          <w:highlight w:val="yellow"/>
          <w:lang w:val="en-GB"/>
        </w:rPr>
      </w:pPr>
      <w:r w:rsidRPr="00D05BD9">
        <w:rPr>
          <w:rFonts w:ascii="Arial" w:hAnsi="Arial" w:cs="Arial"/>
          <w:bCs/>
          <w:iCs/>
          <w:lang w:val="en-GB"/>
        </w:rPr>
        <w:t>Dosages should be reduced in patients with renal impairment. For patients with moderate to severe impaired renal function, the following dosages are recommended.</w:t>
      </w:r>
      <w:r w:rsidRPr="00D05BD9">
        <w:rPr>
          <w:rFonts w:ascii="Arial" w:hAnsi="Arial" w:cs="Arial"/>
          <w:bCs/>
          <w:iCs/>
          <w:highlight w:val="yellow"/>
          <w:lang w:val="en-GB"/>
        </w:rPr>
        <w:t xml:space="preserve"> </w:t>
      </w:r>
    </w:p>
    <w:p w14:paraId="3EB4AD65" w14:textId="77777777" w:rsidR="00D05BD9" w:rsidRPr="00D05BD9" w:rsidRDefault="00D05BD9" w:rsidP="00D05BD9">
      <w:pPr>
        <w:widowControl w:val="0"/>
        <w:spacing w:after="0" w:line="480" w:lineRule="auto"/>
        <w:rPr>
          <w:rFonts w:ascii="Arial" w:hAnsi="Arial" w:cs="Arial"/>
          <w:bCs/>
          <w:iCs/>
          <w:highlight w:val="yellow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13"/>
        <w:gridCol w:w="3402"/>
      </w:tblGrid>
      <w:tr w:rsidR="00D05BD9" w:rsidRPr="00D05BD9" w14:paraId="5F3D2C6F" w14:textId="77777777" w:rsidTr="00CF54D4">
        <w:tc>
          <w:tcPr>
            <w:tcW w:w="3013" w:type="dxa"/>
          </w:tcPr>
          <w:p w14:paraId="346CC832" w14:textId="77777777" w:rsidR="00D05BD9" w:rsidRPr="00D05BD9" w:rsidRDefault="00D05BD9" w:rsidP="00D05BD9">
            <w:pPr>
              <w:widowControl w:val="0"/>
              <w:spacing w:line="480" w:lineRule="auto"/>
              <w:rPr>
                <w:rFonts w:ascii="Arial" w:hAnsi="Arial" w:cs="Arial"/>
                <w:bCs/>
                <w:iCs/>
                <w:lang w:val="en-GB"/>
              </w:rPr>
            </w:pPr>
            <w:r w:rsidRPr="00D05BD9">
              <w:rPr>
                <w:rFonts w:ascii="Arial" w:hAnsi="Arial" w:cs="Arial"/>
                <w:bCs/>
                <w:iCs/>
                <w:lang w:val="en-GB"/>
              </w:rPr>
              <w:t xml:space="preserve">Serum creatinine </w:t>
            </w:r>
          </w:p>
          <w:p w14:paraId="4C48F690" w14:textId="77777777" w:rsidR="00D05BD9" w:rsidRPr="00D05BD9" w:rsidRDefault="00D05BD9" w:rsidP="00D05BD9">
            <w:pPr>
              <w:widowControl w:val="0"/>
              <w:spacing w:line="480" w:lineRule="auto"/>
              <w:rPr>
                <w:rFonts w:ascii="Arial" w:hAnsi="Arial" w:cs="Arial"/>
                <w:bCs/>
                <w:iCs/>
                <w:highlight w:val="yellow"/>
                <w:lang w:val="en-GB"/>
              </w:rPr>
            </w:pPr>
            <w:r w:rsidRPr="00D05BD9">
              <w:rPr>
                <w:rFonts w:ascii="Arial" w:hAnsi="Arial" w:cs="Arial"/>
                <w:bCs/>
                <w:iCs/>
                <w:lang w:val="en-GB"/>
              </w:rPr>
              <w:t>(micromol/L)</w:t>
            </w:r>
          </w:p>
        </w:tc>
        <w:tc>
          <w:tcPr>
            <w:tcW w:w="3402" w:type="dxa"/>
          </w:tcPr>
          <w:p w14:paraId="2627C855" w14:textId="77777777" w:rsidR="00D05BD9" w:rsidRPr="00D05BD9" w:rsidRDefault="00D05BD9" w:rsidP="00D05BD9">
            <w:pPr>
              <w:widowControl w:val="0"/>
              <w:spacing w:line="480" w:lineRule="auto"/>
              <w:rPr>
                <w:rFonts w:ascii="Arial" w:hAnsi="Arial" w:cs="Arial"/>
                <w:bCs/>
                <w:iCs/>
                <w:highlight w:val="yellow"/>
                <w:lang w:val="en-GB"/>
              </w:rPr>
            </w:pPr>
            <w:r w:rsidRPr="00D05BD9">
              <w:rPr>
                <w:rFonts w:ascii="Arial" w:hAnsi="Arial" w:cs="Arial"/>
                <w:bCs/>
                <w:iCs/>
                <w:lang w:val="en-GB"/>
              </w:rPr>
              <w:t>Oral dose</w:t>
            </w:r>
          </w:p>
        </w:tc>
      </w:tr>
      <w:tr w:rsidR="00D05BD9" w:rsidRPr="00D05BD9" w14:paraId="384AC3B8" w14:textId="77777777" w:rsidTr="00CF54D4">
        <w:tc>
          <w:tcPr>
            <w:tcW w:w="3013" w:type="dxa"/>
          </w:tcPr>
          <w:p w14:paraId="48DE8A12" w14:textId="77777777" w:rsidR="00D05BD9" w:rsidRPr="00D05BD9" w:rsidRDefault="00D05BD9" w:rsidP="00D05BD9">
            <w:pPr>
              <w:widowControl w:val="0"/>
              <w:spacing w:line="480" w:lineRule="auto"/>
              <w:rPr>
                <w:rFonts w:ascii="Arial" w:hAnsi="Arial" w:cs="Arial"/>
                <w:bCs/>
                <w:iCs/>
                <w:lang w:val="en-GB"/>
              </w:rPr>
            </w:pPr>
            <w:r w:rsidRPr="00D05BD9">
              <w:rPr>
                <w:rFonts w:ascii="Arial" w:hAnsi="Arial" w:cs="Arial"/>
                <w:bCs/>
                <w:iCs/>
                <w:lang w:val="en-GB"/>
              </w:rPr>
              <w:t>120 – 250</w:t>
            </w:r>
          </w:p>
        </w:tc>
        <w:tc>
          <w:tcPr>
            <w:tcW w:w="3402" w:type="dxa"/>
          </w:tcPr>
          <w:p w14:paraId="1C63B606" w14:textId="77777777" w:rsidR="00D05BD9" w:rsidRPr="00D05BD9" w:rsidRDefault="00D05BD9" w:rsidP="00D05BD9">
            <w:pPr>
              <w:widowControl w:val="0"/>
              <w:spacing w:line="480" w:lineRule="auto"/>
              <w:rPr>
                <w:rFonts w:ascii="Arial" w:hAnsi="Arial" w:cs="Arial"/>
                <w:bCs/>
                <w:iCs/>
                <w:highlight w:val="yellow"/>
                <w:lang w:val="en-GB"/>
              </w:rPr>
            </w:pPr>
            <w:r w:rsidRPr="00D05BD9">
              <w:rPr>
                <w:rFonts w:ascii="Arial" w:hAnsi="Arial" w:cs="Arial"/>
                <w:bCs/>
                <w:iCs/>
                <w:lang w:val="en-GB"/>
              </w:rPr>
              <w:t>15 mg/kg body weight twice daily</w:t>
            </w:r>
          </w:p>
        </w:tc>
      </w:tr>
      <w:tr w:rsidR="00D05BD9" w:rsidRPr="00D05BD9" w14:paraId="21948287" w14:textId="77777777" w:rsidTr="00CF54D4">
        <w:tc>
          <w:tcPr>
            <w:tcW w:w="3013" w:type="dxa"/>
          </w:tcPr>
          <w:p w14:paraId="274344E2" w14:textId="77777777" w:rsidR="00D05BD9" w:rsidRPr="00D05BD9" w:rsidRDefault="00D05BD9" w:rsidP="00D05BD9">
            <w:pPr>
              <w:widowControl w:val="0"/>
              <w:spacing w:line="480" w:lineRule="auto"/>
              <w:rPr>
                <w:rFonts w:ascii="Arial" w:hAnsi="Arial" w:cs="Arial"/>
                <w:bCs/>
                <w:iCs/>
                <w:lang w:val="en-GB"/>
              </w:rPr>
            </w:pPr>
            <w:r w:rsidRPr="00D05BD9">
              <w:rPr>
                <w:rFonts w:ascii="Arial" w:hAnsi="Arial" w:cs="Arial"/>
                <w:bCs/>
                <w:iCs/>
                <w:lang w:val="en-GB"/>
              </w:rPr>
              <w:t>250 – 500</w:t>
            </w:r>
          </w:p>
        </w:tc>
        <w:tc>
          <w:tcPr>
            <w:tcW w:w="3402" w:type="dxa"/>
          </w:tcPr>
          <w:p w14:paraId="5AB6602D" w14:textId="77777777" w:rsidR="00D05BD9" w:rsidRPr="00D05BD9" w:rsidRDefault="00D05BD9" w:rsidP="00D05BD9">
            <w:pPr>
              <w:widowControl w:val="0"/>
              <w:spacing w:line="480" w:lineRule="auto"/>
              <w:rPr>
                <w:rFonts w:ascii="Arial" w:hAnsi="Arial" w:cs="Arial"/>
                <w:bCs/>
                <w:iCs/>
                <w:highlight w:val="yellow"/>
                <w:lang w:val="en-GB"/>
              </w:rPr>
            </w:pPr>
            <w:r w:rsidRPr="00D05BD9">
              <w:rPr>
                <w:rFonts w:ascii="Arial" w:hAnsi="Arial" w:cs="Arial"/>
                <w:bCs/>
                <w:iCs/>
                <w:lang w:val="en-GB"/>
              </w:rPr>
              <w:t>15 mg/kg body weight daily</w:t>
            </w:r>
          </w:p>
        </w:tc>
      </w:tr>
      <w:tr w:rsidR="00D05BD9" w:rsidRPr="00D05BD9" w14:paraId="12AC5086" w14:textId="77777777" w:rsidTr="00CF54D4">
        <w:tc>
          <w:tcPr>
            <w:tcW w:w="3013" w:type="dxa"/>
          </w:tcPr>
          <w:p w14:paraId="59604943" w14:textId="77777777" w:rsidR="00D05BD9" w:rsidRPr="00D05BD9" w:rsidRDefault="00D05BD9" w:rsidP="00D05BD9">
            <w:pPr>
              <w:widowControl w:val="0"/>
              <w:spacing w:line="480" w:lineRule="auto"/>
              <w:rPr>
                <w:rFonts w:ascii="Arial" w:hAnsi="Arial" w:cs="Arial"/>
                <w:bCs/>
                <w:iCs/>
                <w:lang w:val="en-GB"/>
              </w:rPr>
            </w:pPr>
            <w:r w:rsidRPr="00D05BD9">
              <w:rPr>
                <w:rFonts w:ascii="Arial" w:hAnsi="Arial" w:cs="Arial"/>
                <w:bCs/>
                <w:iCs/>
                <w:lang w:val="en-GB"/>
              </w:rPr>
              <w:t>˃ 500</w:t>
            </w:r>
          </w:p>
        </w:tc>
        <w:tc>
          <w:tcPr>
            <w:tcW w:w="3402" w:type="dxa"/>
          </w:tcPr>
          <w:p w14:paraId="5DE76F79" w14:textId="77777777" w:rsidR="00D05BD9" w:rsidRPr="00D05BD9" w:rsidRDefault="00D05BD9" w:rsidP="00D05BD9">
            <w:pPr>
              <w:widowControl w:val="0"/>
              <w:spacing w:line="480" w:lineRule="auto"/>
              <w:rPr>
                <w:rFonts w:ascii="Arial" w:hAnsi="Arial" w:cs="Arial"/>
                <w:bCs/>
                <w:iCs/>
                <w:highlight w:val="yellow"/>
                <w:lang w:val="en-GB"/>
              </w:rPr>
            </w:pPr>
            <w:r w:rsidRPr="00D05BD9">
              <w:rPr>
                <w:rFonts w:ascii="Arial" w:hAnsi="Arial" w:cs="Arial"/>
                <w:bCs/>
                <w:iCs/>
                <w:lang w:val="en-GB"/>
              </w:rPr>
              <w:t>7,5 mg/kg body weight daily</w:t>
            </w:r>
          </w:p>
        </w:tc>
      </w:tr>
    </w:tbl>
    <w:p w14:paraId="63D28A87" w14:textId="77777777" w:rsidR="00D05BD9" w:rsidRPr="00D05BD9" w:rsidRDefault="00D05BD9" w:rsidP="00D05BD9">
      <w:pPr>
        <w:widowControl w:val="0"/>
        <w:spacing w:after="0" w:line="480" w:lineRule="auto"/>
        <w:rPr>
          <w:rFonts w:ascii="Arial" w:hAnsi="Arial" w:cs="Arial"/>
          <w:bCs/>
          <w:iCs/>
          <w:highlight w:val="yellow"/>
          <w:lang w:val="en-GB"/>
        </w:rPr>
      </w:pPr>
    </w:p>
    <w:p w14:paraId="1F195A40" w14:textId="77777777" w:rsidR="00D05BD9" w:rsidRPr="00D05BD9" w:rsidRDefault="00D05BD9" w:rsidP="00D05BD9">
      <w:pPr>
        <w:widowControl w:val="0"/>
        <w:spacing w:after="0" w:line="480" w:lineRule="auto"/>
        <w:rPr>
          <w:rFonts w:ascii="Arial" w:hAnsi="Arial" w:cs="Arial"/>
          <w:bCs/>
          <w:i/>
          <w:lang w:val="en-GB"/>
        </w:rPr>
      </w:pPr>
      <w:r w:rsidRPr="00D05BD9">
        <w:rPr>
          <w:rFonts w:ascii="Arial" w:hAnsi="Arial" w:cs="Arial"/>
          <w:bCs/>
          <w:i/>
          <w:lang w:val="en-GB"/>
        </w:rPr>
        <w:t>Children:</w:t>
      </w:r>
    </w:p>
    <w:p w14:paraId="2AA810BC" w14:textId="77777777" w:rsidR="00D05BD9" w:rsidRPr="00D05BD9" w:rsidRDefault="00D05BD9" w:rsidP="00D05BD9">
      <w:pPr>
        <w:widowControl w:val="0"/>
        <w:spacing w:after="0" w:line="480" w:lineRule="auto"/>
        <w:rPr>
          <w:rFonts w:ascii="Arial" w:hAnsi="Arial" w:cs="Arial"/>
          <w:bCs/>
          <w:iCs/>
          <w:highlight w:val="yellow"/>
          <w:lang w:val="en-GB"/>
        </w:rPr>
      </w:pPr>
      <w:r w:rsidRPr="00D05BD9">
        <w:rPr>
          <w:rFonts w:ascii="Arial" w:hAnsi="Arial" w:cs="Arial"/>
          <w:bCs/>
          <w:iCs/>
          <w:lang w:val="en-GB"/>
        </w:rPr>
        <w:t>Data on efficacy and safety in children are limited.</w:t>
      </w:r>
    </w:p>
    <w:p w14:paraId="0C96BAB7" w14:textId="77777777" w:rsidR="00D05BD9" w:rsidRPr="00D05BD9" w:rsidRDefault="00D05BD9" w:rsidP="00D05BD9">
      <w:pPr>
        <w:widowControl w:val="0"/>
        <w:spacing w:after="0" w:line="480" w:lineRule="auto"/>
        <w:rPr>
          <w:rFonts w:ascii="Arial" w:hAnsi="Arial" w:cs="Arial"/>
          <w:bCs/>
          <w:iCs/>
          <w:highlight w:val="yellow"/>
          <w:lang w:val="en-GB"/>
        </w:rPr>
      </w:pPr>
    </w:p>
    <w:p w14:paraId="0D85BDB9" w14:textId="77777777" w:rsidR="00D05BD9" w:rsidRPr="00D05BD9" w:rsidRDefault="00D05BD9" w:rsidP="00D05BD9">
      <w:pPr>
        <w:widowControl w:val="0"/>
        <w:spacing w:after="0" w:line="480" w:lineRule="auto"/>
        <w:rPr>
          <w:rFonts w:ascii="Arial" w:hAnsi="Arial" w:cs="Arial"/>
          <w:b/>
          <w:iCs/>
          <w:lang w:val="en-GB"/>
        </w:rPr>
      </w:pPr>
      <w:r w:rsidRPr="00D05BD9">
        <w:rPr>
          <w:rFonts w:ascii="Arial" w:hAnsi="Arial" w:cs="Arial"/>
          <w:b/>
          <w:iCs/>
          <w:lang w:val="en-GB"/>
        </w:rPr>
        <w:t>Method of administration</w:t>
      </w:r>
    </w:p>
    <w:p w14:paraId="5ECC215F" w14:textId="77777777" w:rsidR="00D05BD9" w:rsidRPr="00D05BD9" w:rsidRDefault="00D05BD9" w:rsidP="00D05BD9">
      <w:pPr>
        <w:widowControl w:val="0"/>
        <w:spacing w:after="0" w:line="480" w:lineRule="auto"/>
        <w:rPr>
          <w:rFonts w:ascii="Arial" w:hAnsi="Arial" w:cs="Arial"/>
          <w:bCs/>
          <w:iCs/>
          <w:lang w:val="en-GB"/>
        </w:rPr>
      </w:pPr>
      <w:r w:rsidRPr="00D05BD9">
        <w:rPr>
          <w:rFonts w:ascii="Arial" w:hAnsi="Arial" w:cs="Arial"/>
          <w:bCs/>
          <w:iCs/>
          <w:lang w:val="en-GB"/>
        </w:rPr>
        <w:t>For oral use.</w:t>
      </w:r>
    </w:p>
    <w:p w14:paraId="58291812" w14:textId="77777777" w:rsidR="00D05BD9" w:rsidRPr="00D05BD9" w:rsidRDefault="00D05BD9" w:rsidP="00D05BD9">
      <w:pPr>
        <w:widowControl w:val="0"/>
        <w:spacing w:after="0" w:line="480" w:lineRule="auto"/>
        <w:rPr>
          <w:rFonts w:ascii="Arial" w:hAnsi="Arial" w:cs="Arial"/>
          <w:bCs/>
          <w:iCs/>
          <w:lang w:val="en-GB"/>
        </w:rPr>
      </w:pPr>
    </w:p>
    <w:p w14:paraId="3B8D4D38" w14:textId="77777777" w:rsidR="00D05BD9" w:rsidRPr="00D05BD9" w:rsidRDefault="00D05BD9" w:rsidP="00D05BD9">
      <w:pPr>
        <w:spacing w:after="0" w:line="480" w:lineRule="auto"/>
        <w:ind w:left="567" w:hanging="567"/>
        <w:rPr>
          <w:rFonts w:ascii="Arial" w:hAnsi="Arial" w:cs="Arial"/>
          <w:noProof/>
        </w:rPr>
      </w:pPr>
      <w:r w:rsidRPr="00D05BD9">
        <w:rPr>
          <w:rFonts w:ascii="Arial" w:hAnsi="Arial" w:cs="Arial"/>
          <w:b/>
          <w:noProof/>
        </w:rPr>
        <w:t>4.3</w:t>
      </w:r>
      <w:r w:rsidRPr="00D05BD9">
        <w:rPr>
          <w:rFonts w:ascii="Arial" w:hAnsi="Arial" w:cs="Arial"/>
          <w:b/>
          <w:noProof/>
        </w:rPr>
        <w:tab/>
        <w:t>Contraindications</w:t>
      </w:r>
    </w:p>
    <w:p w14:paraId="36D83FA7" w14:textId="77777777" w:rsidR="00D05BD9" w:rsidRPr="00D05BD9" w:rsidRDefault="00D05BD9" w:rsidP="00D05BD9">
      <w:pPr>
        <w:pStyle w:val="ListParagraph"/>
        <w:numPr>
          <w:ilvl w:val="0"/>
          <w:numId w:val="28"/>
        </w:numPr>
        <w:spacing w:after="0" w:line="480" w:lineRule="auto"/>
        <w:ind w:left="325"/>
        <w:outlineLvl w:val="0"/>
        <w:rPr>
          <w:rFonts w:ascii="Arial" w:hAnsi="Arial" w:cs="Arial"/>
          <w:bCs/>
          <w:noProof/>
        </w:rPr>
      </w:pPr>
      <w:r w:rsidRPr="00D05BD9">
        <w:rPr>
          <w:rFonts w:ascii="Arial" w:hAnsi="Arial" w:cs="Arial"/>
          <w:bCs/>
          <w:noProof/>
        </w:rPr>
        <w:t>Hypersensitivity to BIO-TRANEXAMIC 500 or to any of the excipients listed in section 6.1.</w:t>
      </w:r>
    </w:p>
    <w:p w14:paraId="4A7B516C" w14:textId="77777777" w:rsidR="00D05BD9" w:rsidRPr="00D05BD9" w:rsidRDefault="00D05BD9" w:rsidP="00D05BD9">
      <w:pPr>
        <w:pStyle w:val="ListParagraph"/>
        <w:numPr>
          <w:ilvl w:val="0"/>
          <w:numId w:val="28"/>
        </w:numPr>
        <w:spacing w:after="0" w:line="480" w:lineRule="auto"/>
        <w:ind w:left="325"/>
        <w:outlineLvl w:val="0"/>
        <w:rPr>
          <w:rFonts w:ascii="Arial" w:hAnsi="Arial" w:cs="Arial"/>
          <w:bCs/>
          <w:noProof/>
        </w:rPr>
      </w:pPr>
      <w:r w:rsidRPr="00D05BD9">
        <w:rPr>
          <w:rFonts w:ascii="Arial" w:hAnsi="Arial" w:cs="Arial"/>
          <w:bCs/>
          <w:noProof/>
        </w:rPr>
        <w:t>Active thromboembolic disease.</w:t>
      </w:r>
    </w:p>
    <w:p w14:paraId="77EF6E6D" w14:textId="77777777" w:rsidR="00D05BD9" w:rsidRPr="00D05BD9" w:rsidRDefault="00D05BD9" w:rsidP="00D05BD9">
      <w:pPr>
        <w:pStyle w:val="ListParagraph"/>
        <w:numPr>
          <w:ilvl w:val="0"/>
          <w:numId w:val="28"/>
        </w:numPr>
        <w:spacing w:after="0" w:line="480" w:lineRule="auto"/>
        <w:ind w:left="325"/>
        <w:outlineLvl w:val="0"/>
        <w:rPr>
          <w:rFonts w:ascii="Arial" w:hAnsi="Arial" w:cs="Arial"/>
          <w:bCs/>
          <w:noProof/>
        </w:rPr>
      </w:pPr>
      <w:r w:rsidRPr="00D05BD9">
        <w:rPr>
          <w:rFonts w:ascii="Arial" w:hAnsi="Arial" w:cs="Arial"/>
          <w:bCs/>
          <w:noProof/>
        </w:rPr>
        <w:t>History of venous or arterial thrombosis.</w:t>
      </w:r>
    </w:p>
    <w:p w14:paraId="376C55C4" w14:textId="77777777" w:rsidR="00D05BD9" w:rsidRPr="00D05BD9" w:rsidRDefault="00D05BD9" w:rsidP="00D05BD9">
      <w:pPr>
        <w:pStyle w:val="ListParagraph"/>
        <w:numPr>
          <w:ilvl w:val="0"/>
          <w:numId w:val="28"/>
        </w:numPr>
        <w:spacing w:after="0" w:line="480" w:lineRule="auto"/>
        <w:ind w:left="325"/>
        <w:outlineLvl w:val="0"/>
        <w:rPr>
          <w:rFonts w:ascii="Arial" w:hAnsi="Arial" w:cs="Arial"/>
          <w:bCs/>
          <w:noProof/>
        </w:rPr>
      </w:pPr>
      <w:r w:rsidRPr="00D05BD9">
        <w:rPr>
          <w:rFonts w:ascii="Arial" w:hAnsi="Arial" w:cs="Arial"/>
          <w:bCs/>
          <w:noProof/>
        </w:rPr>
        <w:t>Fibrinolytic conditions following consumption coagulopathy.</w:t>
      </w:r>
    </w:p>
    <w:p w14:paraId="522317F2" w14:textId="77777777" w:rsidR="00D05BD9" w:rsidRPr="00D05BD9" w:rsidRDefault="00D05BD9" w:rsidP="00D05BD9">
      <w:pPr>
        <w:pStyle w:val="ListParagraph"/>
        <w:numPr>
          <w:ilvl w:val="0"/>
          <w:numId w:val="28"/>
        </w:numPr>
        <w:spacing w:after="0" w:line="480" w:lineRule="auto"/>
        <w:ind w:left="325"/>
        <w:outlineLvl w:val="0"/>
        <w:rPr>
          <w:rFonts w:ascii="Arial" w:hAnsi="Arial" w:cs="Arial"/>
          <w:bCs/>
          <w:noProof/>
        </w:rPr>
      </w:pPr>
      <w:r w:rsidRPr="00D05BD9">
        <w:rPr>
          <w:rFonts w:ascii="Arial" w:hAnsi="Arial" w:cs="Arial"/>
          <w:bCs/>
          <w:noProof/>
        </w:rPr>
        <w:t>History of convulsions.</w:t>
      </w:r>
    </w:p>
    <w:p w14:paraId="275A6D4A" w14:textId="77777777" w:rsidR="00D05BD9" w:rsidRPr="00D05BD9" w:rsidRDefault="00D05BD9" w:rsidP="00D05BD9">
      <w:pPr>
        <w:pStyle w:val="ListParagraph"/>
        <w:numPr>
          <w:ilvl w:val="0"/>
          <w:numId w:val="28"/>
        </w:numPr>
        <w:spacing w:after="0" w:line="480" w:lineRule="auto"/>
        <w:ind w:left="325"/>
        <w:outlineLvl w:val="0"/>
        <w:rPr>
          <w:rFonts w:ascii="Arial" w:hAnsi="Arial" w:cs="Arial"/>
          <w:bCs/>
          <w:noProof/>
        </w:rPr>
      </w:pPr>
      <w:r w:rsidRPr="00D05BD9">
        <w:rPr>
          <w:rFonts w:ascii="Arial" w:hAnsi="Arial" w:cs="Arial"/>
          <w:bCs/>
          <w:noProof/>
        </w:rPr>
        <w:t>In cases of massive upper urinary tract haemorrhage, antifibrinolytics should be avoided to reduce the risk of ureteric obstruction.</w:t>
      </w:r>
    </w:p>
    <w:p w14:paraId="531F8992" w14:textId="77777777" w:rsidR="00D05BD9" w:rsidRPr="00D05BD9" w:rsidRDefault="00D05BD9" w:rsidP="00D05BD9">
      <w:pPr>
        <w:pStyle w:val="ListParagraph"/>
        <w:numPr>
          <w:ilvl w:val="0"/>
          <w:numId w:val="28"/>
        </w:numPr>
        <w:spacing w:after="0" w:line="480" w:lineRule="auto"/>
        <w:ind w:left="325"/>
        <w:outlineLvl w:val="0"/>
        <w:rPr>
          <w:rFonts w:ascii="Arial" w:hAnsi="Arial" w:cs="Arial"/>
          <w:bCs/>
          <w:noProof/>
        </w:rPr>
      </w:pPr>
      <w:r w:rsidRPr="00D05BD9">
        <w:rPr>
          <w:rFonts w:ascii="Arial" w:hAnsi="Arial" w:cs="Arial"/>
          <w:bCs/>
          <w:noProof/>
        </w:rPr>
        <w:t>Colour vision disorder.</w:t>
      </w:r>
    </w:p>
    <w:p w14:paraId="7BED9022" w14:textId="77777777" w:rsidR="00D05BD9" w:rsidRPr="00D05BD9" w:rsidRDefault="00D05BD9" w:rsidP="00D05BD9">
      <w:pPr>
        <w:pStyle w:val="ListParagraph"/>
        <w:numPr>
          <w:ilvl w:val="0"/>
          <w:numId w:val="28"/>
        </w:numPr>
        <w:spacing w:after="0" w:line="480" w:lineRule="auto"/>
        <w:ind w:left="325"/>
        <w:outlineLvl w:val="0"/>
        <w:rPr>
          <w:rFonts w:ascii="Arial" w:hAnsi="Arial" w:cs="Arial"/>
          <w:bCs/>
          <w:noProof/>
        </w:rPr>
      </w:pPr>
      <w:r w:rsidRPr="00D05BD9">
        <w:rPr>
          <w:rFonts w:ascii="Arial" w:hAnsi="Arial" w:cs="Arial"/>
          <w:bCs/>
          <w:noProof/>
        </w:rPr>
        <w:t>Impaired liver function.</w:t>
      </w:r>
    </w:p>
    <w:p w14:paraId="63BF7058" w14:textId="1B5BB1E7" w:rsidR="00D05BD9" w:rsidRDefault="00D05BD9" w:rsidP="00D05BD9">
      <w:pPr>
        <w:pStyle w:val="ListParagraph"/>
        <w:numPr>
          <w:ilvl w:val="0"/>
          <w:numId w:val="28"/>
        </w:numPr>
        <w:spacing w:after="0" w:line="480" w:lineRule="auto"/>
        <w:ind w:left="325"/>
        <w:outlineLvl w:val="0"/>
        <w:rPr>
          <w:rFonts w:ascii="Arial" w:hAnsi="Arial" w:cs="Arial"/>
          <w:bCs/>
          <w:noProof/>
        </w:rPr>
      </w:pPr>
      <w:r w:rsidRPr="00D05BD9">
        <w:rPr>
          <w:rFonts w:ascii="Arial" w:hAnsi="Arial" w:cs="Arial"/>
          <w:bCs/>
          <w:noProof/>
        </w:rPr>
        <w:t>Subarachnoid bleeding.</w:t>
      </w:r>
    </w:p>
    <w:p w14:paraId="27C4A4D7" w14:textId="77777777" w:rsidR="002064C0" w:rsidRPr="00D05BD9" w:rsidRDefault="002064C0" w:rsidP="002064C0">
      <w:pPr>
        <w:pStyle w:val="ListParagraph"/>
        <w:spacing w:after="0" w:line="480" w:lineRule="auto"/>
        <w:ind w:left="325"/>
        <w:outlineLvl w:val="0"/>
        <w:rPr>
          <w:rFonts w:ascii="Arial" w:hAnsi="Arial" w:cs="Arial"/>
          <w:bCs/>
          <w:noProof/>
        </w:rPr>
      </w:pPr>
    </w:p>
    <w:p w14:paraId="0BDE5EDF" w14:textId="77777777" w:rsidR="00D05BD9" w:rsidRPr="00D05BD9" w:rsidRDefault="00D05BD9" w:rsidP="00D05BD9">
      <w:pPr>
        <w:spacing w:after="0" w:line="480" w:lineRule="auto"/>
        <w:ind w:left="567" w:hanging="567"/>
        <w:rPr>
          <w:rFonts w:ascii="Arial" w:hAnsi="Arial" w:cs="Arial"/>
          <w:b/>
          <w:noProof/>
        </w:rPr>
      </w:pPr>
      <w:r w:rsidRPr="00D05BD9">
        <w:rPr>
          <w:rFonts w:ascii="Arial" w:hAnsi="Arial" w:cs="Arial"/>
          <w:b/>
          <w:noProof/>
        </w:rPr>
        <w:lastRenderedPageBreak/>
        <w:t>4.4</w:t>
      </w:r>
      <w:r w:rsidRPr="00D05BD9">
        <w:rPr>
          <w:rFonts w:ascii="Arial" w:hAnsi="Arial" w:cs="Arial"/>
          <w:b/>
          <w:noProof/>
        </w:rPr>
        <w:tab/>
        <w:t>Special warnings and precautions for use</w:t>
      </w:r>
    </w:p>
    <w:p w14:paraId="6CEA3559" w14:textId="77777777" w:rsidR="00D05BD9" w:rsidRPr="00D05BD9" w:rsidRDefault="00D05BD9" w:rsidP="00D05BD9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lang w:eastAsia="en-ZA"/>
        </w:rPr>
      </w:pPr>
      <w:r w:rsidRPr="00D05BD9">
        <w:rPr>
          <w:rFonts w:ascii="Arial" w:eastAsia="Times New Roman" w:hAnsi="Arial" w:cs="Arial"/>
          <w:color w:val="000000"/>
          <w:lang w:eastAsia="en-ZA"/>
        </w:rPr>
        <w:t>In case of haematuria of renal origin (especially in haemophilia), there is a risk of mechanical anuria due to formation of a ureteral clot.</w:t>
      </w:r>
    </w:p>
    <w:p w14:paraId="700D9B34" w14:textId="77777777" w:rsidR="00D05BD9" w:rsidRPr="00D05BD9" w:rsidRDefault="00D05BD9" w:rsidP="00D05BD9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lang w:eastAsia="en-ZA"/>
        </w:rPr>
      </w:pPr>
    </w:p>
    <w:p w14:paraId="55080E1A" w14:textId="77777777" w:rsidR="00D05BD9" w:rsidRPr="00D05BD9" w:rsidRDefault="00D05BD9" w:rsidP="00D05BD9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lang w:eastAsia="en-ZA"/>
        </w:rPr>
      </w:pPr>
      <w:r w:rsidRPr="00D05BD9">
        <w:rPr>
          <w:rFonts w:ascii="Arial" w:eastAsia="Times New Roman" w:hAnsi="Arial" w:cs="Arial"/>
          <w:color w:val="000000"/>
          <w:lang w:eastAsia="en-ZA"/>
        </w:rPr>
        <w:t>In the long-term treatment of patients with hereditary angioneurotic oedema, regular eye examinations (e.g. visual acuity, slit lamp, intraocular pressure, visual fields) and liver function tests should be performed.</w:t>
      </w:r>
    </w:p>
    <w:p w14:paraId="3111F129" w14:textId="77777777" w:rsidR="00D05BD9" w:rsidRPr="00D05BD9" w:rsidRDefault="00D05BD9" w:rsidP="00D05BD9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lang w:eastAsia="en-ZA"/>
        </w:rPr>
      </w:pPr>
    </w:p>
    <w:p w14:paraId="185D7316" w14:textId="77777777" w:rsidR="00D05BD9" w:rsidRPr="00D05BD9" w:rsidRDefault="00D05BD9" w:rsidP="00D05BD9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highlight w:val="yellow"/>
          <w:lang w:eastAsia="en-ZA"/>
        </w:rPr>
      </w:pPr>
      <w:r w:rsidRPr="00D05BD9">
        <w:rPr>
          <w:rFonts w:ascii="Arial" w:eastAsia="Times New Roman" w:hAnsi="Arial" w:cs="Arial"/>
          <w:color w:val="000000"/>
          <w:lang w:eastAsia="en-ZA"/>
        </w:rPr>
        <w:t>Patients with irregular menstrual bleeding should not use BIO-TRANEXAMIC 500 until the cause of irregular bleeding has been established. If menstrual bleeding is not adequately reduced by BIO-TRANEXAMIC 500, an alternative treatment should be considered.</w:t>
      </w:r>
    </w:p>
    <w:p w14:paraId="5414C784" w14:textId="77777777" w:rsidR="00D05BD9" w:rsidRPr="00D05BD9" w:rsidRDefault="00D05BD9" w:rsidP="00D05BD9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highlight w:val="yellow"/>
          <w:lang w:eastAsia="en-ZA"/>
        </w:rPr>
      </w:pPr>
    </w:p>
    <w:p w14:paraId="3C36F975" w14:textId="77777777" w:rsidR="00D05BD9" w:rsidRPr="00D05BD9" w:rsidRDefault="00D05BD9" w:rsidP="00D05BD9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lang w:eastAsia="en-ZA"/>
        </w:rPr>
      </w:pPr>
      <w:r w:rsidRPr="00D05BD9">
        <w:rPr>
          <w:rFonts w:ascii="Arial" w:eastAsia="Times New Roman" w:hAnsi="Arial" w:cs="Arial"/>
          <w:color w:val="000000"/>
          <w:lang w:eastAsia="en-ZA"/>
        </w:rPr>
        <w:t>BIO-TRANEXAMIC 500 should be administered with care in patients receiving oral contraceptives because of the increased risk of thrombosis.</w:t>
      </w:r>
    </w:p>
    <w:p w14:paraId="240CC390" w14:textId="77777777" w:rsidR="00D05BD9" w:rsidRPr="00D05BD9" w:rsidRDefault="00D05BD9" w:rsidP="00D05BD9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lang w:eastAsia="en-ZA"/>
        </w:rPr>
      </w:pPr>
    </w:p>
    <w:p w14:paraId="18B73EC9" w14:textId="7C639886" w:rsidR="00D05BD9" w:rsidRPr="00D05BD9" w:rsidRDefault="00D05BD9" w:rsidP="00D05BD9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lang w:eastAsia="en-ZA"/>
        </w:rPr>
      </w:pPr>
      <w:r w:rsidRPr="00D05BD9">
        <w:rPr>
          <w:rFonts w:ascii="Arial" w:eastAsia="Times New Roman" w:hAnsi="Arial" w:cs="Arial"/>
          <w:color w:val="000000"/>
          <w:lang w:eastAsia="en-ZA"/>
        </w:rPr>
        <w:t>Patients with a previous thromboembolic event and a family history of thromboembolic disease (patients with thrombophilia) should use BIO-TRANEXAMIC 500 only if there is a strong medical indication and under strict medical supervision</w:t>
      </w:r>
      <w:r>
        <w:rPr>
          <w:rFonts w:ascii="Arial" w:eastAsia="Times New Roman" w:hAnsi="Arial" w:cs="Arial"/>
          <w:color w:val="000000"/>
          <w:lang w:eastAsia="en-ZA"/>
        </w:rPr>
        <w:t xml:space="preserve"> </w:t>
      </w:r>
      <w:r w:rsidRPr="00D05BD9">
        <w:rPr>
          <w:rFonts w:ascii="Arial" w:eastAsia="Times New Roman" w:hAnsi="Arial" w:cs="Arial"/>
          <w:color w:val="000000"/>
          <w:lang w:eastAsia="en-ZA"/>
        </w:rPr>
        <w:t>and they should not be given BIO-TRANEXAMIC 500 unless simultaneous treatment with anticoagulants can be given.</w:t>
      </w:r>
    </w:p>
    <w:p w14:paraId="48F065D5" w14:textId="77777777" w:rsidR="00D05BD9" w:rsidRPr="00D05BD9" w:rsidRDefault="00D05BD9" w:rsidP="00D05BD9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lang w:eastAsia="en-ZA"/>
        </w:rPr>
      </w:pPr>
    </w:p>
    <w:p w14:paraId="497F7ACA" w14:textId="77777777" w:rsidR="00D05BD9" w:rsidRPr="00D05BD9" w:rsidRDefault="00D05BD9" w:rsidP="00D05BD9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highlight w:val="yellow"/>
          <w:lang w:eastAsia="en-ZA"/>
        </w:rPr>
      </w:pPr>
      <w:r w:rsidRPr="00D05BD9">
        <w:rPr>
          <w:rFonts w:ascii="Arial" w:eastAsia="Times New Roman" w:hAnsi="Arial" w:cs="Arial"/>
          <w:color w:val="000000"/>
          <w:lang w:eastAsia="en-ZA"/>
        </w:rPr>
        <w:t>The blood levels are increased in patients with renal insufficiency. Therefore, a dose reduction is recommended (see section 4.2).</w:t>
      </w:r>
    </w:p>
    <w:p w14:paraId="37BEF22D" w14:textId="75EEEA5E" w:rsidR="00D05BD9" w:rsidRPr="00D05BD9" w:rsidRDefault="00D05BD9" w:rsidP="00D05BD9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lang w:eastAsia="en-ZA"/>
        </w:rPr>
      </w:pPr>
      <w:r w:rsidRPr="00D05BD9">
        <w:rPr>
          <w:rFonts w:ascii="Arial" w:eastAsia="Times New Roman" w:hAnsi="Arial" w:cs="Arial"/>
          <w:color w:val="000000"/>
          <w:lang w:eastAsia="en-ZA"/>
        </w:rPr>
        <w:t>The use of BIO-TRANEXAMIC 500 in cases of increased fibrinolysis due to disseminated intravascular coagulation is not recommended. The potential for thrombus formation may be increased by oestrogens</w:t>
      </w:r>
      <w:r>
        <w:rPr>
          <w:rFonts w:ascii="Arial" w:eastAsia="Times New Roman" w:hAnsi="Arial" w:cs="Arial"/>
          <w:color w:val="000000"/>
          <w:lang w:eastAsia="en-ZA"/>
        </w:rPr>
        <w:t xml:space="preserve"> </w:t>
      </w:r>
      <w:r w:rsidRPr="00D05BD9">
        <w:rPr>
          <w:rFonts w:ascii="Arial" w:eastAsia="Times New Roman" w:hAnsi="Arial" w:cs="Arial"/>
          <w:color w:val="000000"/>
          <w:lang w:eastAsia="en-ZA"/>
        </w:rPr>
        <w:t>or the action of the antifibrinolytic antagonised by compounds such as the thrombolytics.</w:t>
      </w:r>
    </w:p>
    <w:p w14:paraId="335D6710" w14:textId="77777777" w:rsidR="00D05BD9" w:rsidRPr="00D05BD9" w:rsidRDefault="00D05BD9" w:rsidP="00D05BD9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lang w:eastAsia="en-ZA"/>
        </w:rPr>
      </w:pPr>
    </w:p>
    <w:p w14:paraId="2147ABED" w14:textId="77777777" w:rsidR="00D05BD9" w:rsidRPr="00D05BD9" w:rsidRDefault="00D05BD9" w:rsidP="00D05BD9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lang w:eastAsia="en-ZA"/>
        </w:rPr>
      </w:pPr>
      <w:r w:rsidRPr="00D05BD9">
        <w:rPr>
          <w:rFonts w:ascii="Arial" w:eastAsia="Times New Roman" w:hAnsi="Arial" w:cs="Arial"/>
          <w:color w:val="000000"/>
          <w:lang w:eastAsia="en-ZA"/>
        </w:rPr>
        <w:lastRenderedPageBreak/>
        <w:t xml:space="preserve">For patients who are to receive continuous treatment with </w:t>
      </w:r>
      <w:r w:rsidRPr="00D05BD9">
        <w:rPr>
          <w:rFonts w:ascii="Arial" w:eastAsia="Times New Roman" w:hAnsi="Arial" w:cs="Arial"/>
          <w:lang w:val="en-GB"/>
        </w:rPr>
        <w:t>BIO-TRANEXAMIC 500</w:t>
      </w:r>
      <w:r w:rsidRPr="00D05BD9">
        <w:rPr>
          <w:rFonts w:ascii="Arial" w:eastAsia="Times New Roman" w:hAnsi="Arial" w:cs="Arial"/>
          <w:color w:val="000000"/>
          <w:lang w:eastAsia="en-ZA"/>
        </w:rPr>
        <w:t xml:space="preserve"> for longer than several days, an ophthalmological examination is advisable (including visual acuity, colour vision, eye-grounds, field of vision), before commencing treatment, and at regular intervals during treatment.</w:t>
      </w:r>
    </w:p>
    <w:p w14:paraId="559B7824" w14:textId="77777777" w:rsidR="00D05BD9" w:rsidRPr="00D05BD9" w:rsidRDefault="00D05BD9" w:rsidP="00D05BD9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lang w:eastAsia="en-ZA"/>
        </w:rPr>
      </w:pPr>
      <w:r w:rsidRPr="00D05BD9">
        <w:rPr>
          <w:rFonts w:ascii="Arial" w:eastAsia="Times New Roman" w:hAnsi="Arial" w:cs="Arial"/>
          <w:color w:val="000000"/>
          <w:lang w:eastAsia="en-ZA"/>
        </w:rPr>
        <w:t>Patients who experience visual disturbance should be withdrawn from treatment.</w:t>
      </w:r>
    </w:p>
    <w:p w14:paraId="485CDD23" w14:textId="77777777" w:rsidR="00D05BD9" w:rsidRPr="00D05BD9" w:rsidRDefault="00D05BD9" w:rsidP="00D05BD9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lang w:eastAsia="en-ZA"/>
        </w:rPr>
      </w:pPr>
    </w:p>
    <w:p w14:paraId="2D9C5C4F" w14:textId="77777777" w:rsidR="00D05BD9" w:rsidRPr="00D05BD9" w:rsidRDefault="00D05BD9" w:rsidP="00D05BD9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lang w:eastAsia="en-ZA"/>
        </w:rPr>
      </w:pPr>
      <w:r w:rsidRPr="00D05BD9">
        <w:rPr>
          <w:rFonts w:ascii="Arial" w:eastAsia="Times New Roman" w:hAnsi="Arial" w:cs="Arial"/>
          <w:color w:val="000000"/>
          <w:lang w:eastAsia="en-ZA"/>
        </w:rPr>
        <w:t>Clinical experience with BIO-TRANEXAMIC 500 in menorrhagic children under 15 years of age is not available.</w:t>
      </w:r>
    </w:p>
    <w:p w14:paraId="628E1F4F" w14:textId="77777777" w:rsidR="00D05BD9" w:rsidRPr="00D05BD9" w:rsidRDefault="00D05BD9" w:rsidP="00D05BD9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lang w:eastAsia="en-ZA"/>
        </w:rPr>
      </w:pPr>
    </w:p>
    <w:p w14:paraId="01540706" w14:textId="77777777" w:rsidR="00D05BD9" w:rsidRPr="00D05BD9" w:rsidRDefault="00D05BD9" w:rsidP="00D05BD9">
      <w:pPr>
        <w:spacing w:after="0" w:line="480" w:lineRule="auto"/>
        <w:ind w:left="567" w:hanging="567"/>
        <w:outlineLvl w:val="0"/>
        <w:rPr>
          <w:rFonts w:ascii="Arial" w:hAnsi="Arial" w:cs="Arial"/>
          <w:noProof/>
          <w:highlight w:val="yellow"/>
        </w:rPr>
      </w:pPr>
      <w:r w:rsidRPr="00D05BD9">
        <w:rPr>
          <w:rFonts w:ascii="Arial" w:hAnsi="Arial" w:cs="Arial"/>
          <w:b/>
          <w:noProof/>
        </w:rPr>
        <w:t>4.5</w:t>
      </w:r>
      <w:r w:rsidRPr="00D05BD9">
        <w:rPr>
          <w:rFonts w:ascii="Arial" w:hAnsi="Arial" w:cs="Arial"/>
          <w:b/>
          <w:noProof/>
        </w:rPr>
        <w:tab/>
        <w:t>Interaction with other medicines and other forms of interaction</w:t>
      </w:r>
    </w:p>
    <w:p w14:paraId="0F9E252F" w14:textId="77777777" w:rsidR="00D05BD9" w:rsidRPr="00D05BD9" w:rsidRDefault="00D05BD9" w:rsidP="00D05BD9">
      <w:pPr>
        <w:widowControl w:val="0"/>
        <w:spacing w:after="0" w:line="480" w:lineRule="auto"/>
        <w:rPr>
          <w:rFonts w:ascii="Arial" w:eastAsia="Times New Roman" w:hAnsi="Arial" w:cs="Arial"/>
          <w:bCs/>
          <w:i/>
          <w:highlight w:val="yellow"/>
          <w:lang w:val="en-GB"/>
        </w:rPr>
      </w:pPr>
      <w:r w:rsidRPr="00D05BD9">
        <w:rPr>
          <w:rFonts w:ascii="Arial" w:hAnsi="Arial" w:cs="Arial"/>
          <w:bCs/>
          <w:noProof/>
        </w:rPr>
        <w:t>BIO-TRANEXAMIC 500 will counteract the thrombolytic effect of fibrinolytic preparations.</w:t>
      </w:r>
    </w:p>
    <w:p w14:paraId="410531CD" w14:textId="77777777" w:rsidR="00D05BD9" w:rsidRPr="00D05BD9" w:rsidRDefault="00D05BD9" w:rsidP="00D05BD9">
      <w:pPr>
        <w:widowControl w:val="0"/>
        <w:spacing w:after="0" w:line="480" w:lineRule="auto"/>
        <w:rPr>
          <w:rFonts w:ascii="Arial" w:eastAsia="Times New Roman" w:hAnsi="Arial" w:cs="Arial"/>
          <w:b/>
          <w:i/>
          <w:highlight w:val="yellow"/>
          <w:lang w:val="en-GB"/>
        </w:rPr>
      </w:pPr>
    </w:p>
    <w:p w14:paraId="7F544D83" w14:textId="77777777" w:rsidR="00D05BD9" w:rsidRPr="00D05BD9" w:rsidRDefault="00D05BD9" w:rsidP="00D05BD9">
      <w:pPr>
        <w:spacing w:after="0" w:line="480" w:lineRule="auto"/>
        <w:ind w:left="567" w:hanging="567"/>
        <w:outlineLvl w:val="0"/>
        <w:rPr>
          <w:rFonts w:ascii="Arial" w:hAnsi="Arial" w:cs="Arial"/>
          <w:noProof/>
        </w:rPr>
      </w:pPr>
      <w:r w:rsidRPr="00D05BD9">
        <w:rPr>
          <w:rFonts w:ascii="Arial" w:hAnsi="Arial" w:cs="Arial"/>
          <w:b/>
          <w:noProof/>
        </w:rPr>
        <w:t>4.6</w:t>
      </w:r>
      <w:r w:rsidRPr="00D05BD9">
        <w:rPr>
          <w:rFonts w:ascii="Arial" w:hAnsi="Arial" w:cs="Arial"/>
          <w:b/>
          <w:noProof/>
        </w:rPr>
        <w:tab/>
      </w:r>
      <w:r w:rsidRPr="00D05BD9">
        <w:rPr>
          <w:rFonts w:ascii="Arial" w:hAnsi="Arial" w:cs="Arial"/>
          <w:b/>
          <w:bCs/>
        </w:rPr>
        <w:t>Fertility, p</w:t>
      </w:r>
      <w:r w:rsidRPr="00D05BD9">
        <w:rPr>
          <w:rFonts w:ascii="Arial" w:hAnsi="Arial" w:cs="Arial"/>
          <w:b/>
          <w:noProof/>
        </w:rPr>
        <w:t>regnancy and lactation</w:t>
      </w:r>
    </w:p>
    <w:p w14:paraId="602EA069" w14:textId="77777777" w:rsidR="00D05BD9" w:rsidRPr="00D05BD9" w:rsidRDefault="00D05BD9" w:rsidP="00D05BD9">
      <w:pPr>
        <w:spacing w:after="0" w:line="480" w:lineRule="auto"/>
        <w:rPr>
          <w:rFonts w:ascii="Arial" w:hAnsi="Arial" w:cs="Arial"/>
          <w:b/>
        </w:rPr>
      </w:pPr>
      <w:r w:rsidRPr="00D05BD9">
        <w:rPr>
          <w:rFonts w:ascii="Arial" w:hAnsi="Arial" w:cs="Arial"/>
          <w:b/>
        </w:rPr>
        <w:t>Pregnancy</w:t>
      </w:r>
    </w:p>
    <w:p w14:paraId="77CCC5DE" w14:textId="77777777" w:rsidR="00D05BD9" w:rsidRPr="00D05BD9" w:rsidRDefault="00D05BD9" w:rsidP="00D05BD9">
      <w:pPr>
        <w:spacing w:after="0" w:line="480" w:lineRule="auto"/>
        <w:rPr>
          <w:rFonts w:ascii="Arial" w:hAnsi="Arial" w:cs="Arial"/>
          <w:bCs/>
        </w:rPr>
      </w:pPr>
      <w:r w:rsidRPr="00D05BD9">
        <w:rPr>
          <w:rFonts w:ascii="Arial" w:hAnsi="Arial" w:cs="Arial"/>
          <w:bCs/>
        </w:rPr>
        <w:t>The safety of BIO-TRANEXAMIC 500 has not been established in pregnancy.</w:t>
      </w:r>
    </w:p>
    <w:p w14:paraId="05CFBACE" w14:textId="77777777" w:rsidR="00D05BD9" w:rsidRPr="00D05BD9" w:rsidRDefault="00D05BD9" w:rsidP="00D05BD9">
      <w:pPr>
        <w:spacing w:after="0" w:line="480" w:lineRule="auto"/>
        <w:rPr>
          <w:rFonts w:ascii="Arial" w:hAnsi="Arial" w:cs="Arial"/>
          <w:bCs/>
          <w:highlight w:val="yellow"/>
        </w:rPr>
      </w:pPr>
      <w:r w:rsidRPr="00D05BD9">
        <w:rPr>
          <w:rFonts w:ascii="Arial" w:hAnsi="Arial" w:cs="Arial"/>
          <w:bCs/>
        </w:rPr>
        <w:t>BIO-TRANEXAMIC 500 crosses the placenta, therefore the usual caution with use of medicines in pregnancy should be observed.</w:t>
      </w:r>
    </w:p>
    <w:p w14:paraId="0D3E2CB5" w14:textId="77777777" w:rsidR="00D05BD9" w:rsidRPr="00D05BD9" w:rsidRDefault="00D05BD9" w:rsidP="00D05BD9">
      <w:pPr>
        <w:spacing w:after="0" w:line="480" w:lineRule="auto"/>
        <w:rPr>
          <w:rFonts w:ascii="Arial" w:hAnsi="Arial" w:cs="Arial"/>
          <w:bCs/>
          <w:highlight w:val="yellow"/>
        </w:rPr>
      </w:pPr>
    </w:p>
    <w:p w14:paraId="2545D440" w14:textId="08101777" w:rsidR="00D05BD9" w:rsidRPr="00D05BD9" w:rsidRDefault="00D05BD9" w:rsidP="00D05BD9">
      <w:pPr>
        <w:spacing w:after="0" w:line="480" w:lineRule="auto"/>
        <w:rPr>
          <w:rFonts w:ascii="Arial" w:eastAsia="Times New Roman" w:hAnsi="Arial" w:cs="Arial"/>
          <w:b/>
          <w:bCs/>
          <w:highlight w:val="yellow"/>
          <w:lang w:val="en-GB"/>
        </w:rPr>
      </w:pPr>
      <w:r w:rsidRPr="00D05BD9">
        <w:rPr>
          <w:rFonts w:ascii="Arial" w:hAnsi="Arial" w:cs="Arial"/>
          <w:b/>
        </w:rPr>
        <w:t>Breastfeeding</w:t>
      </w:r>
    </w:p>
    <w:p w14:paraId="6A280DC5" w14:textId="77777777" w:rsidR="002064C0" w:rsidRDefault="00D05BD9" w:rsidP="00D05BD9">
      <w:pPr>
        <w:spacing w:after="0" w:line="480" w:lineRule="auto"/>
        <w:rPr>
          <w:rFonts w:ascii="Arial" w:hAnsi="Arial" w:cs="Arial"/>
          <w:bCs/>
        </w:rPr>
      </w:pPr>
      <w:r w:rsidRPr="00D05BD9">
        <w:rPr>
          <w:rFonts w:ascii="Arial" w:hAnsi="Arial" w:cs="Arial"/>
          <w:bCs/>
        </w:rPr>
        <w:t xml:space="preserve">BIO-TRANEXAMIC 500 passes into breastmilk to a concentration of approximately one hundredth of the concentration in the maternal blood. Caution should be exercised when </w:t>
      </w:r>
    </w:p>
    <w:p w14:paraId="02EC7372" w14:textId="3DF48F3E" w:rsidR="00D05BD9" w:rsidRPr="00D05BD9" w:rsidRDefault="00D05BD9" w:rsidP="00D05BD9">
      <w:pPr>
        <w:spacing w:after="0" w:line="480" w:lineRule="auto"/>
        <w:rPr>
          <w:rFonts w:ascii="Arial" w:hAnsi="Arial" w:cs="Arial"/>
          <w:bCs/>
          <w:highlight w:val="yellow"/>
        </w:rPr>
      </w:pPr>
      <w:r w:rsidRPr="00D05BD9">
        <w:rPr>
          <w:rFonts w:ascii="Arial" w:hAnsi="Arial" w:cs="Arial"/>
          <w:bCs/>
        </w:rPr>
        <w:t>BIO-TRANEXAMIC 500 is given to nursing women.</w:t>
      </w:r>
    </w:p>
    <w:p w14:paraId="441587DF" w14:textId="77777777" w:rsidR="00D05BD9" w:rsidRPr="00D05BD9" w:rsidRDefault="00D05BD9" w:rsidP="00D05BD9">
      <w:pPr>
        <w:spacing w:after="0" w:line="480" w:lineRule="auto"/>
        <w:rPr>
          <w:rFonts w:ascii="Arial" w:hAnsi="Arial" w:cs="Arial"/>
          <w:bCs/>
        </w:rPr>
      </w:pPr>
    </w:p>
    <w:p w14:paraId="090A5D58" w14:textId="77777777" w:rsidR="00D05BD9" w:rsidRPr="00D05BD9" w:rsidRDefault="00D05BD9" w:rsidP="00D05BD9">
      <w:pPr>
        <w:spacing w:after="0" w:line="480" w:lineRule="auto"/>
        <w:ind w:firstLine="35"/>
        <w:outlineLvl w:val="0"/>
        <w:rPr>
          <w:rFonts w:ascii="Arial" w:hAnsi="Arial" w:cs="Arial"/>
          <w:b/>
          <w:noProof/>
        </w:rPr>
      </w:pPr>
      <w:r w:rsidRPr="00D05BD9">
        <w:rPr>
          <w:rFonts w:ascii="Arial" w:hAnsi="Arial" w:cs="Arial"/>
          <w:b/>
          <w:noProof/>
        </w:rPr>
        <w:t>Fertility</w:t>
      </w:r>
    </w:p>
    <w:p w14:paraId="6DABAF97" w14:textId="77777777" w:rsidR="00D05BD9" w:rsidRPr="00D05BD9" w:rsidRDefault="00D05BD9" w:rsidP="00D05BD9">
      <w:pPr>
        <w:spacing w:after="0" w:line="480" w:lineRule="auto"/>
        <w:ind w:firstLine="35"/>
        <w:outlineLvl w:val="0"/>
        <w:rPr>
          <w:rFonts w:ascii="Arial" w:hAnsi="Arial" w:cs="Arial"/>
          <w:bCs/>
          <w:noProof/>
        </w:rPr>
      </w:pPr>
      <w:r w:rsidRPr="00D05BD9">
        <w:rPr>
          <w:rFonts w:ascii="Arial" w:hAnsi="Arial" w:cs="Arial"/>
          <w:bCs/>
          <w:noProof/>
        </w:rPr>
        <w:t>There are no clinical data on the effect of BIO-TRANEXAMIC 500 on fertility.</w:t>
      </w:r>
    </w:p>
    <w:p w14:paraId="6E7C1DA7" w14:textId="77777777" w:rsidR="00D05BD9" w:rsidRPr="00D05BD9" w:rsidRDefault="00D05BD9" w:rsidP="00D05BD9">
      <w:pPr>
        <w:spacing w:after="0" w:line="480" w:lineRule="auto"/>
        <w:ind w:firstLine="35"/>
        <w:outlineLvl w:val="0"/>
        <w:rPr>
          <w:rFonts w:ascii="Arial" w:hAnsi="Arial" w:cs="Arial"/>
          <w:bCs/>
          <w:noProof/>
        </w:rPr>
      </w:pPr>
    </w:p>
    <w:p w14:paraId="2A8A7BCB" w14:textId="77777777" w:rsidR="00D05BD9" w:rsidRPr="00D05BD9" w:rsidRDefault="00D05BD9" w:rsidP="00D05BD9">
      <w:pPr>
        <w:keepNext/>
        <w:spacing w:after="0" w:line="480" w:lineRule="auto"/>
        <w:ind w:left="567" w:hanging="567"/>
        <w:outlineLvl w:val="0"/>
        <w:rPr>
          <w:rFonts w:ascii="Arial" w:hAnsi="Arial" w:cs="Arial"/>
          <w:noProof/>
        </w:rPr>
      </w:pPr>
      <w:r w:rsidRPr="00D05BD9">
        <w:rPr>
          <w:rFonts w:ascii="Arial" w:hAnsi="Arial" w:cs="Arial"/>
          <w:b/>
          <w:noProof/>
        </w:rPr>
        <w:t>4.7</w:t>
      </w:r>
      <w:r w:rsidRPr="00D05BD9">
        <w:rPr>
          <w:rFonts w:ascii="Arial" w:hAnsi="Arial" w:cs="Arial"/>
          <w:b/>
          <w:noProof/>
        </w:rPr>
        <w:tab/>
        <w:t>Effects on ability to drive and use machines</w:t>
      </w:r>
    </w:p>
    <w:p w14:paraId="1DBBD26C" w14:textId="77777777" w:rsidR="00D05BD9" w:rsidRPr="00D05BD9" w:rsidRDefault="00D05BD9" w:rsidP="00D05BD9">
      <w:pPr>
        <w:widowControl w:val="0"/>
        <w:spacing w:after="0" w:line="480" w:lineRule="auto"/>
        <w:rPr>
          <w:rFonts w:ascii="Arial" w:hAnsi="Arial" w:cs="Arial"/>
          <w:lang w:val="en-GB"/>
        </w:rPr>
      </w:pPr>
      <w:r w:rsidRPr="00D05BD9">
        <w:rPr>
          <w:rFonts w:ascii="Arial" w:hAnsi="Arial" w:cs="Arial"/>
          <w:lang w:val="en-GB"/>
        </w:rPr>
        <w:t xml:space="preserve">BIO-TRANEXAMIC 500 can cause side effects, such as dizziness and vision problems, and </w:t>
      </w:r>
      <w:r w:rsidRPr="00D05BD9">
        <w:rPr>
          <w:rFonts w:ascii="Arial" w:hAnsi="Arial" w:cs="Arial"/>
          <w:lang w:val="en-GB"/>
        </w:rPr>
        <w:lastRenderedPageBreak/>
        <w:t>can affect the ability to drive a vehicle and use machines. Caution is advised when driving a vehicle or operating machinery until the effects of BIO-TRANEXAMIC 500 are known.</w:t>
      </w:r>
    </w:p>
    <w:p w14:paraId="49842B23" w14:textId="77777777" w:rsidR="00D05BD9" w:rsidRPr="00D05BD9" w:rsidRDefault="00D05BD9" w:rsidP="00D05BD9">
      <w:pPr>
        <w:widowControl w:val="0"/>
        <w:spacing w:after="0" w:line="480" w:lineRule="auto"/>
        <w:rPr>
          <w:rFonts w:ascii="Arial" w:hAnsi="Arial" w:cs="Arial"/>
          <w:lang w:val="en-GB"/>
        </w:rPr>
      </w:pPr>
    </w:p>
    <w:p w14:paraId="6E77B681" w14:textId="77777777" w:rsidR="00D05BD9" w:rsidRPr="00D05BD9" w:rsidRDefault="00D05BD9" w:rsidP="00D05BD9">
      <w:pPr>
        <w:numPr>
          <w:ilvl w:val="1"/>
          <w:numId w:val="7"/>
        </w:numPr>
        <w:spacing w:after="0" w:line="480" w:lineRule="auto"/>
        <w:outlineLvl w:val="0"/>
        <w:rPr>
          <w:rFonts w:ascii="Arial" w:hAnsi="Arial" w:cs="Arial"/>
          <w:b/>
          <w:noProof/>
        </w:rPr>
      </w:pPr>
      <w:r w:rsidRPr="00D05BD9">
        <w:rPr>
          <w:rFonts w:ascii="Arial" w:hAnsi="Arial" w:cs="Arial"/>
          <w:b/>
          <w:noProof/>
        </w:rPr>
        <w:t>Undesirable effects</w:t>
      </w:r>
    </w:p>
    <w:p w14:paraId="01A15613" w14:textId="77777777" w:rsidR="00D05BD9" w:rsidRPr="00D05BD9" w:rsidRDefault="00D05BD9" w:rsidP="00D05BD9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lang w:eastAsia="en-ZA"/>
        </w:rPr>
      </w:pPr>
      <w:r w:rsidRPr="00D05BD9">
        <w:rPr>
          <w:rFonts w:ascii="Arial" w:eastAsia="Times New Roman" w:hAnsi="Arial" w:cs="Arial"/>
          <w:b/>
          <w:bCs/>
          <w:color w:val="000000"/>
          <w:lang w:eastAsia="en-ZA"/>
        </w:rPr>
        <w:t>Immune system disorders</w:t>
      </w:r>
    </w:p>
    <w:p w14:paraId="256FB6E6" w14:textId="55DC8611" w:rsidR="00D05BD9" w:rsidRPr="00D05BD9" w:rsidRDefault="00D05BD9" w:rsidP="00D05BD9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lang w:eastAsia="en-ZA"/>
        </w:rPr>
      </w:pPr>
      <w:r w:rsidRPr="00D05BD9">
        <w:rPr>
          <w:rFonts w:ascii="Arial" w:eastAsia="Times New Roman" w:hAnsi="Arial" w:cs="Arial"/>
          <w:i/>
          <w:iCs/>
          <w:color w:val="000000"/>
          <w:lang w:eastAsia="en-ZA"/>
        </w:rPr>
        <w:t>Less frequent:</w:t>
      </w:r>
      <w:r w:rsidRPr="00D05BD9">
        <w:rPr>
          <w:rFonts w:ascii="Arial" w:eastAsia="Times New Roman" w:hAnsi="Arial" w:cs="Arial"/>
          <w:i/>
          <w:iCs/>
          <w:color w:val="000000"/>
          <w:lang w:eastAsia="en-ZA"/>
        </w:rPr>
        <w:tab/>
      </w:r>
      <w:r w:rsidRPr="00D05BD9">
        <w:rPr>
          <w:rFonts w:ascii="Arial" w:eastAsia="Times New Roman" w:hAnsi="Arial" w:cs="Arial"/>
          <w:i/>
          <w:iCs/>
          <w:color w:val="000000"/>
          <w:lang w:eastAsia="en-ZA"/>
        </w:rPr>
        <w:tab/>
      </w:r>
      <w:r w:rsidRPr="00D05BD9">
        <w:rPr>
          <w:rFonts w:ascii="Arial" w:eastAsia="Times New Roman" w:hAnsi="Arial" w:cs="Arial"/>
          <w:color w:val="000000"/>
          <w:lang w:eastAsia="en-ZA"/>
        </w:rPr>
        <w:t>hypersensitivity reactions including</w:t>
      </w:r>
      <w:r>
        <w:rPr>
          <w:rFonts w:ascii="Arial" w:eastAsia="Times New Roman" w:hAnsi="Arial" w:cs="Arial"/>
          <w:color w:val="000000"/>
          <w:lang w:eastAsia="en-ZA"/>
        </w:rPr>
        <w:t xml:space="preserve"> </w:t>
      </w:r>
      <w:r w:rsidRPr="00D05BD9">
        <w:rPr>
          <w:rFonts w:ascii="Arial" w:eastAsia="Times New Roman" w:hAnsi="Arial" w:cs="Arial"/>
          <w:color w:val="000000"/>
          <w:lang w:eastAsia="en-ZA"/>
        </w:rPr>
        <w:t>anaphylaxes</w:t>
      </w:r>
    </w:p>
    <w:p w14:paraId="49C85E89" w14:textId="77777777" w:rsidR="00D05BD9" w:rsidRPr="00D05BD9" w:rsidRDefault="00D05BD9" w:rsidP="00D05BD9">
      <w:pPr>
        <w:shd w:val="clear" w:color="auto" w:fill="FFFFFF"/>
        <w:spacing w:after="0" w:line="480" w:lineRule="auto"/>
        <w:rPr>
          <w:rFonts w:ascii="Arial" w:eastAsia="Times New Roman" w:hAnsi="Arial" w:cs="Arial"/>
          <w:b/>
          <w:bCs/>
          <w:color w:val="000000"/>
          <w:lang w:eastAsia="en-ZA"/>
        </w:rPr>
      </w:pPr>
    </w:p>
    <w:p w14:paraId="26DF8FF7" w14:textId="77777777" w:rsidR="00D05BD9" w:rsidRPr="00D05BD9" w:rsidRDefault="00D05BD9" w:rsidP="00D05BD9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lang w:eastAsia="en-ZA"/>
        </w:rPr>
      </w:pPr>
      <w:r w:rsidRPr="00D05BD9">
        <w:rPr>
          <w:rFonts w:ascii="Arial" w:eastAsia="Times New Roman" w:hAnsi="Arial" w:cs="Arial"/>
          <w:b/>
          <w:bCs/>
          <w:color w:val="000000"/>
          <w:lang w:eastAsia="en-ZA"/>
        </w:rPr>
        <w:t>Nervous system disorders</w:t>
      </w:r>
      <w:r w:rsidRPr="00D05BD9">
        <w:rPr>
          <w:rFonts w:ascii="Arial" w:eastAsia="Times New Roman" w:hAnsi="Arial" w:cs="Arial"/>
          <w:color w:val="000000"/>
          <w:lang w:eastAsia="en-ZA"/>
        </w:rPr>
        <w:t>:</w:t>
      </w:r>
    </w:p>
    <w:p w14:paraId="69A2BEF6" w14:textId="77777777" w:rsidR="00D05BD9" w:rsidRPr="00D05BD9" w:rsidRDefault="00D05BD9" w:rsidP="00D05BD9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lang w:eastAsia="en-ZA"/>
        </w:rPr>
      </w:pPr>
      <w:r w:rsidRPr="00D05BD9">
        <w:rPr>
          <w:rFonts w:ascii="Arial" w:eastAsia="Times New Roman" w:hAnsi="Arial" w:cs="Arial"/>
          <w:i/>
          <w:iCs/>
          <w:color w:val="000000"/>
          <w:lang w:eastAsia="en-ZA"/>
        </w:rPr>
        <w:t>Less frequent:</w:t>
      </w:r>
      <w:r w:rsidRPr="00D05BD9">
        <w:rPr>
          <w:rFonts w:ascii="Arial" w:eastAsia="Times New Roman" w:hAnsi="Arial" w:cs="Arial"/>
          <w:i/>
          <w:iCs/>
          <w:color w:val="000000"/>
          <w:lang w:eastAsia="en-ZA"/>
        </w:rPr>
        <w:tab/>
      </w:r>
      <w:r w:rsidRPr="00D05BD9">
        <w:rPr>
          <w:rFonts w:ascii="Arial" w:eastAsia="Times New Roman" w:hAnsi="Arial" w:cs="Arial"/>
          <w:i/>
          <w:iCs/>
          <w:color w:val="000000"/>
          <w:lang w:eastAsia="en-ZA"/>
        </w:rPr>
        <w:tab/>
      </w:r>
      <w:r w:rsidRPr="00D05BD9">
        <w:rPr>
          <w:rFonts w:ascii="Arial" w:eastAsia="Times New Roman" w:hAnsi="Arial" w:cs="Arial"/>
          <w:color w:val="000000"/>
          <w:lang w:eastAsia="en-ZA"/>
        </w:rPr>
        <w:t>dizziness</w:t>
      </w:r>
    </w:p>
    <w:p w14:paraId="2384C11B" w14:textId="77777777" w:rsidR="00D05BD9" w:rsidRPr="00D05BD9" w:rsidRDefault="00D05BD9" w:rsidP="00D05BD9">
      <w:pPr>
        <w:shd w:val="clear" w:color="auto" w:fill="FFFFFF"/>
        <w:spacing w:after="0" w:line="480" w:lineRule="auto"/>
        <w:rPr>
          <w:rFonts w:ascii="Arial" w:eastAsia="Times New Roman" w:hAnsi="Arial" w:cs="Arial"/>
          <w:b/>
          <w:bCs/>
          <w:color w:val="000000"/>
          <w:lang w:eastAsia="en-ZA"/>
        </w:rPr>
      </w:pPr>
    </w:p>
    <w:p w14:paraId="36F0E534" w14:textId="77777777" w:rsidR="00D05BD9" w:rsidRPr="00D05BD9" w:rsidRDefault="00D05BD9" w:rsidP="00D05BD9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lang w:eastAsia="en-ZA"/>
        </w:rPr>
      </w:pPr>
      <w:r w:rsidRPr="00D05BD9">
        <w:rPr>
          <w:rFonts w:ascii="Arial" w:eastAsia="Times New Roman" w:hAnsi="Arial" w:cs="Arial"/>
          <w:b/>
          <w:bCs/>
          <w:color w:val="000000"/>
          <w:lang w:eastAsia="en-ZA"/>
        </w:rPr>
        <w:t>Eye disorders</w:t>
      </w:r>
    </w:p>
    <w:p w14:paraId="5295BECD" w14:textId="40EBD4CF" w:rsidR="00D05BD9" w:rsidRPr="00D05BD9" w:rsidRDefault="00D05BD9" w:rsidP="00D05BD9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lang w:eastAsia="en-ZA"/>
        </w:rPr>
      </w:pPr>
      <w:r w:rsidRPr="00D05BD9">
        <w:rPr>
          <w:rFonts w:ascii="Arial" w:eastAsia="Times New Roman" w:hAnsi="Arial" w:cs="Arial"/>
          <w:i/>
          <w:iCs/>
          <w:color w:val="000000"/>
          <w:lang w:eastAsia="en-ZA"/>
        </w:rPr>
        <w:t>Less frequent:</w:t>
      </w:r>
      <w:r w:rsidRPr="00D05BD9">
        <w:rPr>
          <w:rFonts w:ascii="Arial" w:eastAsia="Times New Roman" w:hAnsi="Arial" w:cs="Arial"/>
          <w:color w:val="000000"/>
          <w:lang w:eastAsia="en-ZA"/>
        </w:rPr>
        <w:t xml:space="preserve"> </w:t>
      </w:r>
      <w:r w:rsidRPr="00D05BD9">
        <w:rPr>
          <w:rFonts w:ascii="Arial" w:eastAsia="Times New Roman" w:hAnsi="Arial" w:cs="Arial"/>
          <w:color w:val="000000"/>
          <w:lang w:eastAsia="en-ZA"/>
        </w:rPr>
        <w:tab/>
        <w:t>colour vision disturbances, retinal/artery</w:t>
      </w:r>
      <w:r>
        <w:rPr>
          <w:rFonts w:ascii="Arial" w:eastAsia="Times New Roman" w:hAnsi="Arial" w:cs="Arial"/>
          <w:color w:val="000000"/>
          <w:lang w:eastAsia="en-ZA"/>
        </w:rPr>
        <w:t xml:space="preserve"> </w:t>
      </w:r>
      <w:r w:rsidRPr="00D05BD9">
        <w:rPr>
          <w:rFonts w:ascii="Arial" w:eastAsia="Times New Roman" w:hAnsi="Arial" w:cs="Arial"/>
          <w:color w:val="000000"/>
          <w:lang w:eastAsia="en-ZA"/>
        </w:rPr>
        <w:t>occlusion</w:t>
      </w:r>
    </w:p>
    <w:p w14:paraId="55C5A02E" w14:textId="77777777" w:rsidR="00D05BD9" w:rsidRPr="00D05BD9" w:rsidRDefault="00D05BD9" w:rsidP="00D05BD9">
      <w:pPr>
        <w:shd w:val="clear" w:color="auto" w:fill="FFFFFF"/>
        <w:spacing w:after="0" w:line="480" w:lineRule="auto"/>
        <w:rPr>
          <w:rFonts w:ascii="Arial" w:eastAsia="Times New Roman" w:hAnsi="Arial" w:cs="Arial"/>
          <w:b/>
          <w:bCs/>
          <w:color w:val="000000"/>
          <w:lang w:eastAsia="en-ZA"/>
        </w:rPr>
      </w:pPr>
    </w:p>
    <w:p w14:paraId="199ED928" w14:textId="77777777" w:rsidR="00D05BD9" w:rsidRPr="00D05BD9" w:rsidRDefault="00D05BD9" w:rsidP="00D05BD9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lang w:eastAsia="en-ZA"/>
        </w:rPr>
      </w:pPr>
      <w:r w:rsidRPr="00D05BD9">
        <w:rPr>
          <w:rFonts w:ascii="Arial" w:eastAsia="Times New Roman" w:hAnsi="Arial" w:cs="Arial"/>
          <w:b/>
          <w:bCs/>
          <w:color w:val="000000"/>
          <w:lang w:eastAsia="en-ZA"/>
        </w:rPr>
        <w:t>Vascular disorders</w:t>
      </w:r>
    </w:p>
    <w:p w14:paraId="7DFDA234" w14:textId="0DAA4AEA" w:rsidR="00D05BD9" w:rsidRDefault="00D05BD9" w:rsidP="00D05BD9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lang w:eastAsia="en-ZA"/>
        </w:rPr>
      </w:pPr>
      <w:r w:rsidRPr="00D05BD9">
        <w:rPr>
          <w:rFonts w:ascii="Arial" w:eastAsia="Times New Roman" w:hAnsi="Arial" w:cs="Arial"/>
          <w:i/>
          <w:iCs/>
          <w:color w:val="000000"/>
          <w:lang w:eastAsia="en-ZA"/>
        </w:rPr>
        <w:t>Less frequent:</w:t>
      </w:r>
      <w:r w:rsidRPr="00D05BD9">
        <w:rPr>
          <w:rFonts w:ascii="Arial" w:eastAsia="Times New Roman" w:hAnsi="Arial" w:cs="Arial"/>
          <w:i/>
          <w:iCs/>
          <w:color w:val="000000"/>
          <w:lang w:eastAsia="en-ZA"/>
        </w:rPr>
        <w:tab/>
      </w:r>
      <w:r w:rsidRPr="00D05BD9">
        <w:rPr>
          <w:rFonts w:ascii="Arial" w:eastAsia="Times New Roman" w:hAnsi="Arial" w:cs="Arial"/>
          <w:color w:val="000000"/>
          <w:lang w:eastAsia="en-ZA"/>
        </w:rPr>
        <w:tab/>
        <w:t>thromboembolic events, arterial or venous thrombosis at any site</w:t>
      </w:r>
    </w:p>
    <w:p w14:paraId="5908B611" w14:textId="77777777" w:rsidR="00D05BD9" w:rsidRPr="00D05BD9" w:rsidRDefault="00D05BD9" w:rsidP="00D05BD9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lang w:eastAsia="en-ZA"/>
        </w:rPr>
      </w:pPr>
    </w:p>
    <w:p w14:paraId="06449A75" w14:textId="77777777" w:rsidR="00D05BD9" w:rsidRPr="00D05BD9" w:rsidRDefault="00D05BD9" w:rsidP="00D05BD9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lang w:eastAsia="en-ZA"/>
        </w:rPr>
      </w:pPr>
      <w:r w:rsidRPr="00D05BD9">
        <w:rPr>
          <w:rFonts w:ascii="Arial" w:eastAsia="Times New Roman" w:hAnsi="Arial" w:cs="Arial"/>
          <w:b/>
          <w:bCs/>
          <w:color w:val="000000"/>
          <w:lang w:eastAsia="en-ZA"/>
        </w:rPr>
        <w:t>Gastro-intestinal disorders</w:t>
      </w:r>
    </w:p>
    <w:p w14:paraId="10E62DD5" w14:textId="5D0B1826" w:rsidR="00D05BD9" w:rsidRPr="00D05BD9" w:rsidRDefault="00D05BD9" w:rsidP="00D05BD9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lang w:eastAsia="en-ZA"/>
        </w:rPr>
      </w:pPr>
      <w:r w:rsidRPr="00D05BD9">
        <w:rPr>
          <w:rFonts w:ascii="Arial" w:eastAsia="Times New Roman" w:hAnsi="Arial" w:cs="Arial"/>
          <w:i/>
          <w:iCs/>
          <w:color w:val="000000"/>
          <w:lang w:eastAsia="en-ZA"/>
        </w:rPr>
        <w:t>Less frequent:</w:t>
      </w:r>
      <w:r w:rsidRPr="00D05BD9">
        <w:rPr>
          <w:rFonts w:ascii="Arial" w:eastAsia="Times New Roman" w:hAnsi="Arial" w:cs="Arial"/>
          <w:color w:val="000000"/>
          <w:lang w:eastAsia="en-ZA"/>
        </w:rPr>
        <w:t xml:space="preserve"> </w:t>
      </w:r>
      <w:r w:rsidRPr="00D05BD9">
        <w:rPr>
          <w:rFonts w:ascii="Arial" w:eastAsia="Times New Roman" w:hAnsi="Arial" w:cs="Arial"/>
          <w:color w:val="000000"/>
          <w:lang w:eastAsia="en-ZA"/>
        </w:rPr>
        <w:tab/>
        <w:t>nausea, vomiting, diarrhoea (digestive effects</w:t>
      </w:r>
      <w:r>
        <w:rPr>
          <w:rFonts w:ascii="Arial" w:eastAsia="Times New Roman" w:hAnsi="Arial" w:cs="Arial"/>
          <w:color w:val="000000"/>
          <w:lang w:eastAsia="en-ZA"/>
        </w:rPr>
        <w:t xml:space="preserve"> </w:t>
      </w:r>
      <w:r w:rsidRPr="00D05BD9">
        <w:rPr>
          <w:rFonts w:ascii="Arial" w:eastAsia="Times New Roman" w:hAnsi="Arial" w:cs="Arial"/>
          <w:color w:val="000000"/>
          <w:lang w:eastAsia="en-ZA"/>
        </w:rPr>
        <w:t xml:space="preserve">may disappear when </w:t>
      </w:r>
      <w:r>
        <w:rPr>
          <w:rFonts w:ascii="Arial" w:eastAsia="Times New Roman" w:hAnsi="Arial" w:cs="Arial"/>
          <w:color w:val="000000"/>
          <w:lang w:eastAsia="en-ZA"/>
        </w:rPr>
        <w:tab/>
      </w:r>
      <w:r>
        <w:rPr>
          <w:rFonts w:ascii="Arial" w:eastAsia="Times New Roman" w:hAnsi="Arial" w:cs="Arial"/>
          <w:color w:val="000000"/>
          <w:lang w:eastAsia="en-ZA"/>
        </w:rPr>
        <w:tab/>
      </w:r>
      <w:r>
        <w:rPr>
          <w:rFonts w:ascii="Arial" w:eastAsia="Times New Roman" w:hAnsi="Arial" w:cs="Arial"/>
          <w:color w:val="000000"/>
          <w:lang w:eastAsia="en-ZA"/>
        </w:rPr>
        <w:tab/>
      </w:r>
      <w:r w:rsidRPr="00D05BD9">
        <w:rPr>
          <w:rFonts w:ascii="Arial" w:eastAsia="Times New Roman" w:hAnsi="Arial" w:cs="Arial"/>
          <w:color w:val="000000"/>
          <w:lang w:eastAsia="en-ZA"/>
        </w:rPr>
        <w:t>the dosage is reduced)</w:t>
      </w:r>
    </w:p>
    <w:p w14:paraId="6339222A" w14:textId="77777777" w:rsidR="00D05BD9" w:rsidRPr="00D05BD9" w:rsidRDefault="00D05BD9" w:rsidP="00D05BD9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lang w:eastAsia="en-ZA"/>
        </w:rPr>
      </w:pPr>
      <w:r w:rsidRPr="00D05BD9">
        <w:rPr>
          <w:rFonts w:ascii="Arial" w:eastAsia="Times New Roman" w:hAnsi="Arial" w:cs="Arial"/>
          <w:b/>
          <w:bCs/>
          <w:color w:val="000000"/>
          <w:lang w:eastAsia="en-ZA"/>
        </w:rPr>
        <w:t>Skin and subcutaneous tissue disorders</w:t>
      </w:r>
    </w:p>
    <w:p w14:paraId="21E09919" w14:textId="77777777" w:rsidR="00D05BD9" w:rsidRPr="00D05BD9" w:rsidRDefault="00D05BD9" w:rsidP="00D05BD9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lang w:eastAsia="en-ZA"/>
        </w:rPr>
      </w:pPr>
      <w:r w:rsidRPr="00D05BD9">
        <w:rPr>
          <w:rFonts w:ascii="Arial" w:eastAsia="Times New Roman" w:hAnsi="Arial" w:cs="Arial"/>
          <w:i/>
          <w:iCs/>
          <w:color w:val="000000"/>
          <w:lang w:eastAsia="en-ZA"/>
        </w:rPr>
        <w:t>Less frequent:</w:t>
      </w:r>
      <w:r w:rsidRPr="00D05BD9">
        <w:rPr>
          <w:rFonts w:ascii="Arial" w:eastAsia="Times New Roman" w:hAnsi="Arial" w:cs="Arial"/>
          <w:i/>
          <w:iCs/>
          <w:color w:val="000000"/>
          <w:lang w:eastAsia="en-ZA"/>
        </w:rPr>
        <w:tab/>
      </w:r>
      <w:r w:rsidRPr="00D05BD9">
        <w:rPr>
          <w:rFonts w:ascii="Arial" w:eastAsia="Times New Roman" w:hAnsi="Arial" w:cs="Arial"/>
          <w:i/>
          <w:iCs/>
          <w:color w:val="000000"/>
          <w:lang w:eastAsia="en-ZA"/>
        </w:rPr>
        <w:tab/>
      </w:r>
      <w:r w:rsidRPr="00D05BD9">
        <w:rPr>
          <w:rFonts w:ascii="Arial" w:eastAsia="Times New Roman" w:hAnsi="Arial" w:cs="Arial"/>
          <w:color w:val="000000"/>
          <w:lang w:eastAsia="en-ZA"/>
        </w:rPr>
        <w:t>allergic skin reactions</w:t>
      </w:r>
    </w:p>
    <w:p w14:paraId="405E26E1" w14:textId="77777777" w:rsidR="00D05BD9" w:rsidRPr="00D05BD9" w:rsidRDefault="00D05BD9" w:rsidP="00D05BD9">
      <w:pPr>
        <w:shd w:val="clear" w:color="auto" w:fill="FFFFFF"/>
        <w:spacing w:after="0" w:line="480" w:lineRule="auto"/>
        <w:rPr>
          <w:rFonts w:ascii="Arial" w:eastAsia="Times New Roman" w:hAnsi="Arial" w:cs="Arial"/>
          <w:b/>
          <w:bCs/>
          <w:color w:val="000000"/>
          <w:lang w:eastAsia="en-ZA"/>
        </w:rPr>
      </w:pPr>
    </w:p>
    <w:p w14:paraId="7706548F" w14:textId="77777777" w:rsidR="00D05BD9" w:rsidRPr="00D05BD9" w:rsidRDefault="00D05BD9" w:rsidP="00D05BD9">
      <w:pPr>
        <w:keepNext/>
        <w:spacing w:after="0" w:line="480" w:lineRule="auto"/>
        <w:rPr>
          <w:rFonts w:ascii="Arial" w:hAnsi="Arial" w:cs="Arial"/>
          <w:b/>
          <w:iCs/>
        </w:rPr>
      </w:pPr>
      <w:r w:rsidRPr="00D05BD9">
        <w:rPr>
          <w:rFonts w:ascii="Arial" w:hAnsi="Arial" w:cs="Arial"/>
          <w:b/>
          <w:iCs/>
        </w:rPr>
        <w:t>Reporting of suspected adverse reactions</w:t>
      </w:r>
    </w:p>
    <w:p w14:paraId="5F630E39" w14:textId="0D1B621D" w:rsidR="00D05BD9" w:rsidRPr="00D05BD9" w:rsidRDefault="00D05BD9" w:rsidP="00D05BD9">
      <w:pPr>
        <w:shd w:val="clear" w:color="auto" w:fill="FFFFFF"/>
        <w:spacing w:after="0" w:line="480" w:lineRule="auto"/>
        <w:rPr>
          <w:rFonts w:ascii="Arial" w:hAnsi="Arial" w:cs="Arial"/>
        </w:rPr>
      </w:pPr>
      <w:r w:rsidRPr="00D05BD9">
        <w:rPr>
          <w:rFonts w:ascii="Arial" w:hAnsi="Arial" w:cs="Arial"/>
        </w:rPr>
        <w:t xml:space="preserve">Reporting suspected adverse reactions after authorisation of </w:t>
      </w:r>
      <w:r w:rsidRPr="00D05BD9">
        <w:rPr>
          <w:rFonts w:ascii="Arial" w:hAnsi="Arial" w:cs="Arial"/>
          <w:bCs/>
          <w:noProof/>
        </w:rPr>
        <w:t>BIO-TRANEXAMIC 500</w:t>
      </w:r>
      <w:r w:rsidRPr="00D05BD9">
        <w:rPr>
          <w:rFonts w:ascii="Arial" w:hAnsi="Arial" w:cs="Arial"/>
        </w:rPr>
        <w:t xml:space="preserve"> is important. It allows continued monitoring of the benefit/risk balance of </w:t>
      </w:r>
      <w:r w:rsidRPr="00D05BD9">
        <w:rPr>
          <w:rFonts w:ascii="Arial" w:hAnsi="Arial" w:cs="Arial"/>
          <w:bCs/>
          <w:noProof/>
        </w:rPr>
        <w:t>BIO-TRANEXAMIC 500</w:t>
      </w:r>
      <w:r w:rsidRPr="00D05BD9">
        <w:rPr>
          <w:rFonts w:ascii="Arial" w:hAnsi="Arial" w:cs="Arial"/>
        </w:rPr>
        <w:t xml:space="preserve">. Health care providers are asked to report any suspected adverse reactions via the </w:t>
      </w:r>
      <w:r w:rsidRPr="00D05BD9">
        <w:rPr>
          <w:rFonts w:ascii="Arial" w:hAnsi="Arial" w:cs="Arial"/>
          <w:b/>
          <w:bCs/>
        </w:rPr>
        <w:t>“6.04 Adverse Drug Reaction Reporting Form”</w:t>
      </w:r>
      <w:r w:rsidRPr="00D05BD9">
        <w:rPr>
          <w:rFonts w:ascii="Arial" w:hAnsi="Arial" w:cs="Arial"/>
        </w:rPr>
        <w:t xml:space="preserve">, found online under SAHPRA’s publications: </w:t>
      </w:r>
    </w:p>
    <w:p w14:paraId="76258B8D" w14:textId="77777777" w:rsidR="00D05BD9" w:rsidRPr="00D05BD9" w:rsidRDefault="0018423E" w:rsidP="00D05BD9">
      <w:pPr>
        <w:shd w:val="clear" w:color="auto" w:fill="FFFFFF"/>
        <w:spacing w:after="0" w:line="480" w:lineRule="auto"/>
        <w:rPr>
          <w:rFonts w:ascii="Arial" w:hAnsi="Arial" w:cs="Arial"/>
          <w:color w:val="0563C1"/>
        </w:rPr>
      </w:pPr>
      <w:hyperlink r:id="rId8" w:history="1">
        <w:r w:rsidR="00D05BD9" w:rsidRPr="00D05BD9">
          <w:rPr>
            <w:rStyle w:val="Hyperlink"/>
            <w:rFonts w:ascii="Arial" w:hAnsi="Arial" w:cs="Arial"/>
            <w:u w:val="none"/>
          </w:rPr>
          <w:t>https://www.sahpra.org.za/Publications/Index/8</w:t>
        </w:r>
      </w:hyperlink>
      <w:r w:rsidR="00D05BD9" w:rsidRPr="00D05BD9">
        <w:rPr>
          <w:rFonts w:ascii="Arial" w:hAnsi="Arial" w:cs="Arial"/>
          <w:color w:val="0563C1"/>
        </w:rPr>
        <w:t>.</w:t>
      </w:r>
    </w:p>
    <w:p w14:paraId="1967A12D" w14:textId="77777777" w:rsidR="00D05BD9" w:rsidRPr="00D05BD9" w:rsidRDefault="00D05BD9" w:rsidP="00D05BD9">
      <w:pPr>
        <w:keepNext/>
        <w:spacing w:after="0" w:line="480" w:lineRule="auto"/>
        <w:rPr>
          <w:rFonts w:ascii="Arial" w:hAnsi="Arial" w:cs="Arial"/>
          <w:b/>
          <w:iCs/>
        </w:rPr>
      </w:pPr>
    </w:p>
    <w:p w14:paraId="379F060D" w14:textId="77777777" w:rsidR="00D05BD9" w:rsidRPr="00D05BD9" w:rsidRDefault="00D05BD9" w:rsidP="00D05BD9">
      <w:pPr>
        <w:spacing w:after="0" w:line="480" w:lineRule="auto"/>
        <w:ind w:left="567" w:hanging="567"/>
        <w:outlineLvl w:val="0"/>
        <w:rPr>
          <w:rFonts w:ascii="Arial" w:hAnsi="Arial" w:cs="Arial"/>
          <w:noProof/>
        </w:rPr>
      </w:pPr>
      <w:r w:rsidRPr="00D05BD9">
        <w:rPr>
          <w:rFonts w:ascii="Arial" w:hAnsi="Arial" w:cs="Arial"/>
          <w:b/>
          <w:noProof/>
        </w:rPr>
        <w:t>4.9</w:t>
      </w:r>
      <w:r w:rsidRPr="00D05BD9">
        <w:rPr>
          <w:rFonts w:ascii="Arial" w:hAnsi="Arial" w:cs="Arial"/>
          <w:b/>
          <w:noProof/>
        </w:rPr>
        <w:tab/>
        <w:t>Overdose</w:t>
      </w:r>
    </w:p>
    <w:p w14:paraId="0DD0FA5A" w14:textId="32A7D3B1" w:rsidR="00D05BD9" w:rsidRPr="00D05BD9" w:rsidRDefault="00D05BD9" w:rsidP="00D05BD9">
      <w:pPr>
        <w:spacing w:after="0" w:line="480" w:lineRule="auto"/>
        <w:rPr>
          <w:rFonts w:ascii="Arial" w:hAnsi="Arial" w:cs="Arial"/>
          <w:bCs/>
          <w:noProof/>
        </w:rPr>
      </w:pPr>
      <w:r w:rsidRPr="00D05BD9">
        <w:rPr>
          <w:rFonts w:ascii="Arial" w:hAnsi="Arial" w:cs="Arial"/>
          <w:bCs/>
          <w:noProof/>
        </w:rPr>
        <w:t>Symptoms may be nausea, vomiting, orthostatic symptoms and/or hypotension. Treatment would consist of procedures to remove the unabsorbed medicine from the stomach</w:t>
      </w:r>
      <w:r>
        <w:rPr>
          <w:rFonts w:ascii="Arial" w:hAnsi="Arial" w:cs="Arial"/>
          <w:bCs/>
          <w:noProof/>
        </w:rPr>
        <w:t xml:space="preserve"> </w:t>
      </w:r>
      <w:r w:rsidRPr="00D05BD9">
        <w:rPr>
          <w:rFonts w:ascii="Arial" w:hAnsi="Arial" w:cs="Arial"/>
          <w:bCs/>
          <w:noProof/>
        </w:rPr>
        <w:t>(initiate vomiting and charcoal therapy)</w:t>
      </w:r>
      <w:r w:rsidRPr="00D05BD9">
        <w:rPr>
          <w:color w:val="0070C0"/>
        </w:rPr>
        <w:t xml:space="preserve"> </w:t>
      </w:r>
      <w:r w:rsidRPr="00D05BD9">
        <w:rPr>
          <w:rFonts w:ascii="Arial" w:hAnsi="Arial" w:cs="Arial"/>
          <w:bCs/>
          <w:noProof/>
        </w:rPr>
        <w:t>and symptomatic treatment. Maintain a high fluid intake to promote renal excretion. There is a risk of thrombosis in predisposed individuals. Anticoagulant treatment should be considered.</w:t>
      </w:r>
    </w:p>
    <w:p w14:paraId="25210758" w14:textId="77777777" w:rsidR="00D05BD9" w:rsidRPr="00D05BD9" w:rsidRDefault="00D05BD9" w:rsidP="00D05BD9">
      <w:pPr>
        <w:spacing w:after="0" w:line="480" w:lineRule="auto"/>
        <w:rPr>
          <w:rFonts w:ascii="Arial" w:hAnsi="Arial" w:cs="Arial"/>
          <w:b/>
          <w:bCs/>
          <w:i/>
          <w:iCs/>
          <w:noProof/>
        </w:rPr>
      </w:pPr>
    </w:p>
    <w:p w14:paraId="7F237ABB" w14:textId="77777777" w:rsidR="00D05BD9" w:rsidRPr="00D05BD9" w:rsidRDefault="00D05BD9" w:rsidP="00D05BD9">
      <w:pPr>
        <w:spacing w:after="0" w:line="480" w:lineRule="auto"/>
        <w:ind w:left="567" w:hanging="567"/>
        <w:rPr>
          <w:rFonts w:ascii="Arial" w:hAnsi="Arial" w:cs="Arial"/>
          <w:noProof/>
        </w:rPr>
      </w:pPr>
      <w:r w:rsidRPr="00D05BD9">
        <w:rPr>
          <w:rFonts w:ascii="Arial" w:hAnsi="Arial" w:cs="Arial"/>
          <w:b/>
          <w:noProof/>
        </w:rPr>
        <w:t>5.</w:t>
      </w:r>
      <w:r w:rsidRPr="00D05BD9">
        <w:rPr>
          <w:rFonts w:ascii="Arial" w:hAnsi="Arial" w:cs="Arial"/>
          <w:b/>
          <w:noProof/>
        </w:rPr>
        <w:tab/>
        <w:t>PHARMACOLOGICAL PROPERTIES</w:t>
      </w:r>
    </w:p>
    <w:p w14:paraId="0F2847E1" w14:textId="77777777" w:rsidR="00D05BD9" w:rsidRPr="00D05BD9" w:rsidRDefault="00D05BD9" w:rsidP="00D05BD9">
      <w:pPr>
        <w:spacing w:after="0" w:line="480" w:lineRule="auto"/>
        <w:ind w:left="567" w:hanging="567"/>
        <w:outlineLvl w:val="0"/>
        <w:rPr>
          <w:rFonts w:ascii="Arial" w:hAnsi="Arial" w:cs="Arial"/>
          <w:noProof/>
        </w:rPr>
      </w:pPr>
      <w:r w:rsidRPr="00D05BD9">
        <w:rPr>
          <w:rFonts w:ascii="Arial" w:hAnsi="Arial" w:cs="Arial"/>
          <w:b/>
          <w:noProof/>
        </w:rPr>
        <w:t>5.1</w:t>
      </w:r>
      <w:r w:rsidRPr="00D05BD9">
        <w:rPr>
          <w:rFonts w:ascii="Arial" w:hAnsi="Arial" w:cs="Arial"/>
          <w:b/>
          <w:noProof/>
        </w:rPr>
        <w:tab/>
        <w:t>Pharmacodynamic properties</w:t>
      </w:r>
    </w:p>
    <w:p w14:paraId="175A449A" w14:textId="77777777" w:rsidR="00D05BD9" w:rsidRPr="00D05BD9" w:rsidRDefault="00D05BD9" w:rsidP="00D05BD9">
      <w:pPr>
        <w:spacing w:after="0" w:line="480" w:lineRule="auto"/>
        <w:ind w:left="567" w:hanging="567"/>
        <w:outlineLvl w:val="0"/>
        <w:rPr>
          <w:rFonts w:ascii="Arial" w:hAnsi="Arial" w:cs="Arial"/>
          <w:noProof/>
        </w:rPr>
      </w:pPr>
      <w:r w:rsidRPr="00D05BD9">
        <w:rPr>
          <w:rFonts w:ascii="Arial" w:hAnsi="Arial" w:cs="Arial"/>
          <w:b/>
          <w:bCs/>
          <w:i/>
          <w:iCs/>
          <w:noProof/>
        </w:rPr>
        <w:t>Category and class:</w:t>
      </w:r>
      <w:r w:rsidRPr="00D05BD9">
        <w:rPr>
          <w:rFonts w:ascii="Arial" w:hAnsi="Arial" w:cs="Arial"/>
          <w:i/>
          <w:iCs/>
          <w:noProof/>
        </w:rPr>
        <w:t xml:space="preserve"> </w:t>
      </w:r>
      <w:r w:rsidRPr="00D05BD9">
        <w:rPr>
          <w:rFonts w:ascii="Arial" w:hAnsi="Arial" w:cs="Arial"/>
          <w:noProof/>
        </w:rPr>
        <w:t>A 8.1 Coagulants, hameostatics.</w:t>
      </w:r>
    </w:p>
    <w:p w14:paraId="7D0694D1" w14:textId="77777777" w:rsidR="00D05BD9" w:rsidRPr="00D05BD9" w:rsidRDefault="00D05BD9" w:rsidP="00D05BD9">
      <w:pPr>
        <w:spacing w:after="0" w:line="480" w:lineRule="auto"/>
        <w:ind w:left="567" w:hanging="567"/>
        <w:outlineLvl w:val="0"/>
        <w:rPr>
          <w:rFonts w:ascii="Arial" w:hAnsi="Arial" w:cs="Arial"/>
          <w:i/>
          <w:iCs/>
          <w:noProof/>
        </w:rPr>
      </w:pPr>
      <w:r w:rsidRPr="00D05BD9">
        <w:rPr>
          <w:rFonts w:ascii="Arial" w:hAnsi="Arial" w:cs="Arial"/>
          <w:b/>
          <w:bCs/>
          <w:i/>
          <w:iCs/>
          <w:noProof/>
        </w:rPr>
        <w:t>Pharmacotherapeutic group:</w:t>
      </w:r>
      <w:r w:rsidRPr="00D05BD9">
        <w:rPr>
          <w:rFonts w:ascii="Arial" w:hAnsi="Arial" w:cs="Arial"/>
          <w:i/>
          <w:iCs/>
          <w:noProof/>
        </w:rPr>
        <w:t xml:space="preserve"> </w:t>
      </w:r>
      <w:r w:rsidRPr="00D05BD9">
        <w:rPr>
          <w:rFonts w:ascii="Arial" w:hAnsi="Arial" w:cs="Arial"/>
          <w:noProof/>
        </w:rPr>
        <w:t>Antihemorrhagics, antifibrinolytics.</w:t>
      </w:r>
    </w:p>
    <w:p w14:paraId="00882412" w14:textId="77777777" w:rsidR="00D05BD9" w:rsidRPr="00D05BD9" w:rsidRDefault="00D05BD9" w:rsidP="00D05BD9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highlight w:val="yellow"/>
          <w:lang w:eastAsia="en-ZA"/>
        </w:rPr>
      </w:pPr>
      <w:r w:rsidRPr="00D05BD9">
        <w:rPr>
          <w:rFonts w:ascii="Arial" w:hAnsi="Arial" w:cs="Arial"/>
          <w:b/>
          <w:bCs/>
          <w:i/>
          <w:iCs/>
          <w:noProof/>
        </w:rPr>
        <w:t>ATC code:</w:t>
      </w:r>
      <w:r w:rsidRPr="00D05BD9">
        <w:rPr>
          <w:i/>
          <w:iCs/>
        </w:rPr>
        <w:t xml:space="preserve"> </w:t>
      </w:r>
      <w:r w:rsidRPr="00D05BD9">
        <w:rPr>
          <w:rFonts w:ascii="Arial" w:hAnsi="Arial" w:cs="Arial"/>
          <w:noProof/>
        </w:rPr>
        <w:t>B02AA02.</w:t>
      </w:r>
    </w:p>
    <w:p w14:paraId="01DC69AF" w14:textId="77777777" w:rsidR="00D05BD9" w:rsidRPr="00D05BD9" w:rsidRDefault="00D05BD9" w:rsidP="00D05BD9">
      <w:pPr>
        <w:shd w:val="clear" w:color="auto" w:fill="FFFFFF"/>
        <w:spacing w:after="0" w:line="480" w:lineRule="auto"/>
        <w:rPr>
          <w:rFonts w:ascii="Arial" w:eastAsia="Times New Roman" w:hAnsi="Arial" w:cs="Arial"/>
          <w:b/>
          <w:bCs/>
          <w:i/>
          <w:iCs/>
          <w:color w:val="000000"/>
          <w:lang w:eastAsia="en-ZA"/>
        </w:rPr>
      </w:pPr>
      <w:r w:rsidRPr="00D05BD9">
        <w:rPr>
          <w:rFonts w:ascii="Arial" w:eastAsia="Times New Roman" w:hAnsi="Arial" w:cs="Arial"/>
          <w:b/>
          <w:bCs/>
          <w:i/>
          <w:iCs/>
          <w:color w:val="000000"/>
          <w:lang w:eastAsia="en-ZA"/>
        </w:rPr>
        <w:t>Mechanism of action</w:t>
      </w:r>
    </w:p>
    <w:p w14:paraId="7FCF1951" w14:textId="6B7108C9" w:rsidR="00D05BD9" w:rsidRPr="00D05BD9" w:rsidRDefault="00D05BD9" w:rsidP="00D05BD9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lang w:eastAsia="en-ZA"/>
        </w:rPr>
      </w:pPr>
      <w:r w:rsidRPr="00D05BD9">
        <w:rPr>
          <w:rFonts w:ascii="Arial" w:eastAsia="Times New Roman" w:hAnsi="Arial" w:cs="Arial"/>
          <w:color w:val="000000"/>
          <w:lang w:eastAsia="en-ZA"/>
        </w:rPr>
        <w:t>Tranexamic acid is an antifibrinolytic compound which</w:t>
      </w:r>
      <w:r w:rsidRPr="00D05BD9">
        <w:rPr>
          <w:rFonts w:ascii="Arial" w:eastAsia="Times New Roman" w:hAnsi="Arial" w:cs="Arial"/>
          <w:b/>
          <w:bCs/>
          <w:color w:val="000000"/>
          <w:lang w:eastAsia="en-ZA"/>
        </w:rPr>
        <w:t xml:space="preserve"> </w:t>
      </w:r>
      <w:r w:rsidRPr="00D05BD9">
        <w:rPr>
          <w:rFonts w:ascii="Arial" w:eastAsia="Times New Roman" w:hAnsi="Arial" w:cs="Arial"/>
          <w:color w:val="000000"/>
          <w:lang w:eastAsia="en-ZA"/>
        </w:rPr>
        <w:t>exerts an inhibitory effect on the activation of plasminogen to plasmin. At much higher concentrations it is a non-competitive inhibitor of plasmin. The inhibitory effect of tranexamic acid in plasminogen activation by urokinase has been reported to be 6 – 100 times and by streptokinase 6 – 40 times greater than that of aminocaproic acid. The antifibrinolytic activity of tranexamic acid is approximately ten times greater than that of aminocaproic acid.</w:t>
      </w:r>
    </w:p>
    <w:p w14:paraId="470B2D59" w14:textId="77777777" w:rsidR="00D05BD9" w:rsidRPr="00D05BD9" w:rsidRDefault="00D05BD9" w:rsidP="00D05BD9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000000"/>
          <w:lang w:eastAsia="en-ZA"/>
        </w:rPr>
      </w:pPr>
    </w:p>
    <w:p w14:paraId="12D796A9" w14:textId="77777777" w:rsidR="00D05BD9" w:rsidRPr="00D05BD9" w:rsidRDefault="00D05BD9" w:rsidP="00D05BD9">
      <w:pPr>
        <w:keepNext/>
        <w:spacing w:after="0" w:line="480" w:lineRule="auto"/>
        <w:ind w:left="567" w:hanging="567"/>
        <w:outlineLvl w:val="0"/>
        <w:rPr>
          <w:rFonts w:ascii="Arial" w:hAnsi="Arial" w:cs="Arial"/>
          <w:b/>
          <w:noProof/>
        </w:rPr>
      </w:pPr>
      <w:r w:rsidRPr="00D05BD9">
        <w:rPr>
          <w:rFonts w:ascii="Arial" w:hAnsi="Arial" w:cs="Arial"/>
          <w:b/>
          <w:noProof/>
        </w:rPr>
        <w:t>5.2</w:t>
      </w:r>
      <w:r w:rsidRPr="00D05BD9">
        <w:rPr>
          <w:rFonts w:ascii="Arial" w:hAnsi="Arial" w:cs="Arial"/>
          <w:b/>
          <w:noProof/>
        </w:rPr>
        <w:tab/>
        <w:t>Pharmacokinetic properties</w:t>
      </w:r>
    </w:p>
    <w:p w14:paraId="73BB9760" w14:textId="77777777" w:rsidR="00D05BD9" w:rsidRPr="00D05BD9" w:rsidRDefault="00D05BD9" w:rsidP="00D05BD9">
      <w:pPr>
        <w:spacing w:after="0" w:line="480" w:lineRule="auto"/>
        <w:rPr>
          <w:rFonts w:ascii="Arial" w:hAnsi="Arial" w:cs="Arial"/>
          <w:b/>
          <w:i/>
          <w:noProof/>
        </w:rPr>
      </w:pPr>
      <w:r w:rsidRPr="00D05BD9">
        <w:rPr>
          <w:rFonts w:ascii="Arial" w:hAnsi="Arial" w:cs="Arial"/>
          <w:b/>
          <w:i/>
          <w:noProof/>
        </w:rPr>
        <w:t>Absorption</w:t>
      </w:r>
    </w:p>
    <w:p w14:paraId="7EAB30BD" w14:textId="77777777" w:rsidR="00D05BD9" w:rsidRPr="00D05BD9" w:rsidRDefault="00D05BD9" w:rsidP="00D05BD9">
      <w:pPr>
        <w:spacing w:after="0" w:line="480" w:lineRule="auto"/>
        <w:rPr>
          <w:rFonts w:ascii="Arial" w:hAnsi="Arial" w:cs="Arial"/>
          <w:bCs/>
          <w:iCs/>
          <w:noProof/>
        </w:rPr>
      </w:pPr>
      <w:r w:rsidRPr="00D05BD9">
        <w:rPr>
          <w:rFonts w:ascii="Arial" w:hAnsi="Arial" w:cs="Arial"/>
          <w:bCs/>
          <w:iCs/>
          <w:noProof/>
        </w:rPr>
        <w:t>Tranexamic acid is absorbed very well by mouth. Elimination half-life is about 3 hours.</w:t>
      </w:r>
    </w:p>
    <w:p w14:paraId="0879AE09" w14:textId="77777777" w:rsidR="00D05BD9" w:rsidRPr="00D05BD9" w:rsidRDefault="00D05BD9" w:rsidP="00D05BD9">
      <w:pPr>
        <w:spacing w:after="0" w:line="480" w:lineRule="auto"/>
        <w:rPr>
          <w:rFonts w:ascii="Arial" w:hAnsi="Arial" w:cs="Arial"/>
          <w:bCs/>
          <w:iCs/>
          <w:noProof/>
          <w:highlight w:val="yellow"/>
        </w:rPr>
      </w:pPr>
    </w:p>
    <w:p w14:paraId="3F164DFC" w14:textId="77777777" w:rsidR="00D05BD9" w:rsidRPr="00D05BD9" w:rsidRDefault="00D05BD9" w:rsidP="00D05BD9">
      <w:pPr>
        <w:spacing w:after="0" w:line="480" w:lineRule="auto"/>
        <w:rPr>
          <w:rFonts w:ascii="Arial" w:hAnsi="Arial" w:cs="Arial"/>
          <w:b/>
          <w:i/>
          <w:noProof/>
        </w:rPr>
      </w:pPr>
      <w:r w:rsidRPr="00D05BD9">
        <w:rPr>
          <w:rFonts w:ascii="Arial" w:hAnsi="Arial" w:cs="Arial"/>
          <w:b/>
          <w:i/>
          <w:noProof/>
        </w:rPr>
        <w:t>Distribution</w:t>
      </w:r>
    </w:p>
    <w:p w14:paraId="7259036F" w14:textId="6A6AFEE7" w:rsidR="00D05BD9" w:rsidRPr="00D05BD9" w:rsidRDefault="00D05BD9" w:rsidP="00D05BD9">
      <w:pPr>
        <w:spacing w:after="0" w:line="480" w:lineRule="auto"/>
        <w:rPr>
          <w:rFonts w:ascii="Arial" w:hAnsi="Arial" w:cs="Arial"/>
          <w:bCs/>
          <w:iCs/>
          <w:noProof/>
          <w:highlight w:val="yellow"/>
        </w:rPr>
      </w:pPr>
      <w:r w:rsidRPr="00D05BD9">
        <w:rPr>
          <w:rFonts w:ascii="Arial" w:hAnsi="Arial" w:cs="Arial"/>
          <w:bCs/>
          <w:iCs/>
          <w:noProof/>
        </w:rPr>
        <w:lastRenderedPageBreak/>
        <w:t>Tranexamic acid crosses the placenta, and may reach one hundredth of the serum peak concentration in the milk of lactating women.</w:t>
      </w:r>
    </w:p>
    <w:p w14:paraId="5BE5BFBF" w14:textId="77777777" w:rsidR="00D05BD9" w:rsidRPr="00D05BD9" w:rsidRDefault="00D05BD9" w:rsidP="00D05BD9">
      <w:pPr>
        <w:spacing w:after="0" w:line="480" w:lineRule="auto"/>
        <w:rPr>
          <w:rFonts w:ascii="Arial" w:hAnsi="Arial" w:cs="Arial"/>
          <w:b/>
          <w:i/>
          <w:noProof/>
          <w:highlight w:val="yellow"/>
        </w:rPr>
      </w:pPr>
    </w:p>
    <w:p w14:paraId="17F9D722" w14:textId="77777777" w:rsidR="00D05BD9" w:rsidRPr="00D05BD9" w:rsidRDefault="00D05BD9" w:rsidP="00D05BD9">
      <w:pPr>
        <w:spacing w:after="0" w:line="480" w:lineRule="auto"/>
        <w:rPr>
          <w:rFonts w:ascii="Arial" w:hAnsi="Arial" w:cs="Arial"/>
          <w:b/>
          <w:i/>
          <w:noProof/>
          <w:highlight w:val="yellow"/>
        </w:rPr>
      </w:pPr>
      <w:r w:rsidRPr="00D05BD9">
        <w:rPr>
          <w:rFonts w:ascii="Arial" w:hAnsi="Arial" w:cs="Arial"/>
          <w:b/>
          <w:i/>
          <w:noProof/>
        </w:rPr>
        <w:t>Elimination</w:t>
      </w:r>
    </w:p>
    <w:p w14:paraId="66BEF789" w14:textId="77777777" w:rsidR="00D05BD9" w:rsidRPr="00D05BD9" w:rsidRDefault="00D05BD9" w:rsidP="00D05BD9">
      <w:pPr>
        <w:spacing w:after="0" w:line="480" w:lineRule="auto"/>
        <w:rPr>
          <w:rFonts w:ascii="Arial" w:hAnsi="Arial" w:cs="Arial"/>
          <w:bCs/>
          <w:iCs/>
          <w:noProof/>
        </w:rPr>
      </w:pPr>
      <w:r w:rsidRPr="00D05BD9">
        <w:rPr>
          <w:rFonts w:ascii="Arial" w:hAnsi="Arial" w:cs="Arial"/>
          <w:bCs/>
          <w:iCs/>
          <w:noProof/>
        </w:rPr>
        <w:t>Tranexamic acid is excreted in urine as an unchanged compound. 90 % of the administered dose is excreted by the kidney in the twelve first hours after administration (glomerular excretion without tubular reabsorption).</w:t>
      </w:r>
    </w:p>
    <w:p w14:paraId="472B27D9" w14:textId="77777777" w:rsidR="00D05BD9" w:rsidRPr="00D05BD9" w:rsidRDefault="00D05BD9" w:rsidP="00D05BD9">
      <w:pPr>
        <w:spacing w:after="0" w:line="480" w:lineRule="auto"/>
        <w:rPr>
          <w:rFonts w:ascii="Arial" w:hAnsi="Arial" w:cs="Arial"/>
          <w:bCs/>
          <w:iCs/>
          <w:noProof/>
        </w:rPr>
      </w:pPr>
      <w:r w:rsidRPr="00D05BD9">
        <w:rPr>
          <w:rFonts w:ascii="Arial" w:hAnsi="Arial" w:cs="Arial"/>
          <w:bCs/>
          <w:iCs/>
          <w:noProof/>
        </w:rPr>
        <w:t>Following oral administration, 1,13 % and 39 % of the administered dose were recovered after 3 and 24 hours respectively.</w:t>
      </w:r>
    </w:p>
    <w:p w14:paraId="5DA48AF1" w14:textId="77777777" w:rsidR="00D05BD9" w:rsidRPr="00D05BD9" w:rsidRDefault="00D05BD9" w:rsidP="00D05BD9">
      <w:pPr>
        <w:spacing w:after="0" w:line="480" w:lineRule="auto"/>
        <w:rPr>
          <w:rFonts w:ascii="Arial" w:hAnsi="Arial" w:cs="Arial"/>
          <w:bCs/>
          <w:iCs/>
          <w:noProof/>
          <w:highlight w:val="yellow"/>
        </w:rPr>
      </w:pPr>
      <w:r w:rsidRPr="00D05BD9">
        <w:rPr>
          <w:rFonts w:ascii="Arial" w:hAnsi="Arial" w:cs="Arial"/>
          <w:bCs/>
          <w:iCs/>
          <w:noProof/>
        </w:rPr>
        <w:t>Plasma concentrations are increased in patients with renal insufficiency.</w:t>
      </w:r>
    </w:p>
    <w:p w14:paraId="0C733AF6" w14:textId="77777777" w:rsidR="00D05BD9" w:rsidRPr="00D05BD9" w:rsidRDefault="00D05BD9" w:rsidP="00D05BD9">
      <w:pPr>
        <w:spacing w:after="0" w:line="480" w:lineRule="auto"/>
        <w:rPr>
          <w:rFonts w:ascii="Arial" w:hAnsi="Arial" w:cs="Arial"/>
          <w:b/>
          <w:i/>
          <w:noProof/>
        </w:rPr>
      </w:pPr>
    </w:p>
    <w:p w14:paraId="3BA9A910" w14:textId="77777777" w:rsidR="00D05BD9" w:rsidRPr="00D05BD9" w:rsidRDefault="00D05BD9" w:rsidP="00D05BD9">
      <w:pPr>
        <w:spacing w:after="0" w:line="480" w:lineRule="auto"/>
        <w:ind w:left="567" w:hanging="567"/>
        <w:outlineLvl w:val="0"/>
        <w:rPr>
          <w:rFonts w:ascii="Arial" w:hAnsi="Arial" w:cs="Arial"/>
          <w:noProof/>
        </w:rPr>
      </w:pPr>
      <w:r w:rsidRPr="00D05BD9">
        <w:rPr>
          <w:rFonts w:ascii="Arial" w:hAnsi="Arial" w:cs="Arial"/>
          <w:b/>
          <w:noProof/>
        </w:rPr>
        <w:t>5.3</w:t>
      </w:r>
      <w:r w:rsidRPr="00D05BD9">
        <w:rPr>
          <w:rFonts w:ascii="Arial" w:hAnsi="Arial" w:cs="Arial"/>
          <w:b/>
          <w:noProof/>
        </w:rPr>
        <w:tab/>
        <w:t>Preclinical safety data</w:t>
      </w:r>
    </w:p>
    <w:p w14:paraId="76C79F67" w14:textId="77777777" w:rsidR="00D05BD9" w:rsidRPr="00D05BD9" w:rsidRDefault="00D05BD9" w:rsidP="00D05BD9">
      <w:pPr>
        <w:spacing w:after="0" w:line="480" w:lineRule="auto"/>
        <w:ind w:left="567" w:hanging="567"/>
        <w:outlineLvl w:val="0"/>
        <w:rPr>
          <w:rFonts w:ascii="Arial" w:hAnsi="Arial" w:cs="Arial"/>
          <w:noProof/>
        </w:rPr>
      </w:pPr>
      <w:r w:rsidRPr="00D05BD9">
        <w:rPr>
          <w:rFonts w:ascii="Arial" w:hAnsi="Arial" w:cs="Arial"/>
          <w:noProof/>
        </w:rPr>
        <w:t>No further information of relevance available.</w:t>
      </w:r>
    </w:p>
    <w:p w14:paraId="633B3564" w14:textId="1DA52D03" w:rsidR="00D05BD9" w:rsidRDefault="00D05BD9" w:rsidP="00D05BD9">
      <w:pPr>
        <w:spacing w:after="0" w:line="480" w:lineRule="auto"/>
        <w:outlineLvl w:val="0"/>
        <w:rPr>
          <w:rFonts w:ascii="Arial" w:hAnsi="Arial" w:cs="Arial"/>
          <w:b/>
          <w:noProof/>
        </w:rPr>
      </w:pPr>
    </w:p>
    <w:p w14:paraId="64BC9BE3" w14:textId="77777777" w:rsidR="002064C0" w:rsidRPr="00D05BD9" w:rsidRDefault="002064C0" w:rsidP="00D05BD9">
      <w:pPr>
        <w:spacing w:after="0" w:line="480" w:lineRule="auto"/>
        <w:outlineLvl w:val="0"/>
        <w:rPr>
          <w:rFonts w:ascii="Arial" w:hAnsi="Arial" w:cs="Arial"/>
          <w:b/>
          <w:noProof/>
        </w:rPr>
      </w:pPr>
    </w:p>
    <w:p w14:paraId="717C2AA5" w14:textId="77777777" w:rsidR="00D05BD9" w:rsidRPr="00D05BD9" w:rsidRDefault="00D05BD9" w:rsidP="00D05BD9">
      <w:pPr>
        <w:keepNext/>
        <w:spacing w:after="0" w:line="480" w:lineRule="auto"/>
        <w:ind w:left="567" w:hanging="567"/>
        <w:rPr>
          <w:rFonts w:ascii="Arial" w:hAnsi="Arial" w:cs="Arial"/>
          <w:b/>
          <w:noProof/>
        </w:rPr>
      </w:pPr>
      <w:r w:rsidRPr="00D05BD9">
        <w:rPr>
          <w:rFonts w:ascii="Arial" w:hAnsi="Arial" w:cs="Arial"/>
          <w:b/>
          <w:noProof/>
        </w:rPr>
        <w:t>6.</w:t>
      </w:r>
      <w:r w:rsidRPr="00D05BD9">
        <w:rPr>
          <w:rFonts w:ascii="Arial" w:hAnsi="Arial" w:cs="Arial"/>
          <w:b/>
          <w:noProof/>
        </w:rPr>
        <w:tab/>
        <w:t>PHARMACEUTICAL PARTICULARS</w:t>
      </w:r>
    </w:p>
    <w:p w14:paraId="437CFCAB" w14:textId="77777777" w:rsidR="00D05BD9" w:rsidRPr="00D05BD9" w:rsidRDefault="00D05BD9" w:rsidP="00D05BD9">
      <w:pPr>
        <w:spacing w:after="0" w:line="480" w:lineRule="auto"/>
        <w:rPr>
          <w:rFonts w:ascii="Arial" w:hAnsi="Arial" w:cs="Arial"/>
          <w:noProof/>
        </w:rPr>
      </w:pPr>
      <w:r w:rsidRPr="00D05BD9">
        <w:rPr>
          <w:rFonts w:ascii="Arial" w:hAnsi="Arial" w:cs="Arial"/>
          <w:b/>
          <w:noProof/>
        </w:rPr>
        <w:t>6.1</w:t>
      </w:r>
      <w:r w:rsidRPr="00D05BD9">
        <w:rPr>
          <w:rFonts w:ascii="Arial" w:hAnsi="Arial" w:cs="Arial"/>
          <w:b/>
          <w:noProof/>
        </w:rPr>
        <w:tab/>
        <w:t>List of excipients</w:t>
      </w:r>
      <w:r w:rsidRPr="00D05BD9">
        <w:rPr>
          <w:rFonts w:ascii="Arial" w:hAnsi="Arial" w:cs="Arial"/>
          <w:noProof/>
        </w:rPr>
        <w:t xml:space="preserve"> </w:t>
      </w:r>
    </w:p>
    <w:p w14:paraId="2CF6085C" w14:textId="77777777" w:rsidR="00D05BD9" w:rsidRPr="00D05BD9" w:rsidRDefault="00D05BD9" w:rsidP="00D05BD9">
      <w:pPr>
        <w:spacing w:after="0" w:line="480" w:lineRule="auto"/>
        <w:rPr>
          <w:rFonts w:ascii="Arial" w:eastAsia="Times New Roman" w:hAnsi="Arial" w:cs="Arial"/>
          <w:b/>
          <w:i/>
          <w:iCs/>
          <w:lang w:val="en-GB"/>
        </w:rPr>
      </w:pPr>
      <w:r w:rsidRPr="00D05BD9">
        <w:rPr>
          <w:rFonts w:ascii="Arial" w:eastAsia="Times New Roman" w:hAnsi="Arial" w:cs="Arial"/>
          <w:b/>
          <w:i/>
          <w:iCs/>
          <w:lang w:val="en-GB"/>
        </w:rPr>
        <w:t>Tablet core:</w:t>
      </w:r>
    </w:p>
    <w:p w14:paraId="75AB7BE6" w14:textId="77777777" w:rsidR="00D05BD9" w:rsidRPr="00D05BD9" w:rsidRDefault="00D05BD9" w:rsidP="00D05BD9">
      <w:pPr>
        <w:spacing w:after="0" w:line="480" w:lineRule="auto"/>
        <w:rPr>
          <w:rFonts w:ascii="Arial" w:eastAsia="Times New Roman" w:hAnsi="Arial" w:cs="Arial"/>
          <w:bCs/>
          <w:lang w:val="en-GB"/>
        </w:rPr>
      </w:pPr>
      <w:r w:rsidRPr="00D05BD9">
        <w:rPr>
          <w:rFonts w:ascii="Arial" w:eastAsia="Times New Roman" w:hAnsi="Arial" w:cs="Arial"/>
          <w:bCs/>
          <w:lang w:val="en-GB"/>
        </w:rPr>
        <w:t>Colloidal anhydrous silica;</w:t>
      </w:r>
    </w:p>
    <w:p w14:paraId="4EBD1586" w14:textId="77777777" w:rsidR="00D05BD9" w:rsidRPr="00D05BD9" w:rsidRDefault="00D05BD9" w:rsidP="00D05BD9">
      <w:pPr>
        <w:spacing w:after="0" w:line="480" w:lineRule="auto"/>
        <w:rPr>
          <w:rFonts w:ascii="Arial" w:eastAsia="Times New Roman" w:hAnsi="Arial" w:cs="Arial"/>
          <w:bCs/>
          <w:lang w:val="en-GB"/>
        </w:rPr>
      </w:pPr>
      <w:r w:rsidRPr="00D05BD9">
        <w:rPr>
          <w:rFonts w:ascii="Arial" w:eastAsia="Times New Roman" w:hAnsi="Arial" w:cs="Arial"/>
          <w:bCs/>
          <w:lang w:val="en-GB"/>
        </w:rPr>
        <w:t>Croscarmellose cellulose;</w:t>
      </w:r>
    </w:p>
    <w:p w14:paraId="46EF8FF8" w14:textId="77777777" w:rsidR="00D05BD9" w:rsidRPr="00D05BD9" w:rsidRDefault="00D05BD9" w:rsidP="00D05BD9">
      <w:pPr>
        <w:spacing w:after="0" w:line="480" w:lineRule="auto"/>
        <w:rPr>
          <w:rFonts w:ascii="Arial" w:eastAsia="Times New Roman" w:hAnsi="Arial" w:cs="Arial"/>
          <w:bCs/>
          <w:lang w:val="en-GB"/>
        </w:rPr>
      </w:pPr>
      <w:r w:rsidRPr="00D05BD9">
        <w:rPr>
          <w:rFonts w:ascii="Arial" w:eastAsia="Times New Roman" w:hAnsi="Arial" w:cs="Arial"/>
          <w:bCs/>
          <w:lang w:val="en-GB"/>
        </w:rPr>
        <w:t>Magnesium stearate (E572);</w:t>
      </w:r>
    </w:p>
    <w:p w14:paraId="6F72F236" w14:textId="77777777" w:rsidR="00D05BD9" w:rsidRPr="00D05BD9" w:rsidRDefault="00D05BD9" w:rsidP="00D05BD9">
      <w:pPr>
        <w:spacing w:after="0" w:line="480" w:lineRule="auto"/>
        <w:rPr>
          <w:rFonts w:ascii="Arial" w:eastAsia="Times New Roman" w:hAnsi="Arial" w:cs="Arial"/>
          <w:bCs/>
          <w:lang w:val="en-GB"/>
        </w:rPr>
      </w:pPr>
      <w:r w:rsidRPr="00D05BD9">
        <w:rPr>
          <w:rFonts w:ascii="Arial" w:eastAsia="Times New Roman" w:hAnsi="Arial" w:cs="Arial"/>
          <w:bCs/>
          <w:lang w:val="en-GB"/>
        </w:rPr>
        <w:t>Microcrystalline cellulose (E460);</w:t>
      </w:r>
    </w:p>
    <w:p w14:paraId="27C2E8A5" w14:textId="77777777" w:rsidR="00D05BD9" w:rsidRPr="00D05BD9" w:rsidRDefault="00D05BD9" w:rsidP="00D05BD9">
      <w:pPr>
        <w:spacing w:after="0" w:line="480" w:lineRule="auto"/>
        <w:rPr>
          <w:rFonts w:ascii="Arial" w:eastAsia="Times New Roman" w:hAnsi="Arial" w:cs="Arial"/>
          <w:bCs/>
          <w:lang w:val="en-GB"/>
        </w:rPr>
      </w:pPr>
      <w:r w:rsidRPr="00D05BD9">
        <w:rPr>
          <w:rFonts w:ascii="Arial" w:eastAsia="Times New Roman" w:hAnsi="Arial" w:cs="Arial"/>
          <w:bCs/>
          <w:lang w:val="en-GB"/>
        </w:rPr>
        <w:t>Povidone (E1201);</w:t>
      </w:r>
    </w:p>
    <w:p w14:paraId="7B63D27C" w14:textId="77777777" w:rsidR="00D05BD9" w:rsidRPr="00D05BD9" w:rsidRDefault="00D05BD9" w:rsidP="00D05BD9">
      <w:pPr>
        <w:spacing w:after="0" w:line="480" w:lineRule="auto"/>
        <w:rPr>
          <w:rFonts w:ascii="Arial" w:eastAsia="Times New Roman" w:hAnsi="Arial" w:cs="Arial"/>
          <w:bCs/>
          <w:lang w:val="en-GB"/>
        </w:rPr>
      </w:pPr>
      <w:r w:rsidRPr="00D05BD9">
        <w:rPr>
          <w:rFonts w:ascii="Arial" w:eastAsia="Times New Roman" w:hAnsi="Arial" w:cs="Arial"/>
          <w:bCs/>
          <w:lang w:val="en-GB"/>
        </w:rPr>
        <w:t>Talcum (E553b).</w:t>
      </w:r>
    </w:p>
    <w:p w14:paraId="3F8EE95D" w14:textId="77777777" w:rsidR="00D05BD9" w:rsidRPr="00D05BD9" w:rsidRDefault="00D05BD9" w:rsidP="00D05BD9">
      <w:pPr>
        <w:spacing w:after="0" w:line="480" w:lineRule="auto"/>
        <w:rPr>
          <w:rFonts w:ascii="Arial" w:eastAsia="Times New Roman" w:hAnsi="Arial" w:cs="Arial"/>
          <w:bCs/>
          <w:lang w:val="en-GB"/>
        </w:rPr>
      </w:pPr>
    </w:p>
    <w:p w14:paraId="689B7A9C" w14:textId="77777777" w:rsidR="00D05BD9" w:rsidRPr="00D05BD9" w:rsidRDefault="00D05BD9" w:rsidP="00D05BD9">
      <w:pPr>
        <w:spacing w:after="0" w:line="480" w:lineRule="auto"/>
        <w:rPr>
          <w:rFonts w:ascii="Arial" w:eastAsia="Times New Roman" w:hAnsi="Arial" w:cs="Arial"/>
          <w:b/>
          <w:i/>
          <w:iCs/>
          <w:lang w:val="en-GB"/>
        </w:rPr>
      </w:pPr>
      <w:r w:rsidRPr="00D05BD9">
        <w:rPr>
          <w:rFonts w:ascii="Arial" w:eastAsia="Times New Roman" w:hAnsi="Arial" w:cs="Arial"/>
          <w:b/>
          <w:i/>
          <w:iCs/>
          <w:lang w:val="en-GB"/>
        </w:rPr>
        <w:t>Tablet coating:</w:t>
      </w:r>
    </w:p>
    <w:p w14:paraId="2FBBAD1B" w14:textId="77777777" w:rsidR="00D05BD9" w:rsidRPr="00D05BD9" w:rsidRDefault="00D05BD9" w:rsidP="00D05BD9">
      <w:pPr>
        <w:spacing w:after="0" w:line="480" w:lineRule="auto"/>
        <w:rPr>
          <w:rFonts w:ascii="Arial" w:eastAsia="Times New Roman" w:hAnsi="Arial" w:cs="Arial"/>
          <w:bCs/>
          <w:lang w:val="en-GB"/>
        </w:rPr>
      </w:pPr>
      <w:r w:rsidRPr="00D05BD9">
        <w:rPr>
          <w:rFonts w:ascii="Arial" w:eastAsia="Times New Roman" w:hAnsi="Arial" w:cs="Arial"/>
          <w:bCs/>
          <w:lang w:val="en-GB"/>
        </w:rPr>
        <w:t>Macrogol 8 000;</w:t>
      </w:r>
    </w:p>
    <w:p w14:paraId="4DECB701" w14:textId="77777777" w:rsidR="00D05BD9" w:rsidRPr="00D05BD9" w:rsidRDefault="00D05BD9" w:rsidP="00D05BD9">
      <w:pPr>
        <w:spacing w:after="0" w:line="480" w:lineRule="auto"/>
        <w:rPr>
          <w:rFonts w:ascii="Arial" w:eastAsia="Times New Roman" w:hAnsi="Arial" w:cs="Arial"/>
          <w:bCs/>
          <w:lang w:val="en-GB"/>
        </w:rPr>
      </w:pPr>
      <w:r w:rsidRPr="00D05BD9">
        <w:rPr>
          <w:rFonts w:ascii="Arial" w:eastAsia="Times New Roman" w:hAnsi="Arial" w:cs="Arial"/>
          <w:bCs/>
          <w:lang w:val="en-GB"/>
        </w:rPr>
        <w:t>Magnesium stearate (E572);</w:t>
      </w:r>
    </w:p>
    <w:p w14:paraId="0D35852C" w14:textId="77777777" w:rsidR="00D05BD9" w:rsidRPr="00D05BD9" w:rsidRDefault="00D05BD9" w:rsidP="00D05BD9">
      <w:pPr>
        <w:spacing w:after="0" w:line="480" w:lineRule="auto"/>
        <w:rPr>
          <w:rFonts w:ascii="Arial" w:eastAsia="Times New Roman" w:hAnsi="Arial" w:cs="Arial"/>
          <w:bCs/>
          <w:lang w:val="en-GB"/>
        </w:rPr>
      </w:pPr>
      <w:r w:rsidRPr="00D05BD9">
        <w:rPr>
          <w:rFonts w:ascii="Arial" w:eastAsia="Times New Roman" w:hAnsi="Arial" w:cs="Arial"/>
          <w:bCs/>
          <w:lang w:val="en-GB"/>
        </w:rPr>
        <w:lastRenderedPageBreak/>
        <w:t>Methacrylate polymers;</w:t>
      </w:r>
    </w:p>
    <w:p w14:paraId="59429A5C" w14:textId="77777777" w:rsidR="00D05BD9" w:rsidRPr="00D05BD9" w:rsidRDefault="00D05BD9" w:rsidP="00D05BD9">
      <w:pPr>
        <w:spacing w:after="0" w:line="480" w:lineRule="auto"/>
        <w:rPr>
          <w:rFonts w:ascii="Arial" w:eastAsia="Times New Roman" w:hAnsi="Arial" w:cs="Arial"/>
          <w:bCs/>
          <w:lang w:val="en-GB"/>
        </w:rPr>
      </w:pPr>
      <w:r w:rsidRPr="00D05BD9">
        <w:rPr>
          <w:rFonts w:ascii="Arial" w:eastAsia="Times New Roman" w:hAnsi="Arial" w:cs="Arial"/>
          <w:bCs/>
          <w:lang w:val="en-GB"/>
        </w:rPr>
        <w:t>Talcum (E553b);</w:t>
      </w:r>
    </w:p>
    <w:p w14:paraId="6B28B028" w14:textId="77777777" w:rsidR="00D05BD9" w:rsidRPr="00D05BD9" w:rsidRDefault="00D05BD9" w:rsidP="00D05BD9">
      <w:pPr>
        <w:spacing w:after="0" w:line="480" w:lineRule="auto"/>
        <w:rPr>
          <w:rFonts w:ascii="Arial" w:eastAsia="Times New Roman" w:hAnsi="Arial" w:cs="Arial"/>
          <w:bCs/>
          <w:lang w:val="en-GB"/>
        </w:rPr>
      </w:pPr>
      <w:r w:rsidRPr="00D05BD9">
        <w:rPr>
          <w:rFonts w:ascii="Arial" w:eastAsia="Times New Roman" w:hAnsi="Arial" w:cs="Arial"/>
          <w:bCs/>
          <w:lang w:val="en-GB"/>
        </w:rPr>
        <w:t>Titanium dioxide (E171);</w:t>
      </w:r>
    </w:p>
    <w:p w14:paraId="12FAEE96" w14:textId="77777777" w:rsidR="00D05BD9" w:rsidRPr="00D05BD9" w:rsidRDefault="00D05BD9" w:rsidP="00D05BD9">
      <w:pPr>
        <w:spacing w:after="0" w:line="480" w:lineRule="auto"/>
        <w:rPr>
          <w:rFonts w:ascii="Arial" w:eastAsia="Times New Roman" w:hAnsi="Arial" w:cs="Arial"/>
          <w:bCs/>
          <w:i/>
          <w:iCs/>
          <w:lang w:val="en-GB"/>
        </w:rPr>
      </w:pPr>
      <w:r w:rsidRPr="00D05BD9">
        <w:rPr>
          <w:rFonts w:ascii="Arial" w:eastAsia="Times New Roman" w:hAnsi="Arial" w:cs="Arial"/>
          <w:bCs/>
          <w:lang w:val="en-GB"/>
        </w:rPr>
        <w:t>Vanillin.</w:t>
      </w:r>
      <w:r w:rsidRPr="00D05BD9">
        <w:rPr>
          <w:rFonts w:ascii="Arial" w:eastAsia="Times New Roman" w:hAnsi="Arial" w:cs="Arial"/>
          <w:bCs/>
          <w:i/>
          <w:iCs/>
          <w:lang w:val="en-GB"/>
        </w:rPr>
        <w:t xml:space="preserve"> </w:t>
      </w:r>
    </w:p>
    <w:p w14:paraId="3F9FB44D" w14:textId="77777777" w:rsidR="00D05BD9" w:rsidRPr="00D05BD9" w:rsidRDefault="00D05BD9" w:rsidP="00D05BD9">
      <w:pPr>
        <w:keepNext/>
        <w:spacing w:after="0" w:line="480" w:lineRule="auto"/>
        <w:ind w:left="567" w:hanging="567"/>
        <w:outlineLvl w:val="0"/>
        <w:rPr>
          <w:rFonts w:ascii="Arial" w:hAnsi="Arial" w:cs="Arial"/>
          <w:b/>
          <w:noProof/>
        </w:rPr>
      </w:pPr>
    </w:p>
    <w:p w14:paraId="6CD4D692" w14:textId="77777777" w:rsidR="00D05BD9" w:rsidRPr="00D05BD9" w:rsidRDefault="00D05BD9" w:rsidP="00D05BD9">
      <w:pPr>
        <w:keepNext/>
        <w:spacing w:after="0" w:line="480" w:lineRule="auto"/>
        <w:ind w:left="567" w:hanging="567"/>
        <w:outlineLvl w:val="0"/>
        <w:rPr>
          <w:rFonts w:ascii="Arial" w:hAnsi="Arial" w:cs="Arial"/>
          <w:b/>
          <w:noProof/>
        </w:rPr>
      </w:pPr>
      <w:r w:rsidRPr="00D05BD9">
        <w:rPr>
          <w:rFonts w:ascii="Arial" w:hAnsi="Arial" w:cs="Arial"/>
          <w:b/>
          <w:noProof/>
        </w:rPr>
        <w:t>6.2</w:t>
      </w:r>
      <w:r w:rsidRPr="00D05BD9">
        <w:rPr>
          <w:rFonts w:ascii="Arial" w:hAnsi="Arial" w:cs="Arial"/>
          <w:b/>
          <w:noProof/>
        </w:rPr>
        <w:tab/>
        <w:t>Incompatibilities</w:t>
      </w:r>
    </w:p>
    <w:p w14:paraId="3C388EC2" w14:textId="77777777" w:rsidR="00D05BD9" w:rsidRPr="00D05BD9" w:rsidRDefault="00D05BD9" w:rsidP="00D05BD9">
      <w:pPr>
        <w:keepNext/>
        <w:spacing w:after="0" w:line="480" w:lineRule="auto"/>
        <w:ind w:left="567" w:hanging="567"/>
        <w:outlineLvl w:val="0"/>
        <w:rPr>
          <w:rFonts w:ascii="Arial" w:hAnsi="Arial" w:cs="Arial"/>
          <w:bCs/>
          <w:noProof/>
        </w:rPr>
      </w:pPr>
      <w:r w:rsidRPr="00D05BD9">
        <w:rPr>
          <w:rFonts w:ascii="Arial" w:hAnsi="Arial" w:cs="Arial"/>
          <w:bCs/>
          <w:noProof/>
        </w:rPr>
        <w:t>Not applicable.</w:t>
      </w:r>
    </w:p>
    <w:p w14:paraId="60C97BB8" w14:textId="77777777" w:rsidR="00D05BD9" w:rsidRPr="00D05BD9" w:rsidRDefault="00D05BD9" w:rsidP="00D05BD9">
      <w:pPr>
        <w:keepNext/>
        <w:spacing w:after="0" w:line="480" w:lineRule="auto"/>
        <w:ind w:left="567" w:hanging="567"/>
        <w:outlineLvl w:val="0"/>
        <w:rPr>
          <w:rFonts w:ascii="Arial" w:hAnsi="Arial" w:cs="Arial"/>
          <w:b/>
          <w:noProof/>
        </w:rPr>
      </w:pPr>
    </w:p>
    <w:p w14:paraId="2C9C3A7B" w14:textId="77777777" w:rsidR="00D05BD9" w:rsidRPr="00D05BD9" w:rsidRDefault="00D05BD9" w:rsidP="00D05BD9">
      <w:pPr>
        <w:spacing w:after="0" w:line="480" w:lineRule="auto"/>
        <w:ind w:left="567" w:hanging="567"/>
        <w:outlineLvl w:val="0"/>
        <w:rPr>
          <w:rFonts w:ascii="Arial" w:hAnsi="Arial" w:cs="Arial"/>
          <w:noProof/>
        </w:rPr>
      </w:pPr>
      <w:r w:rsidRPr="00D05BD9">
        <w:rPr>
          <w:rFonts w:ascii="Arial" w:hAnsi="Arial" w:cs="Arial"/>
          <w:b/>
          <w:noProof/>
        </w:rPr>
        <w:t>6.3</w:t>
      </w:r>
      <w:r w:rsidRPr="00D05BD9">
        <w:rPr>
          <w:rFonts w:ascii="Arial" w:hAnsi="Arial" w:cs="Arial"/>
          <w:b/>
          <w:noProof/>
        </w:rPr>
        <w:tab/>
        <w:t>Shelf life</w:t>
      </w:r>
    </w:p>
    <w:p w14:paraId="007C4519" w14:textId="77777777" w:rsidR="00D05BD9" w:rsidRPr="00D05BD9" w:rsidRDefault="00D05BD9" w:rsidP="00D05BD9">
      <w:pPr>
        <w:spacing w:after="0" w:line="480" w:lineRule="auto"/>
        <w:rPr>
          <w:rFonts w:ascii="Arial" w:hAnsi="Arial" w:cs="Arial"/>
          <w:noProof/>
        </w:rPr>
      </w:pPr>
      <w:r w:rsidRPr="00D05BD9">
        <w:rPr>
          <w:rFonts w:ascii="Arial" w:hAnsi="Arial" w:cs="Arial"/>
          <w:noProof/>
        </w:rPr>
        <w:t>3 years.</w:t>
      </w:r>
    </w:p>
    <w:p w14:paraId="3A737D57" w14:textId="77777777" w:rsidR="00D05BD9" w:rsidRPr="00D05BD9" w:rsidRDefault="00D05BD9" w:rsidP="00D05BD9">
      <w:pPr>
        <w:widowControl w:val="0"/>
        <w:spacing w:after="0" w:line="480" w:lineRule="auto"/>
        <w:rPr>
          <w:rFonts w:ascii="Arial" w:hAnsi="Arial" w:cs="Arial"/>
          <w:lang w:val="en-GB"/>
        </w:rPr>
      </w:pPr>
      <w:r w:rsidRPr="00D05BD9">
        <w:rPr>
          <w:rFonts w:ascii="Arial" w:hAnsi="Arial" w:cs="Arial"/>
        </w:rPr>
        <w:t xml:space="preserve">Store at or below 25 °C. </w:t>
      </w:r>
    </w:p>
    <w:p w14:paraId="7B9C415A" w14:textId="32B53E77" w:rsidR="00D05BD9" w:rsidRDefault="00D05BD9" w:rsidP="00D05BD9">
      <w:pPr>
        <w:spacing w:after="0" w:line="480" w:lineRule="auto"/>
        <w:ind w:left="567" w:hanging="567"/>
        <w:outlineLvl w:val="0"/>
        <w:rPr>
          <w:rFonts w:ascii="Arial" w:hAnsi="Arial" w:cs="Arial"/>
          <w:b/>
          <w:noProof/>
        </w:rPr>
      </w:pPr>
    </w:p>
    <w:p w14:paraId="6E2A1D64" w14:textId="77777777" w:rsidR="002064C0" w:rsidRPr="00D05BD9" w:rsidRDefault="002064C0" w:rsidP="00D05BD9">
      <w:pPr>
        <w:spacing w:after="0" w:line="480" w:lineRule="auto"/>
        <w:ind w:left="567" w:hanging="567"/>
        <w:outlineLvl w:val="0"/>
        <w:rPr>
          <w:rFonts w:ascii="Arial" w:hAnsi="Arial" w:cs="Arial"/>
          <w:b/>
          <w:noProof/>
        </w:rPr>
      </w:pPr>
    </w:p>
    <w:p w14:paraId="348421B1" w14:textId="77777777" w:rsidR="00D05BD9" w:rsidRPr="00D05BD9" w:rsidRDefault="00D05BD9" w:rsidP="00D05BD9">
      <w:pPr>
        <w:spacing w:after="0" w:line="480" w:lineRule="auto"/>
        <w:ind w:left="567" w:hanging="567"/>
        <w:outlineLvl w:val="0"/>
        <w:rPr>
          <w:rFonts w:ascii="Arial" w:hAnsi="Arial" w:cs="Arial"/>
          <w:noProof/>
        </w:rPr>
      </w:pPr>
      <w:r w:rsidRPr="00D05BD9">
        <w:rPr>
          <w:rFonts w:ascii="Arial" w:hAnsi="Arial" w:cs="Arial"/>
          <w:b/>
          <w:noProof/>
        </w:rPr>
        <w:t>6.4</w:t>
      </w:r>
      <w:r w:rsidRPr="00D05BD9">
        <w:rPr>
          <w:rFonts w:ascii="Arial" w:hAnsi="Arial" w:cs="Arial"/>
          <w:b/>
          <w:noProof/>
        </w:rPr>
        <w:tab/>
        <w:t>Special precautions for storage</w:t>
      </w:r>
    </w:p>
    <w:p w14:paraId="4C0D50DA" w14:textId="77777777" w:rsidR="00D05BD9" w:rsidRPr="00D05BD9" w:rsidRDefault="00D05BD9" w:rsidP="00F87F4C">
      <w:pPr>
        <w:widowControl w:val="0"/>
        <w:spacing w:after="0" w:line="480" w:lineRule="auto"/>
        <w:rPr>
          <w:rFonts w:ascii="Arial" w:hAnsi="Arial" w:cs="Arial"/>
          <w:lang w:val="en-GB"/>
        </w:rPr>
      </w:pPr>
      <w:r w:rsidRPr="00D05BD9">
        <w:rPr>
          <w:rFonts w:ascii="Arial" w:hAnsi="Arial" w:cs="Arial"/>
          <w:lang w:val="en-GB"/>
        </w:rPr>
        <w:t>Keep the blister strips in the outer carton until required for use.</w:t>
      </w:r>
    </w:p>
    <w:p w14:paraId="35E394F6" w14:textId="77777777" w:rsidR="00D05BD9" w:rsidRPr="00D05BD9" w:rsidRDefault="00D05BD9" w:rsidP="00D05BD9">
      <w:pPr>
        <w:spacing w:after="0" w:line="480" w:lineRule="auto"/>
        <w:ind w:left="567" w:hanging="567"/>
        <w:outlineLvl w:val="0"/>
        <w:rPr>
          <w:rFonts w:ascii="Arial" w:hAnsi="Arial" w:cs="Arial"/>
          <w:b/>
          <w:noProof/>
        </w:rPr>
      </w:pPr>
    </w:p>
    <w:p w14:paraId="76D66C11" w14:textId="77777777" w:rsidR="00D05BD9" w:rsidRPr="00D05BD9" w:rsidRDefault="00D05BD9" w:rsidP="00D05BD9">
      <w:pPr>
        <w:numPr>
          <w:ilvl w:val="1"/>
          <w:numId w:val="8"/>
        </w:numPr>
        <w:tabs>
          <w:tab w:val="clear" w:pos="1278"/>
          <w:tab w:val="num" w:pos="609"/>
        </w:tabs>
        <w:spacing w:after="0" w:line="480" w:lineRule="auto"/>
        <w:ind w:hanging="1236"/>
        <w:outlineLvl w:val="0"/>
        <w:rPr>
          <w:rFonts w:ascii="Arial" w:hAnsi="Arial" w:cs="Arial"/>
          <w:b/>
          <w:noProof/>
        </w:rPr>
      </w:pPr>
      <w:r w:rsidRPr="00D05BD9">
        <w:rPr>
          <w:rFonts w:ascii="Arial" w:hAnsi="Arial" w:cs="Arial"/>
          <w:b/>
          <w:noProof/>
        </w:rPr>
        <w:t xml:space="preserve">Nature and contents of container </w:t>
      </w:r>
    </w:p>
    <w:p w14:paraId="4D033269" w14:textId="77777777" w:rsidR="00F87F4C" w:rsidRDefault="00F87F4C" w:rsidP="00F87F4C">
      <w:pPr>
        <w:keepNext/>
        <w:spacing w:after="0" w:line="480" w:lineRule="auto"/>
        <w:outlineLvl w:val="0"/>
        <w:rPr>
          <w:rFonts w:ascii="Arial" w:hAnsi="Arial" w:cs="Arial"/>
          <w:bCs/>
          <w:noProof/>
        </w:rPr>
      </w:pPr>
      <w:bookmarkStart w:id="0" w:name="OLE_LINK1"/>
      <w:r w:rsidRPr="00F87F4C">
        <w:rPr>
          <w:rFonts w:ascii="Arial" w:hAnsi="Arial" w:cs="Arial"/>
          <w:bCs/>
          <w:noProof/>
        </w:rPr>
        <w:t>10 film-coated tablets are packed in one PVC/aluminium blister strip.</w:t>
      </w:r>
      <w:r>
        <w:rPr>
          <w:rFonts w:ascii="Arial" w:hAnsi="Arial" w:cs="Arial"/>
          <w:bCs/>
          <w:noProof/>
        </w:rPr>
        <w:t xml:space="preserve"> </w:t>
      </w:r>
    </w:p>
    <w:p w14:paraId="0EB1C6CE" w14:textId="095CCCDA" w:rsidR="00F87F4C" w:rsidRPr="00F87F4C" w:rsidRDefault="00F87F4C" w:rsidP="00F87F4C">
      <w:pPr>
        <w:keepNext/>
        <w:spacing w:after="0" w:line="480" w:lineRule="auto"/>
        <w:outlineLvl w:val="0"/>
        <w:rPr>
          <w:rFonts w:ascii="Arial" w:hAnsi="Arial" w:cs="Arial"/>
          <w:bCs/>
          <w:noProof/>
        </w:rPr>
      </w:pPr>
      <w:r w:rsidRPr="00F87F4C">
        <w:rPr>
          <w:rFonts w:ascii="Arial" w:hAnsi="Arial" w:cs="Arial"/>
          <w:bCs/>
          <w:noProof/>
        </w:rPr>
        <w:t>PVC/aluminium blister strips are packed in an outer carton box</w:t>
      </w:r>
      <w:r>
        <w:rPr>
          <w:rFonts w:ascii="Arial" w:hAnsi="Arial" w:cs="Arial"/>
          <w:bCs/>
          <w:noProof/>
        </w:rPr>
        <w:t>.</w:t>
      </w:r>
    </w:p>
    <w:p w14:paraId="15A84726" w14:textId="096C5A28" w:rsidR="00F87F4C" w:rsidRDefault="00F87F4C" w:rsidP="00D05BD9">
      <w:pPr>
        <w:keepNext/>
        <w:spacing w:after="0" w:line="480" w:lineRule="auto"/>
        <w:ind w:left="567" w:hanging="567"/>
        <w:outlineLvl w:val="0"/>
        <w:rPr>
          <w:rFonts w:ascii="Arial" w:hAnsi="Arial" w:cs="Arial"/>
          <w:b/>
          <w:noProof/>
        </w:rPr>
      </w:pPr>
    </w:p>
    <w:p w14:paraId="6CF9DADF" w14:textId="77777777" w:rsidR="00F87F4C" w:rsidRPr="00F87F4C" w:rsidRDefault="00F87F4C" w:rsidP="00F87F4C">
      <w:pPr>
        <w:keepNext/>
        <w:spacing w:after="0" w:line="480" w:lineRule="auto"/>
        <w:ind w:left="567" w:hanging="567"/>
        <w:outlineLvl w:val="0"/>
        <w:rPr>
          <w:rFonts w:ascii="Arial" w:hAnsi="Arial" w:cs="Arial"/>
          <w:bCs/>
          <w:noProof/>
        </w:rPr>
      </w:pPr>
      <w:r w:rsidRPr="00F87F4C">
        <w:rPr>
          <w:rFonts w:ascii="Arial" w:hAnsi="Arial" w:cs="Arial"/>
          <w:bCs/>
          <w:noProof/>
        </w:rPr>
        <w:t xml:space="preserve">Pack sizes: </w:t>
      </w:r>
    </w:p>
    <w:p w14:paraId="484E962C" w14:textId="482B7979" w:rsidR="00F87F4C" w:rsidRPr="00F87F4C" w:rsidRDefault="00F87F4C" w:rsidP="00F87F4C">
      <w:pPr>
        <w:keepNext/>
        <w:spacing w:after="0" w:line="480" w:lineRule="auto"/>
        <w:ind w:left="567" w:hanging="567"/>
        <w:outlineLvl w:val="0"/>
        <w:rPr>
          <w:rFonts w:ascii="Arial" w:hAnsi="Arial" w:cs="Arial"/>
          <w:bCs/>
          <w:noProof/>
        </w:rPr>
      </w:pPr>
      <w:r w:rsidRPr="00F87F4C">
        <w:rPr>
          <w:rFonts w:ascii="Arial" w:hAnsi="Arial" w:cs="Arial"/>
          <w:bCs/>
          <w:noProof/>
        </w:rPr>
        <w:t>30 or 100 film-coated tablets</w:t>
      </w:r>
      <w:r>
        <w:rPr>
          <w:rFonts w:ascii="Arial" w:hAnsi="Arial" w:cs="Arial"/>
          <w:bCs/>
          <w:noProof/>
        </w:rPr>
        <w:t>.</w:t>
      </w:r>
    </w:p>
    <w:p w14:paraId="1CCB6D86" w14:textId="06D09636" w:rsidR="00F87F4C" w:rsidRPr="00F87F4C" w:rsidRDefault="00F87F4C" w:rsidP="00F87F4C">
      <w:pPr>
        <w:keepNext/>
        <w:spacing w:after="0" w:line="480" w:lineRule="auto"/>
        <w:ind w:left="567" w:hanging="567"/>
        <w:outlineLvl w:val="0"/>
        <w:rPr>
          <w:rFonts w:ascii="Arial" w:hAnsi="Arial" w:cs="Arial"/>
          <w:bCs/>
          <w:noProof/>
        </w:rPr>
      </w:pPr>
      <w:r w:rsidRPr="00F87F4C">
        <w:rPr>
          <w:rFonts w:ascii="Arial" w:hAnsi="Arial" w:cs="Arial"/>
          <w:bCs/>
          <w:noProof/>
        </w:rPr>
        <w:t>Not all pack sizes may be marketed.</w:t>
      </w:r>
    </w:p>
    <w:p w14:paraId="4D0E2B16" w14:textId="77777777" w:rsidR="00F87F4C" w:rsidRDefault="00F87F4C" w:rsidP="00F87F4C">
      <w:pPr>
        <w:keepNext/>
        <w:spacing w:after="0" w:line="480" w:lineRule="auto"/>
        <w:ind w:left="567" w:hanging="567"/>
        <w:outlineLvl w:val="0"/>
        <w:rPr>
          <w:rFonts w:ascii="Arial" w:hAnsi="Arial" w:cs="Arial"/>
          <w:b/>
          <w:noProof/>
        </w:rPr>
      </w:pPr>
    </w:p>
    <w:p w14:paraId="2716C2AE" w14:textId="30ED2B70" w:rsidR="00D05BD9" w:rsidRPr="00D05BD9" w:rsidRDefault="00D05BD9" w:rsidP="00D05BD9">
      <w:pPr>
        <w:keepNext/>
        <w:spacing w:after="0" w:line="480" w:lineRule="auto"/>
        <w:ind w:left="567" w:hanging="567"/>
        <w:outlineLvl w:val="0"/>
        <w:rPr>
          <w:rFonts w:ascii="Arial" w:hAnsi="Arial" w:cs="Arial"/>
          <w:noProof/>
        </w:rPr>
      </w:pPr>
      <w:r w:rsidRPr="00D05BD9">
        <w:rPr>
          <w:rFonts w:ascii="Arial" w:hAnsi="Arial" w:cs="Arial"/>
          <w:b/>
          <w:noProof/>
        </w:rPr>
        <w:t>6.6</w:t>
      </w:r>
      <w:r w:rsidRPr="00D05BD9">
        <w:rPr>
          <w:rFonts w:ascii="Arial" w:hAnsi="Arial" w:cs="Arial"/>
          <w:b/>
          <w:noProof/>
        </w:rPr>
        <w:tab/>
        <w:t>Special precautions for disposal and other handling</w:t>
      </w:r>
    </w:p>
    <w:bookmarkEnd w:id="0"/>
    <w:p w14:paraId="2F374795" w14:textId="77777777" w:rsidR="00D05BD9" w:rsidRPr="00D05BD9" w:rsidRDefault="00D05BD9" w:rsidP="00D05BD9">
      <w:pPr>
        <w:spacing w:after="0" w:line="480" w:lineRule="auto"/>
        <w:rPr>
          <w:rFonts w:ascii="Arial" w:hAnsi="Arial" w:cs="Arial"/>
          <w:noProof/>
        </w:rPr>
      </w:pPr>
      <w:r w:rsidRPr="00D05BD9">
        <w:rPr>
          <w:rFonts w:ascii="Arial" w:hAnsi="Arial" w:cs="Arial"/>
          <w:noProof/>
        </w:rPr>
        <w:t>None.</w:t>
      </w:r>
    </w:p>
    <w:p w14:paraId="76C1E5B5" w14:textId="77777777" w:rsidR="00D05BD9" w:rsidRPr="00D05BD9" w:rsidRDefault="00D05BD9" w:rsidP="00D05BD9">
      <w:pPr>
        <w:keepNext/>
        <w:spacing w:after="0" w:line="480" w:lineRule="auto"/>
        <w:ind w:left="567" w:hanging="567"/>
        <w:outlineLvl w:val="0"/>
        <w:rPr>
          <w:rFonts w:ascii="Arial" w:hAnsi="Arial" w:cs="Arial"/>
          <w:b/>
          <w:noProof/>
        </w:rPr>
      </w:pPr>
    </w:p>
    <w:p w14:paraId="07965502" w14:textId="77777777" w:rsidR="00D05BD9" w:rsidRPr="00D05BD9" w:rsidRDefault="00D05BD9" w:rsidP="00D05BD9">
      <w:pPr>
        <w:spacing w:after="0" w:line="480" w:lineRule="auto"/>
        <w:ind w:left="567" w:hanging="567"/>
        <w:rPr>
          <w:rFonts w:ascii="Arial" w:hAnsi="Arial" w:cs="Arial"/>
          <w:b/>
          <w:noProof/>
        </w:rPr>
      </w:pPr>
      <w:r w:rsidRPr="00D05BD9">
        <w:rPr>
          <w:rFonts w:ascii="Arial" w:hAnsi="Arial" w:cs="Arial"/>
          <w:b/>
          <w:noProof/>
        </w:rPr>
        <w:t>7.</w:t>
      </w:r>
      <w:r w:rsidRPr="00D05BD9">
        <w:rPr>
          <w:rFonts w:ascii="Arial" w:hAnsi="Arial" w:cs="Arial"/>
          <w:b/>
          <w:noProof/>
        </w:rPr>
        <w:tab/>
        <w:t>HOLDER OF CERTIFICATE OF REGISTRATION</w:t>
      </w:r>
    </w:p>
    <w:p w14:paraId="2D47D1C5" w14:textId="77777777" w:rsidR="00D05BD9" w:rsidRPr="00D05BD9" w:rsidRDefault="00D05BD9" w:rsidP="00D05BD9">
      <w:pPr>
        <w:spacing w:after="0" w:line="480" w:lineRule="auto"/>
        <w:rPr>
          <w:rFonts w:ascii="Arial" w:hAnsi="Arial" w:cs="Arial"/>
          <w:bCs/>
        </w:rPr>
      </w:pPr>
      <w:r w:rsidRPr="00D05BD9">
        <w:rPr>
          <w:rFonts w:ascii="Arial" w:hAnsi="Arial" w:cs="Arial"/>
          <w:bCs/>
        </w:rPr>
        <w:lastRenderedPageBreak/>
        <w:t>Biotech Laboratories (Pty) Ltd</w:t>
      </w:r>
    </w:p>
    <w:p w14:paraId="37473434" w14:textId="77777777" w:rsidR="00D05BD9" w:rsidRPr="00D05BD9" w:rsidRDefault="00D05BD9" w:rsidP="00D05BD9">
      <w:pPr>
        <w:spacing w:after="0" w:line="480" w:lineRule="auto"/>
        <w:rPr>
          <w:rFonts w:ascii="Arial" w:hAnsi="Arial" w:cs="Arial"/>
          <w:bCs/>
        </w:rPr>
      </w:pPr>
      <w:r w:rsidRPr="00D05BD9">
        <w:rPr>
          <w:rFonts w:ascii="Arial" w:hAnsi="Arial" w:cs="Arial"/>
          <w:bCs/>
        </w:rPr>
        <w:t>Ground Floor Block K West Central Park</w:t>
      </w:r>
    </w:p>
    <w:p w14:paraId="41AA8D3A" w14:textId="77777777" w:rsidR="00D05BD9" w:rsidRPr="00D05BD9" w:rsidRDefault="00D05BD9" w:rsidP="00D05BD9">
      <w:pPr>
        <w:spacing w:after="0" w:line="480" w:lineRule="auto"/>
        <w:rPr>
          <w:rFonts w:ascii="Arial" w:hAnsi="Arial" w:cs="Arial"/>
          <w:bCs/>
        </w:rPr>
      </w:pPr>
      <w:r w:rsidRPr="00D05BD9">
        <w:rPr>
          <w:rFonts w:ascii="Arial" w:hAnsi="Arial" w:cs="Arial"/>
          <w:bCs/>
        </w:rPr>
        <w:t>400 16</w:t>
      </w:r>
      <w:r w:rsidRPr="00D05BD9">
        <w:rPr>
          <w:rFonts w:ascii="Arial" w:hAnsi="Arial" w:cs="Arial"/>
          <w:bCs/>
          <w:vertAlign w:val="superscript"/>
        </w:rPr>
        <w:t>th</w:t>
      </w:r>
      <w:r w:rsidRPr="00D05BD9">
        <w:rPr>
          <w:rFonts w:ascii="Arial" w:hAnsi="Arial" w:cs="Arial"/>
          <w:bCs/>
        </w:rPr>
        <w:t xml:space="preserve"> Road, Randjespark</w:t>
      </w:r>
    </w:p>
    <w:p w14:paraId="46F8B7D9" w14:textId="77777777" w:rsidR="00D05BD9" w:rsidRPr="00D05BD9" w:rsidRDefault="00D05BD9" w:rsidP="00D05BD9">
      <w:pPr>
        <w:spacing w:after="0" w:line="480" w:lineRule="auto"/>
        <w:rPr>
          <w:rFonts w:ascii="Arial" w:hAnsi="Arial" w:cs="Arial"/>
          <w:bCs/>
        </w:rPr>
      </w:pPr>
      <w:r w:rsidRPr="00D05BD9">
        <w:rPr>
          <w:rFonts w:ascii="Arial" w:hAnsi="Arial" w:cs="Arial"/>
          <w:bCs/>
        </w:rPr>
        <w:t>Halfway House</w:t>
      </w:r>
    </w:p>
    <w:p w14:paraId="4EB1C823" w14:textId="77777777" w:rsidR="00D05BD9" w:rsidRPr="00D05BD9" w:rsidRDefault="00D05BD9" w:rsidP="00D05BD9">
      <w:pPr>
        <w:spacing w:after="0" w:line="480" w:lineRule="auto"/>
        <w:ind w:left="567" w:hanging="567"/>
        <w:rPr>
          <w:rFonts w:ascii="Arial" w:hAnsi="Arial" w:cs="Arial"/>
          <w:b/>
          <w:noProof/>
        </w:rPr>
      </w:pPr>
      <w:r w:rsidRPr="00D05BD9">
        <w:rPr>
          <w:rFonts w:ascii="Arial" w:hAnsi="Arial" w:cs="Arial"/>
          <w:bCs/>
        </w:rPr>
        <w:t>Midrand 1685</w:t>
      </w:r>
    </w:p>
    <w:p w14:paraId="1557CB6C" w14:textId="77777777" w:rsidR="00D05BD9" w:rsidRPr="00D05BD9" w:rsidRDefault="00D05BD9" w:rsidP="00D05BD9">
      <w:pPr>
        <w:spacing w:after="0" w:line="480" w:lineRule="auto"/>
        <w:rPr>
          <w:rFonts w:ascii="Arial" w:hAnsi="Arial" w:cs="Arial"/>
          <w:bCs/>
        </w:rPr>
      </w:pPr>
    </w:p>
    <w:p w14:paraId="6423A681" w14:textId="77777777" w:rsidR="00D05BD9" w:rsidRPr="00D05BD9" w:rsidRDefault="00D05BD9" w:rsidP="00D05BD9">
      <w:pPr>
        <w:spacing w:after="0" w:line="480" w:lineRule="auto"/>
        <w:ind w:left="567" w:hanging="567"/>
        <w:rPr>
          <w:rFonts w:ascii="Arial" w:hAnsi="Arial" w:cs="Arial"/>
          <w:b/>
          <w:noProof/>
        </w:rPr>
      </w:pPr>
      <w:r w:rsidRPr="00D05BD9">
        <w:rPr>
          <w:rFonts w:ascii="Arial" w:hAnsi="Arial" w:cs="Arial"/>
          <w:b/>
          <w:noProof/>
        </w:rPr>
        <w:t>8.</w:t>
      </w:r>
      <w:r w:rsidRPr="00D05BD9">
        <w:rPr>
          <w:rFonts w:ascii="Arial" w:hAnsi="Arial" w:cs="Arial"/>
          <w:b/>
          <w:noProof/>
        </w:rPr>
        <w:tab/>
        <w:t>REGISTRATION NUMBER</w:t>
      </w:r>
    </w:p>
    <w:p w14:paraId="46B78C83" w14:textId="7D2E0C33" w:rsidR="00D05BD9" w:rsidRPr="00D05BD9" w:rsidRDefault="00F02769" w:rsidP="00D05BD9">
      <w:pPr>
        <w:spacing w:after="0" w:line="480" w:lineRule="auto"/>
        <w:rPr>
          <w:rFonts w:ascii="Arial" w:hAnsi="Arial" w:cs="Arial"/>
          <w:noProof/>
          <w:lang w:val="fr-CH"/>
        </w:rPr>
      </w:pPr>
      <w:bookmarkStart w:id="1" w:name="_Hlk117154776"/>
      <w:r>
        <w:rPr>
          <w:rFonts w:ascii="Arial" w:hAnsi="Arial" w:cs="Arial"/>
          <w:noProof/>
          <w:lang w:val="fr-CH"/>
        </w:rPr>
        <w:t>42/8.1/0837</w:t>
      </w:r>
    </w:p>
    <w:bookmarkEnd w:id="1"/>
    <w:p w14:paraId="0A965BC7" w14:textId="77777777" w:rsidR="00D05BD9" w:rsidRPr="00D05BD9" w:rsidRDefault="00D05BD9" w:rsidP="00D05BD9">
      <w:pPr>
        <w:spacing w:after="0" w:line="480" w:lineRule="auto"/>
        <w:ind w:left="567" w:hanging="567"/>
        <w:rPr>
          <w:rFonts w:ascii="Arial" w:hAnsi="Arial" w:cs="Arial"/>
          <w:b/>
          <w:noProof/>
        </w:rPr>
      </w:pPr>
    </w:p>
    <w:p w14:paraId="454BA122" w14:textId="77777777" w:rsidR="00D05BD9" w:rsidRPr="00D05BD9" w:rsidRDefault="00D05BD9" w:rsidP="00D05BD9">
      <w:pPr>
        <w:spacing w:after="0" w:line="480" w:lineRule="auto"/>
        <w:ind w:left="567" w:hanging="567"/>
        <w:rPr>
          <w:rFonts w:ascii="Arial" w:hAnsi="Arial" w:cs="Arial"/>
          <w:noProof/>
        </w:rPr>
      </w:pPr>
      <w:r w:rsidRPr="00D05BD9">
        <w:rPr>
          <w:rFonts w:ascii="Arial" w:hAnsi="Arial" w:cs="Arial"/>
          <w:b/>
          <w:noProof/>
        </w:rPr>
        <w:t>9.</w:t>
      </w:r>
      <w:r w:rsidRPr="00D05BD9">
        <w:rPr>
          <w:rFonts w:ascii="Arial" w:hAnsi="Arial" w:cs="Arial"/>
          <w:b/>
          <w:noProof/>
        </w:rPr>
        <w:tab/>
        <w:t>DATE OF FIRST AUTHORISATION/RENEWAL OF THE AUTORISATION</w:t>
      </w:r>
    </w:p>
    <w:p w14:paraId="017165E7" w14:textId="481CDAEA" w:rsidR="00D05BD9" w:rsidRPr="00D05BD9" w:rsidRDefault="00F02769" w:rsidP="00D05BD9">
      <w:pPr>
        <w:spacing w:after="0" w:line="480" w:lineRule="auto"/>
        <w:rPr>
          <w:rFonts w:ascii="Arial" w:hAnsi="Arial" w:cs="Arial"/>
          <w:noProof/>
        </w:rPr>
      </w:pPr>
      <w:bookmarkStart w:id="2" w:name="_Hlk117154791"/>
      <w:r>
        <w:rPr>
          <w:rFonts w:ascii="Arial" w:hAnsi="Arial" w:cs="Arial"/>
          <w:noProof/>
          <w:lang w:val="fr-CH"/>
        </w:rPr>
        <w:t>Date of registration: 29 June 2021</w:t>
      </w:r>
    </w:p>
    <w:bookmarkEnd w:id="2"/>
    <w:p w14:paraId="765F0C82" w14:textId="77777777" w:rsidR="00D05BD9" w:rsidRPr="00D05BD9" w:rsidRDefault="00D05BD9" w:rsidP="00D05BD9">
      <w:pPr>
        <w:spacing w:after="0" w:line="480" w:lineRule="auto"/>
        <w:rPr>
          <w:rFonts w:ascii="Arial" w:hAnsi="Arial" w:cs="Arial"/>
          <w:noProof/>
          <w:lang w:val="fr-CH"/>
        </w:rPr>
      </w:pPr>
    </w:p>
    <w:p w14:paraId="376FBCE8" w14:textId="77777777" w:rsidR="00D05BD9" w:rsidRPr="00D05BD9" w:rsidRDefault="00D05BD9" w:rsidP="00D05BD9">
      <w:pPr>
        <w:keepNext/>
        <w:spacing w:after="0" w:line="480" w:lineRule="auto"/>
        <w:ind w:left="567" w:hanging="567"/>
        <w:rPr>
          <w:rFonts w:ascii="Arial" w:hAnsi="Arial" w:cs="Arial"/>
          <w:b/>
          <w:noProof/>
        </w:rPr>
      </w:pPr>
      <w:r w:rsidRPr="00D05BD9">
        <w:rPr>
          <w:rFonts w:ascii="Arial" w:hAnsi="Arial" w:cs="Arial"/>
          <w:b/>
          <w:noProof/>
        </w:rPr>
        <w:t>10.</w:t>
      </w:r>
      <w:r w:rsidRPr="00D05BD9">
        <w:rPr>
          <w:rFonts w:ascii="Arial" w:hAnsi="Arial" w:cs="Arial"/>
          <w:b/>
          <w:noProof/>
        </w:rPr>
        <w:tab/>
        <w:t>DATE OF REVISION OF THE TEXT</w:t>
      </w:r>
    </w:p>
    <w:p w14:paraId="616855F3" w14:textId="297B2EED" w:rsidR="00601509" w:rsidRPr="00371154" w:rsidRDefault="00F02769" w:rsidP="00F02769">
      <w:pPr>
        <w:spacing w:line="480" w:lineRule="auto"/>
        <w:rPr>
          <w:rFonts w:ascii="Arial" w:hAnsi="Arial" w:cs="Arial"/>
          <w:lang w:val="en-GB"/>
        </w:rPr>
      </w:pPr>
      <w:bookmarkStart w:id="3" w:name="_Hlk117154786"/>
      <w:r>
        <w:rPr>
          <w:rFonts w:ascii="Arial" w:hAnsi="Arial" w:cs="Arial"/>
          <w:lang w:val="en-GB"/>
        </w:rPr>
        <w:t>Not yet revised.</w:t>
      </w:r>
      <w:bookmarkEnd w:id="3"/>
    </w:p>
    <w:sectPr w:rsidR="00601509" w:rsidRPr="00371154" w:rsidSect="00183C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260BD" w14:textId="77777777" w:rsidR="00A4250F" w:rsidRDefault="00A4250F" w:rsidP="003E6572">
      <w:pPr>
        <w:spacing w:after="0" w:line="240" w:lineRule="auto"/>
      </w:pPr>
      <w:r>
        <w:separator/>
      </w:r>
    </w:p>
  </w:endnote>
  <w:endnote w:type="continuationSeparator" w:id="0">
    <w:p w14:paraId="1D8D5700" w14:textId="77777777" w:rsidR="00A4250F" w:rsidRDefault="00A4250F" w:rsidP="003E6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B3CA" w14:textId="77777777" w:rsidR="00AD0FD4" w:rsidRDefault="00AD0F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190158273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BF4390" w14:textId="28A7A29A" w:rsidR="00A4250F" w:rsidRPr="004C1FB9" w:rsidRDefault="00A4250F" w:rsidP="00F60FB5">
            <w:pPr>
              <w:pStyle w:val="Footer"/>
              <w:ind w:right="-3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FB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4C1FB9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4C1FB9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Pr="004C1FB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4C1FB9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4C1FB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4C1FB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4C1FB9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4C1FB9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Pr="004C1FB9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Pr="004C1FB9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4C1FB9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770BE07" w14:textId="6A43FDD8" w:rsidR="00A4250F" w:rsidRPr="008A3045" w:rsidRDefault="00A4250F" w:rsidP="004C1FB9">
    <w:pPr>
      <w:pStyle w:val="Header"/>
      <w:tabs>
        <w:tab w:val="clear" w:pos="4513"/>
        <w:tab w:val="clear" w:pos="9026"/>
        <w:tab w:val="left" w:pos="5288"/>
      </w:tabs>
      <w:spacing w:before="240" w:after="1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1BE0" w14:textId="77777777" w:rsidR="00AD0FD4" w:rsidRDefault="00AD0F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69317" w14:textId="77777777" w:rsidR="00A4250F" w:rsidRDefault="00A4250F" w:rsidP="003E6572">
      <w:pPr>
        <w:spacing w:after="0" w:line="240" w:lineRule="auto"/>
      </w:pPr>
      <w:r>
        <w:separator/>
      </w:r>
    </w:p>
  </w:footnote>
  <w:footnote w:type="continuationSeparator" w:id="0">
    <w:p w14:paraId="5AFFA085" w14:textId="77777777" w:rsidR="00A4250F" w:rsidRDefault="00A4250F" w:rsidP="003E6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B0E14" w14:textId="77777777" w:rsidR="00AD0FD4" w:rsidRDefault="00AD0F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833A0" w14:textId="69EF7F4D" w:rsidR="002064C0" w:rsidRDefault="00AD0FD4" w:rsidP="00AD0FD4">
    <w:pPr>
      <w:pBdr>
        <w:bottom w:val="single" w:sz="4" w:space="1" w:color="auto"/>
      </w:pBdr>
      <w:tabs>
        <w:tab w:val="center" w:pos="4513"/>
        <w:tab w:val="right" w:pos="9781"/>
      </w:tabs>
      <w:spacing w:after="0" w:line="240" w:lineRule="auto"/>
      <w:ind w:right="169"/>
      <w:rPr>
        <w:rFonts w:ascii="Arial" w:eastAsia="Times New Roman" w:hAnsi="Arial" w:cs="Arial"/>
        <w:sz w:val="18"/>
        <w:szCs w:val="18"/>
      </w:rPr>
    </w:pPr>
    <w:bookmarkStart w:id="4" w:name="_Hlk40192607"/>
    <w:r>
      <w:rPr>
        <w:rFonts w:ascii="Arial" w:eastAsia="Times New Roman" w:hAnsi="Arial" w:cs="Arial"/>
        <w:sz w:val="18"/>
        <w:szCs w:val="18"/>
      </w:rPr>
      <w:t>Biotech Laboratories (Pty) Ltd</w:t>
    </w:r>
    <w:r w:rsidR="002064C0" w:rsidRPr="00755B1C">
      <w:rPr>
        <w:rFonts w:ascii="Arial" w:eastAsia="Times New Roman" w:hAnsi="Arial" w:cs="Arial"/>
        <w:sz w:val="18"/>
        <w:szCs w:val="18"/>
      </w:rPr>
      <w:tab/>
    </w:r>
    <w:r w:rsidR="002064C0" w:rsidRPr="00755B1C">
      <w:rPr>
        <w:rFonts w:ascii="Arial" w:eastAsia="Times New Roman" w:hAnsi="Arial" w:cs="Arial"/>
        <w:sz w:val="18"/>
        <w:szCs w:val="18"/>
      </w:rPr>
      <w:tab/>
    </w:r>
    <w:bookmarkEnd w:id="4"/>
    <w:r>
      <w:rPr>
        <w:rFonts w:ascii="Arial" w:eastAsia="Times New Roman" w:hAnsi="Arial" w:cs="Arial"/>
        <w:sz w:val="18"/>
        <w:szCs w:val="18"/>
      </w:rPr>
      <w:t>BIO-TRANEXAMIC 500 mg film-coated tablets</w:t>
    </w:r>
  </w:p>
  <w:p w14:paraId="7CB83F7C" w14:textId="5645ED71" w:rsidR="00AD0FD4" w:rsidRPr="0003330D" w:rsidRDefault="00AD0FD4" w:rsidP="00AD0FD4">
    <w:pPr>
      <w:pBdr>
        <w:bottom w:val="single" w:sz="4" w:space="1" w:color="auto"/>
      </w:pBdr>
      <w:tabs>
        <w:tab w:val="center" w:pos="4513"/>
        <w:tab w:val="right" w:pos="9781"/>
      </w:tabs>
      <w:spacing w:after="0" w:line="240" w:lineRule="auto"/>
      <w:ind w:right="169"/>
      <w:jc w:val="right"/>
      <w:rPr>
        <w:rFonts w:ascii="Arial" w:eastAsia="Times New Roman" w:hAnsi="Arial" w:cs="Arial"/>
        <w:i/>
        <w:sz w:val="18"/>
        <w:szCs w:val="18"/>
      </w:rPr>
    </w:pPr>
    <w:r>
      <w:rPr>
        <w:rFonts w:ascii="Arial" w:eastAsia="Times New Roman" w:hAnsi="Arial" w:cs="Arial"/>
        <w:sz w:val="18"/>
        <w:szCs w:val="18"/>
      </w:rPr>
      <w:t>Date of submission: 10/2022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9B020" w14:textId="77777777" w:rsidR="00AD0FD4" w:rsidRDefault="00AD0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C75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366811"/>
    <w:multiLevelType w:val="hybridMultilevel"/>
    <w:tmpl w:val="730C1422"/>
    <w:lvl w:ilvl="0" w:tplc="E06AC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9553B"/>
    <w:multiLevelType w:val="hybridMultilevel"/>
    <w:tmpl w:val="B76EA256"/>
    <w:lvl w:ilvl="0" w:tplc="4A169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70F7A"/>
    <w:multiLevelType w:val="hybridMultilevel"/>
    <w:tmpl w:val="F5C63A5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1643B5"/>
    <w:multiLevelType w:val="hybridMultilevel"/>
    <w:tmpl w:val="60E6F37C"/>
    <w:lvl w:ilvl="0" w:tplc="97F87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05527C7"/>
    <w:multiLevelType w:val="hybridMultilevel"/>
    <w:tmpl w:val="EB7EC4FA"/>
    <w:lvl w:ilvl="0" w:tplc="21B0CC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C5629F"/>
    <w:multiLevelType w:val="multilevel"/>
    <w:tmpl w:val="84867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083C9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BD3692"/>
    <w:multiLevelType w:val="hybridMultilevel"/>
    <w:tmpl w:val="97122F78"/>
    <w:lvl w:ilvl="0" w:tplc="6504E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538BD"/>
    <w:multiLevelType w:val="hybridMultilevel"/>
    <w:tmpl w:val="3C9234A2"/>
    <w:lvl w:ilvl="0" w:tplc="51CA33CA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D65C8"/>
    <w:multiLevelType w:val="hybridMultilevel"/>
    <w:tmpl w:val="6D56FE30"/>
    <w:lvl w:ilvl="0" w:tplc="A39893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64036A"/>
    <w:multiLevelType w:val="hybridMultilevel"/>
    <w:tmpl w:val="1B4EF02E"/>
    <w:lvl w:ilvl="0" w:tplc="AE0808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78"/>
        </w:tabs>
        <w:ind w:left="1278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B90487"/>
    <w:multiLevelType w:val="hybridMultilevel"/>
    <w:tmpl w:val="C6A8A3EE"/>
    <w:lvl w:ilvl="0" w:tplc="A39893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9A73B7"/>
    <w:multiLevelType w:val="hybridMultilevel"/>
    <w:tmpl w:val="FA2C081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22026"/>
    <w:multiLevelType w:val="hybridMultilevel"/>
    <w:tmpl w:val="96F24C48"/>
    <w:lvl w:ilvl="0" w:tplc="FE7A5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C6A07"/>
    <w:multiLevelType w:val="hybridMultilevel"/>
    <w:tmpl w:val="66CC30DC"/>
    <w:lvl w:ilvl="0" w:tplc="97F876C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  <w:vertAlign w:val="baseline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48629F"/>
    <w:multiLevelType w:val="hybridMultilevel"/>
    <w:tmpl w:val="B0321F48"/>
    <w:lvl w:ilvl="0" w:tplc="4E2ED3FA">
      <w:start w:val="5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BE478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6E704A3"/>
    <w:multiLevelType w:val="hybridMultilevel"/>
    <w:tmpl w:val="6C928A82"/>
    <w:lvl w:ilvl="0" w:tplc="FF447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  <w:vertAlign w:val="baseline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86843"/>
    <w:multiLevelType w:val="hybridMultilevel"/>
    <w:tmpl w:val="A9CA3492"/>
    <w:lvl w:ilvl="0" w:tplc="FF447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  <w:vertAlign w:val="baseline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D875F1"/>
    <w:multiLevelType w:val="hybridMultilevel"/>
    <w:tmpl w:val="8E9A1894"/>
    <w:lvl w:ilvl="0" w:tplc="644C2B92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16"/>
        <w:szCs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729C1483"/>
    <w:multiLevelType w:val="hybridMultilevel"/>
    <w:tmpl w:val="4DFC128C"/>
    <w:lvl w:ilvl="0" w:tplc="1C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5" w15:restartNumberingAfterBreak="0">
    <w:nsid w:val="7D242267"/>
    <w:multiLevelType w:val="hybridMultilevel"/>
    <w:tmpl w:val="1250FF04"/>
    <w:lvl w:ilvl="0" w:tplc="F2E82D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A0A97"/>
    <w:multiLevelType w:val="hybridMultilevel"/>
    <w:tmpl w:val="F82A0B7A"/>
    <w:lvl w:ilvl="0" w:tplc="97F87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F1254E"/>
    <w:multiLevelType w:val="hybridMultilevel"/>
    <w:tmpl w:val="BA08565A"/>
    <w:lvl w:ilvl="0" w:tplc="A39893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066151">
    <w:abstractNumId w:val="22"/>
  </w:num>
  <w:num w:numId="2" w16cid:durableId="350304000">
    <w:abstractNumId w:val="7"/>
  </w:num>
  <w:num w:numId="3" w16cid:durableId="888154966">
    <w:abstractNumId w:val="12"/>
  </w:num>
  <w:num w:numId="4" w16cid:durableId="1418744062">
    <w:abstractNumId w:val="25"/>
  </w:num>
  <w:num w:numId="5" w16cid:durableId="1640763279">
    <w:abstractNumId w:val="3"/>
  </w:num>
  <w:num w:numId="6" w16cid:durableId="1459958141">
    <w:abstractNumId w:val="5"/>
  </w:num>
  <w:num w:numId="7" w16cid:durableId="640885482">
    <w:abstractNumId w:val="23"/>
  </w:num>
  <w:num w:numId="8" w16cid:durableId="733235058">
    <w:abstractNumId w:val="13"/>
  </w:num>
  <w:num w:numId="9" w16cid:durableId="90858604">
    <w:abstractNumId w:val="26"/>
  </w:num>
  <w:num w:numId="10" w16cid:durableId="1552495901">
    <w:abstractNumId w:val="4"/>
  </w:num>
  <w:num w:numId="11" w16cid:durableId="110319408">
    <w:abstractNumId w:val="20"/>
  </w:num>
  <w:num w:numId="12" w16cid:durableId="1117720877">
    <w:abstractNumId w:val="21"/>
  </w:num>
  <w:num w:numId="13" w16cid:durableId="888691373">
    <w:abstractNumId w:val="17"/>
  </w:num>
  <w:num w:numId="14" w16cid:durableId="210003565">
    <w:abstractNumId w:val="19"/>
  </w:num>
  <w:num w:numId="15" w16cid:durableId="1759593630">
    <w:abstractNumId w:val="0"/>
  </w:num>
  <w:num w:numId="16" w16cid:durableId="1162085324">
    <w:abstractNumId w:val="8"/>
  </w:num>
  <w:num w:numId="17" w16cid:durableId="2084063118">
    <w:abstractNumId w:val="9"/>
  </w:num>
  <w:num w:numId="18" w16cid:durableId="1533612377">
    <w:abstractNumId w:val="11"/>
  </w:num>
  <w:num w:numId="19" w16cid:durableId="1909073206">
    <w:abstractNumId w:val="6"/>
  </w:num>
  <w:num w:numId="20" w16cid:durableId="1438602093">
    <w:abstractNumId w:val="14"/>
  </w:num>
  <w:num w:numId="21" w16cid:durableId="1238517073">
    <w:abstractNumId w:val="27"/>
  </w:num>
  <w:num w:numId="22" w16cid:durableId="861480949">
    <w:abstractNumId w:val="2"/>
  </w:num>
  <w:num w:numId="23" w16cid:durableId="891580858">
    <w:abstractNumId w:val="10"/>
  </w:num>
  <w:num w:numId="24" w16cid:durableId="155927010">
    <w:abstractNumId w:val="18"/>
  </w:num>
  <w:num w:numId="25" w16cid:durableId="623662084">
    <w:abstractNumId w:val="24"/>
  </w:num>
  <w:num w:numId="26" w16cid:durableId="2062746843">
    <w:abstractNumId w:val="1"/>
  </w:num>
  <w:num w:numId="27" w16cid:durableId="1846626158">
    <w:abstractNumId w:val="15"/>
  </w:num>
  <w:num w:numId="28" w16cid:durableId="2862817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572"/>
    <w:rsid w:val="00002CBF"/>
    <w:rsid w:val="00007254"/>
    <w:rsid w:val="00010287"/>
    <w:rsid w:val="0001353B"/>
    <w:rsid w:val="0001382E"/>
    <w:rsid w:val="000153D0"/>
    <w:rsid w:val="00016725"/>
    <w:rsid w:val="00021A47"/>
    <w:rsid w:val="00021C40"/>
    <w:rsid w:val="00024AA7"/>
    <w:rsid w:val="00027EE2"/>
    <w:rsid w:val="00032AEE"/>
    <w:rsid w:val="00033158"/>
    <w:rsid w:val="00037111"/>
    <w:rsid w:val="00042324"/>
    <w:rsid w:val="000469D4"/>
    <w:rsid w:val="00052622"/>
    <w:rsid w:val="00052771"/>
    <w:rsid w:val="00057914"/>
    <w:rsid w:val="00057FD1"/>
    <w:rsid w:val="0006464F"/>
    <w:rsid w:val="000662AB"/>
    <w:rsid w:val="000675C5"/>
    <w:rsid w:val="0007021C"/>
    <w:rsid w:val="0007079B"/>
    <w:rsid w:val="000727B8"/>
    <w:rsid w:val="00076C15"/>
    <w:rsid w:val="00077434"/>
    <w:rsid w:val="000823C7"/>
    <w:rsid w:val="000847A5"/>
    <w:rsid w:val="00086145"/>
    <w:rsid w:val="000938EC"/>
    <w:rsid w:val="000956D1"/>
    <w:rsid w:val="000A23B0"/>
    <w:rsid w:val="000A50C3"/>
    <w:rsid w:val="000A5C23"/>
    <w:rsid w:val="000A69C0"/>
    <w:rsid w:val="000A6BF6"/>
    <w:rsid w:val="000B0582"/>
    <w:rsid w:val="000B163B"/>
    <w:rsid w:val="000B256A"/>
    <w:rsid w:val="000B2FC9"/>
    <w:rsid w:val="000B2FF2"/>
    <w:rsid w:val="000B62E5"/>
    <w:rsid w:val="000B6376"/>
    <w:rsid w:val="000C09C0"/>
    <w:rsid w:val="000C296A"/>
    <w:rsid w:val="000C326D"/>
    <w:rsid w:val="000C4BBB"/>
    <w:rsid w:val="000C70D9"/>
    <w:rsid w:val="000C7CA4"/>
    <w:rsid w:val="000D0DAB"/>
    <w:rsid w:val="000D4BA0"/>
    <w:rsid w:val="000D5F0D"/>
    <w:rsid w:val="000D610C"/>
    <w:rsid w:val="000D64A9"/>
    <w:rsid w:val="000E2E93"/>
    <w:rsid w:val="000E3972"/>
    <w:rsid w:val="000F25C6"/>
    <w:rsid w:val="000F36E1"/>
    <w:rsid w:val="000F481F"/>
    <w:rsid w:val="000F61CC"/>
    <w:rsid w:val="001003E1"/>
    <w:rsid w:val="001008C2"/>
    <w:rsid w:val="00101426"/>
    <w:rsid w:val="00101768"/>
    <w:rsid w:val="001052A9"/>
    <w:rsid w:val="00110D23"/>
    <w:rsid w:val="001228F3"/>
    <w:rsid w:val="00123B80"/>
    <w:rsid w:val="00125DC8"/>
    <w:rsid w:val="00126662"/>
    <w:rsid w:val="00127645"/>
    <w:rsid w:val="00131DBB"/>
    <w:rsid w:val="001364BC"/>
    <w:rsid w:val="00137644"/>
    <w:rsid w:val="00141072"/>
    <w:rsid w:val="001440E7"/>
    <w:rsid w:val="0014526C"/>
    <w:rsid w:val="00147AD2"/>
    <w:rsid w:val="00152C87"/>
    <w:rsid w:val="001544BB"/>
    <w:rsid w:val="00157DFF"/>
    <w:rsid w:val="001740C4"/>
    <w:rsid w:val="001762C1"/>
    <w:rsid w:val="00176454"/>
    <w:rsid w:val="00183CC7"/>
    <w:rsid w:val="0018423E"/>
    <w:rsid w:val="001876F3"/>
    <w:rsid w:val="0018789E"/>
    <w:rsid w:val="00187F12"/>
    <w:rsid w:val="00190296"/>
    <w:rsid w:val="00192CD8"/>
    <w:rsid w:val="00196177"/>
    <w:rsid w:val="00197E6B"/>
    <w:rsid w:val="00197EA0"/>
    <w:rsid w:val="001A01C2"/>
    <w:rsid w:val="001B2B5C"/>
    <w:rsid w:val="001B313D"/>
    <w:rsid w:val="001B3E3B"/>
    <w:rsid w:val="001B70ED"/>
    <w:rsid w:val="001C1F28"/>
    <w:rsid w:val="001C3AFD"/>
    <w:rsid w:val="001C4F69"/>
    <w:rsid w:val="001C6274"/>
    <w:rsid w:val="001C64BA"/>
    <w:rsid w:val="001E0308"/>
    <w:rsid w:val="001E0799"/>
    <w:rsid w:val="001E0A72"/>
    <w:rsid w:val="001E0BE5"/>
    <w:rsid w:val="001E18A9"/>
    <w:rsid w:val="001E7856"/>
    <w:rsid w:val="001F11E0"/>
    <w:rsid w:val="001F3DB0"/>
    <w:rsid w:val="001F5943"/>
    <w:rsid w:val="001F6783"/>
    <w:rsid w:val="001F6D76"/>
    <w:rsid w:val="002000CB"/>
    <w:rsid w:val="002007B7"/>
    <w:rsid w:val="00201666"/>
    <w:rsid w:val="0020532E"/>
    <w:rsid w:val="0020566B"/>
    <w:rsid w:val="002064C0"/>
    <w:rsid w:val="00206598"/>
    <w:rsid w:val="00206712"/>
    <w:rsid w:val="00207C88"/>
    <w:rsid w:val="002105C3"/>
    <w:rsid w:val="002112AF"/>
    <w:rsid w:val="00212D32"/>
    <w:rsid w:val="00213A2B"/>
    <w:rsid w:val="002143D0"/>
    <w:rsid w:val="002145C9"/>
    <w:rsid w:val="00214825"/>
    <w:rsid w:val="0021542D"/>
    <w:rsid w:val="0021728A"/>
    <w:rsid w:val="0022346D"/>
    <w:rsid w:val="00224553"/>
    <w:rsid w:val="00224A95"/>
    <w:rsid w:val="002255BF"/>
    <w:rsid w:val="00225B92"/>
    <w:rsid w:val="00226FBA"/>
    <w:rsid w:val="00227C04"/>
    <w:rsid w:val="00231C2D"/>
    <w:rsid w:val="002328F6"/>
    <w:rsid w:val="002366D1"/>
    <w:rsid w:val="00241D6B"/>
    <w:rsid w:val="0024319C"/>
    <w:rsid w:val="0024573B"/>
    <w:rsid w:val="00247D66"/>
    <w:rsid w:val="00250E26"/>
    <w:rsid w:val="00252CCA"/>
    <w:rsid w:val="00255320"/>
    <w:rsid w:val="00260716"/>
    <w:rsid w:val="00260BF8"/>
    <w:rsid w:val="00261608"/>
    <w:rsid w:val="0026275F"/>
    <w:rsid w:val="00263DFB"/>
    <w:rsid w:val="002645B6"/>
    <w:rsid w:val="00265756"/>
    <w:rsid w:val="00267A35"/>
    <w:rsid w:val="00280027"/>
    <w:rsid w:val="002809ED"/>
    <w:rsid w:val="00282303"/>
    <w:rsid w:val="002829FB"/>
    <w:rsid w:val="00284782"/>
    <w:rsid w:val="00285C57"/>
    <w:rsid w:val="002873EA"/>
    <w:rsid w:val="00287DC4"/>
    <w:rsid w:val="002917C6"/>
    <w:rsid w:val="002937E4"/>
    <w:rsid w:val="002940D2"/>
    <w:rsid w:val="0029500A"/>
    <w:rsid w:val="002969D5"/>
    <w:rsid w:val="00297285"/>
    <w:rsid w:val="002A1F1F"/>
    <w:rsid w:val="002B29D5"/>
    <w:rsid w:val="002B5717"/>
    <w:rsid w:val="002C2445"/>
    <w:rsid w:val="002C6891"/>
    <w:rsid w:val="002D2B73"/>
    <w:rsid w:val="002D3500"/>
    <w:rsid w:val="002D656F"/>
    <w:rsid w:val="002D6B9B"/>
    <w:rsid w:val="002E2CF4"/>
    <w:rsid w:val="002E45CF"/>
    <w:rsid w:val="002E4B47"/>
    <w:rsid w:val="002E707D"/>
    <w:rsid w:val="002F2357"/>
    <w:rsid w:val="002F37A7"/>
    <w:rsid w:val="002F4054"/>
    <w:rsid w:val="002F4A31"/>
    <w:rsid w:val="002F64B3"/>
    <w:rsid w:val="00305D62"/>
    <w:rsid w:val="00305F77"/>
    <w:rsid w:val="00306B19"/>
    <w:rsid w:val="003078E8"/>
    <w:rsid w:val="003114ED"/>
    <w:rsid w:val="003159F5"/>
    <w:rsid w:val="00325EE6"/>
    <w:rsid w:val="00326335"/>
    <w:rsid w:val="00326633"/>
    <w:rsid w:val="0033311E"/>
    <w:rsid w:val="003332C2"/>
    <w:rsid w:val="00333B84"/>
    <w:rsid w:val="00333BA2"/>
    <w:rsid w:val="00334846"/>
    <w:rsid w:val="00334FF2"/>
    <w:rsid w:val="00335D02"/>
    <w:rsid w:val="00341C0B"/>
    <w:rsid w:val="00341CF9"/>
    <w:rsid w:val="00355BD3"/>
    <w:rsid w:val="003623AF"/>
    <w:rsid w:val="003624CF"/>
    <w:rsid w:val="0036615B"/>
    <w:rsid w:val="003676F9"/>
    <w:rsid w:val="00371154"/>
    <w:rsid w:val="00371338"/>
    <w:rsid w:val="003718FB"/>
    <w:rsid w:val="00373620"/>
    <w:rsid w:val="00373CB2"/>
    <w:rsid w:val="00373F80"/>
    <w:rsid w:val="00374177"/>
    <w:rsid w:val="00377983"/>
    <w:rsid w:val="003802FA"/>
    <w:rsid w:val="00380B70"/>
    <w:rsid w:val="00380BCA"/>
    <w:rsid w:val="00380BDB"/>
    <w:rsid w:val="003868AD"/>
    <w:rsid w:val="003869F7"/>
    <w:rsid w:val="00387A7A"/>
    <w:rsid w:val="00387D63"/>
    <w:rsid w:val="0039050C"/>
    <w:rsid w:val="0039186B"/>
    <w:rsid w:val="003928CA"/>
    <w:rsid w:val="003A0F01"/>
    <w:rsid w:val="003A3422"/>
    <w:rsid w:val="003A3EC3"/>
    <w:rsid w:val="003A497E"/>
    <w:rsid w:val="003A4E47"/>
    <w:rsid w:val="003A7FF7"/>
    <w:rsid w:val="003B0340"/>
    <w:rsid w:val="003B05B0"/>
    <w:rsid w:val="003B08F7"/>
    <w:rsid w:val="003B18E7"/>
    <w:rsid w:val="003B2DB8"/>
    <w:rsid w:val="003B431A"/>
    <w:rsid w:val="003B62D4"/>
    <w:rsid w:val="003B7688"/>
    <w:rsid w:val="003B7CB6"/>
    <w:rsid w:val="003C032C"/>
    <w:rsid w:val="003C0E5A"/>
    <w:rsid w:val="003C4A9A"/>
    <w:rsid w:val="003D1C92"/>
    <w:rsid w:val="003D2841"/>
    <w:rsid w:val="003D337B"/>
    <w:rsid w:val="003D3F19"/>
    <w:rsid w:val="003D65D0"/>
    <w:rsid w:val="003E04DE"/>
    <w:rsid w:val="003E2099"/>
    <w:rsid w:val="003E387B"/>
    <w:rsid w:val="003E6572"/>
    <w:rsid w:val="003F3F98"/>
    <w:rsid w:val="003F4443"/>
    <w:rsid w:val="003F480D"/>
    <w:rsid w:val="003F4D6D"/>
    <w:rsid w:val="003F64E9"/>
    <w:rsid w:val="003F7428"/>
    <w:rsid w:val="004000B3"/>
    <w:rsid w:val="00401849"/>
    <w:rsid w:val="00404BD8"/>
    <w:rsid w:val="00404F24"/>
    <w:rsid w:val="00405274"/>
    <w:rsid w:val="004052F7"/>
    <w:rsid w:val="004059AB"/>
    <w:rsid w:val="0041489F"/>
    <w:rsid w:val="004166CE"/>
    <w:rsid w:val="00416C51"/>
    <w:rsid w:val="00417A88"/>
    <w:rsid w:val="00423719"/>
    <w:rsid w:val="00424B53"/>
    <w:rsid w:val="00425655"/>
    <w:rsid w:val="00427D30"/>
    <w:rsid w:val="00430118"/>
    <w:rsid w:val="004324D9"/>
    <w:rsid w:val="004338DC"/>
    <w:rsid w:val="00434E70"/>
    <w:rsid w:val="0044177A"/>
    <w:rsid w:val="004419C1"/>
    <w:rsid w:val="004440A5"/>
    <w:rsid w:val="00450514"/>
    <w:rsid w:val="00450A13"/>
    <w:rsid w:val="0045239C"/>
    <w:rsid w:val="00454CB0"/>
    <w:rsid w:val="00460D23"/>
    <w:rsid w:val="00463526"/>
    <w:rsid w:val="00463813"/>
    <w:rsid w:val="004661AD"/>
    <w:rsid w:val="00473D37"/>
    <w:rsid w:val="00476786"/>
    <w:rsid w:val="00476858"/>
    <w:rsid w:val="004769BD"/>
    <w:rsid w:val="00476AA6"/>
    <w:rsid w:val="0048067C"/>
    <w:rsid w:val="00482473"/>
    <w:rsid w:val="00495E70"/>
    <w:rsid w:val="004A2286"/>
    <w:rsid w:val="004A3119"/>
    <w:rsid w:val="004A3A2B"/>
    <w:rsid w:val="004A512D"/>
    <w:rsid w:val="004A5F9D"/>
    <w:rsid w:val="004B2BC5"/>
    <w:rsid w:val="004B53D9"/>
    <w:rsid w:val="004B59C8"/>
    <w:rsid w:val="004C1FB9"/>
    <w:rsid w:val="004C55B3"/>
    <w:rsid w:val="004D0767"/>
    <w:rsid w:val="004D7E8A"/>
    <w:rsid w:val="004E1917"/>
    <w:rsid w:val="004E30FA"/>
    <w:rsid w:val="004F0C53"/>
    <w:rsid w:val="004F1E92"/>
    <w:rsid w:val="004F3CF2"/>
    <w:rsid w:val="004F5B05"/>
    <w:rsid w:val="004F5B2F"/>
    <w:rsid w:val="004F60BA"/>
    <w:rsid w:val="004F77AE"/>
    <w:rsid w:val="00504414"/>
    <w:rsid w:val="0050524D"/>
    <w:rsid w:val="0051068C"/>
    <w:rsid w:val="00512CBF"/>
    <w:rsid w:val="00513113"/>
    <w:rsid w:val="005134CD"/>
    <w:rsid w:val="00513C7C"/>
    <w:rsid w:val="00515606"/>
    <w:rsid w:val="005209AD"/>
    <w:rsid w:val="00526B6E"/>
    <w:rsid w:val="0053173C"/>
    <w:rsid w:val="00534436"/>
    <w:rsid w:val="00536B11"/>
    <w:rsid w:val="00540907"/>
    <w:rsid w:val="00543443"/>
    <w:rsid w:val="00553A66"/>
    <w:rsid w:val="00560B4E"/>
    <w:rsid w:val="0056143A"/>
    <w:rsid w:val="00565765"/>
    <w:rsid w:val="00566A29"/>
    <w:rsid w:val="005675FC"/>
    <w:rsid w:val="00570F9B"/>
    <w:rsid w:val="00571209"/>
    <w:rsid w:val="0057283E"/>
    <w:rsid w:val="00574020"/>
    <w:rsid w:val="00574772"/>
    <w:rsid w:val="005769B9"/>
    <w:rsid w:val="00577851"/>
    <w:rsid w:val="00577EB4"/>
    <w:rsid w:val="00586E2D"/>
    <w:rsid w:val="0058701A"/>
    <w:rsid w:val="005873F5"/>
    <w:rsid w:val="005905F7"/>
    <w:rsid w:val="00594728"/>
    <w:rsid w:val="00596381"/>
    <w:rsid w:val="005963D8"/>
    <w:rsid w:val="00596B9E"/>
    <w:rsid w:val="00596DDD"/>
    <w:rsid w:val="00597A7A"/>
    <w:rsid w:val="005A57E9"/>
    <w:rsid w:val="005A6B05"/>
    <w:rsid w:val="005A7483"/>
    <w:rsid w:val="005B6370"/>
    <w:rsid w:val="005B63A6"/>
    <w:rsid w:val="005C599B"/>
    <w:rsid w:val="005C68F6"/>
    <w:rsid w:val="005C6AA0"/>
    <w:rsid w:val="005D2101"/>
    <w:rsid w:val="005D27A4"/>
    <w:rsid w:val="005D5EB0"/>
    <w:rsid w:val="005E2725"/>
    <w:rsid w:val="005E5D83"/>
    <w:rsid w:val="005E69F1"/>
    <w:rsid w:val="005F0139"/>
    <w:rsid w:val="005F13C2"/>
    <w:rsid w:val="005F50A7"/>
    <w:rsid w:val="005F6701"/>
    <w:rsid w:val="00600643"/>
    <w:rsid w:val="00601509"/>
    <w:rsid w:val="00601A59"/>
    <w:rsid w:val="00602005"/>
    <w:rsid w:val="0060384C"/>
    <w:rsid w:val="00603884"/>
    <w:rsid w:val="006045F0"/>
    <w:rsid w:val="00607382"/>
    <w:rsid w:val="00610576"/>
    <w:rsid w:val="00612F03"/>
    <w:rsid w:val="0061597F"/>
    <w:rsid w:val="00616289"/>
    <w:rsid w:val="00621422"/>
    <w:rsid w:val="00630068"/>
    <w:rsid w:val="006343FB"/>
    <w:rsid w:val="00635B81"/>
    <w:rsid w:val="00636A33"/>
    <w:rsid w:val="00637D08"/>
    <w:rsid w:val="00640529"/>
    <w:rsid w:val="00640A9A"/>
    <w:rsid w:val="006434BF"/>
    <w:rsid w:val="00644D7A"/>
    <w:rsid w:val="00647C3C"/>
    <w:rsid w:val="00650826"/>
    <w:rsid w:val="0065149E"/>
    <w:rsid w:val="00651815"/>
    <w:rsid w:val="00653351"/>
    <w:rsid w:val="006539C1"/>
    <w:rsid w:val="00656BC7"/>
    <w:rsid w:val="006578B6"/>
    <w:rsid w:val="00660B3C"/>
    <w:rsid w:val="00665581"/>
    <w:rsid w:val="00666EA4"/>
    <w:rsid w:val="006700B6"/>
    <w:rsid w:val="0067139E"/>
    <w:rsid w:val="00671C5D"/>
    <w:rsid w:val="00674C68"/>
    <w:rsid w:val="00674C9A"/>
    <w:rsid w:val="00676811"/>
    <w:rsid w:val="00677A33"/>
    <w:rsid w:val="00677D4F"/>
    <w:rsid w:val="006816D3"/>
    <w:rsid w:val="0068173E"/>
    <w:rsid w:val="00682EA1"/>
    <w:rsid w:val="006864FB"/>
    <w:rsid w:val="00690250"/>
    <w:rsid w:val="00692DBF"/>
    <w:rsid w:val="006A02BD"/>
    <w:rsid w:val="006A22D2"/>
    <w:rsid w:val="006A5250"/>
    <w:rsid w:val="006A5F30"/>
    <w:rsid w:val="006A6D4C"/>
    <w:rsid w:val="006C0114"/>
    <w:rsid w:val="006C18C1"/>
    <w:rsid w:val="006C6631"/>
    <w:rsid w:val="006D1F4E"/>
    <w:rsid w:val="006D2F97"/>
    <w:rsid w:val="006D404D"/>
    <w:rsid w:val="006E01A2"/>
    <w:rsid w:val="006E6056"/>
    <w:rsid w:val="006E735F"/>
    <w:rsid w:val="006F69FC"/>
    <w:rsid w:val="00700E52"/>
    <w:rsid w:val="007019A8"/>
    <w:rsid w:val="00701B6F"/>
    <w:rsid w:val="00701C1F"/>
    <w:rsid w:val="00701C33"/>
    <w:rsid w:val="00701E57"/>
    <w:rsid w:val="00703F7B"/>
    <w:rsid w:val="00706048"/>
    <w:rsid w:val="00706C4D"/>
    <w:rsid w:val="00711329"/>
    <w:rsid w:val="007227C3"/>
    <w:rsid w:val="0072385A"/>
    <w:rsid w:val="00727F0C"/>
    <w:rsid w:val="00730A15"/>
    <w:rsid w:val="00732390"/>
    <w:rsid w:val="00732A1B"/>
    <w:rsid w:val="00736E0B"/>
    <w:rsid w:val="00737457"/>
    <w:rsid w:val="007402EB"/>
    <w:rsid w:val="0074267F"/>
    <w:rsid w:val="007428CF"/>
    <w:rsid w:val="00745CE5"/>
    <w:rsid w:val="00752F39"/>
    <w:rsid w:val="0075317F"/>
    <w:rsid w:val="00755C3C"/>
    <w:rsid w:val="00756E97"/>
    <w:rsid w:val="00757D0A"/>
    <w:rsid w:val="007639A2"/>
    <w:rsid w:val="00767236"/>
    <w:rsid w:val="00767B46"/>
    <w:rsid w:val="00777490"/>
    <w:rsid w:val="007777F5"/>
    <w:rsid w:val="00780B96"/>
    <w:rsid w:val="00782AEA"/>
    <w:rsid w:val="00783865"/>
    <w:rsid w:val="00784CAC"/>
    <w:rsid w:val="00786034"/>
    <w:rsid w:val="00786A3B"/>
    <w:rsid w:val="007922DE"/>
    <w:rsid w:val="007972D5"/>
    <w:rsid w:val="00797D68"/>
    <w:rsid w:val="007A40BD"/>
    <w:rsid w:val="007A7514"/>
    <w:rsid w:val="007B1691"/>
    <w:rsid w:val="007B19C5"/>
    <w:rsid w:val="007B2602"/>
    <w:rsid w:val="007B2BA1"/>
    <w:rsid w:val="007C0B8D"/>
    <w:rsid w:val="007C1ACC"/>
    <w:rsid w:val="007C2B2C"/>
    <w:rsid w:val="007C320D"/>
    <w:rsid w:val="007C398C"/>
    <w:rsid w:val="007C5813"/>
    <w:rsid w:val="007C65B7"/>
    <w:rsid w:val="007C7556"/>
    <w:rsid w:val="007D09B9"/>
    <w:rsid w:val="007D0A0B"/>
    <w:rsid w:val="007E0B7F"/>
    <w:rsid w:val="007E2CEA"/>
    <w:rsid w:val="007E47FC"/>
    <w:rsid w:val="007E5837"/>
    <w:rsid w:val="007F3639"/>
    <w:rsid w:val="007F3DE3"/>
    <w:rsid w:val="007F4354"/>
    <w:rsid w:val="007F55E6"/>
    <w:rsid w:val="00811356"/>
    <w:rsid w:val="00817198"/>
    <w:rsid w:val="00817740"/>
    <w:rsid w:val="00820FAC"/>
    <w:rsid w:val="00821FBF"/>
    <w:rsid w:val="008238F1"/>
    <w:rsid w:val="0082413B"/>
    <w:rsid w:val="00824830"/>
    <w:rsid w:val="00824928"/>
    <w:rsid w:val="0082734F"/>
    <w:rsid w:val="008276EA"/>
    <w:rsid w:val="00831C0B"/>
    <w:rsid w:val="00837E22"/>
    <w:rsid w:val="00841B31"/>
    <w:rsid w:val="008426E6"/>
    <w:rsid w:val="0084289C"/>
    <w:rsid w:val="00843289"/>
    <w:rsid w:val="008433FF"/>
    <w:rsid w:val="00843B16"/>
    <w:rsid w:val="008445A2"/>
    <w:rsid w:val="00846EDA"/>
    <w:rsid w:val="00852ABF"/>
    <w:rsid w:val="00856729"/>
    <w:rsid w:val="00857EA1"/>
    <w:rsid w:val="0086007B"/>
    <w:rsid w:val="00861A1C"/>
    <w:rsid w:val="00861EAF"/>
    <w:rsid w:val="00861F94"/>
    <w:rsid w:val="0086469A"/>
    <w:rsid w:val="008666BE"/>
    <w:rsid w:val="008679CA"/>
    <w:rsid w:val="00870AF9"/>
    <w:rsid w:val="00872423"/>
    <w:rsid w:val="00872691"/>
    <w:rsid w:val="00874C62"/>
    <w:rsid w:val="00875085"/>
    <w:rsid w:val="00875907"/>
    <w:rsid w:val="00875CB4"/>
    <w:rsid w:val="00876ADD"/>
    <w:rsid w:val="0087714B"/>
    <w:rsid w:val="00877D1C"/>
    <w:rsid w:val="00884151"/>
    <w:rsid w:val="008869F2"/>
    <w:rsid w:val="00887129"/>
    <w:rsid w:val="0088775D"/>
    <w:rsid w:val="0089195F"/>
    <w:rsid w:val="008932BA"/>
    <w:rsid w:val="008A09F0"/>
    <w:rsid w:val="008A279F"/>
    <w:rsid w:val="008A3045"/>
    <w:rsid w:val="008A6B55"/>
    <w:rsid w:val="008A7FC5"/>
    <w:rsid w:val="008B7C8F"/>
    <w:rsid w:val="008C0E15"/>
    <w:rsid w:val="008C23C1"/>
    <w:rsid w:val="008D2BEF"/>
    <w:rsid w:val="008D4419"/>
    <w:rsid w:val="008D5A4E"/>
    <w:rsid w:val="008D61D3"/>
    <w:rsid w:val="008D6E8B"/>
    <w:rsid w:val="008D7E43"/>
    <w:rsid w:val="008E144E"/>
    <w:rsid w:val="008E3C4A"/>
    <w:rsid w:val="00900445"/>
    <w:rsid w:val="00901BCD"/>
    <w:rsid w:val="00901C89"/>
    <w:rsid w:val="00902912"/>
    <w:rsid w:val="00902ADA"/>
    <w:rsid w:val="00903C0D"/>
    <w:rsid w:val="00904027"/>
    <w:rsid w:val="00904A93"/>
    <w:rsid w:val="00904E11"/>
    <w:rsid w:val="00905D30"/>
    <w:rsid w:val="00912D41"/>
    <w:rsid w:val="00914599"/>
    <w:rsid w:val="00915C76"/>
    <w:rsid w:val="00922331"/>
    <w:rsid w:val="009241C0"/>
    <w:rsid w:val="009268F6"/>
    <w:rsid w:val="00926992"/>
    <w:rsid w:val="00936FF2"/>
    <w:rsid w:val="00942322"/>
    <w:rsid w:val="0094259A"/>
    <w:rsid w:val="00943389"/>
    <w:rsid w:val="0094465C"/>
    <w:rsid w:val="00945003"/>
    <w:rsid w:val="009568FE"/>
    <w:rsid w:val="00956942"/>
    <w:rsid w:val="00963149"/>
    <w:rsid w:val="00965756"/>
    <w:rsid w:val="00972A4E"/>
    <w:rsid w:val="00980667"/>
    <w:rsid w:val="0098373B"/>
    <w:rsid w:val="00984111"/>
    <w:rsid w:val="00986BA4"/>
    <w:rsid w:val="009874D3"/>
    <w:rsid w:val="00990757"/>
    <w:rsid w:val="0099580B"/>
    <w:rsid w:val="0099700D"/>
    <w:rsid w:val="00997196"/>
    <w:rsid w:val="009A22DB"/>
    <w:rsid w:val="009A2571"/>
    <w:rsid w:val="009A751B"/>
    <w:rsid w:val="009B42F9"/>
    <w:rsid w:val="009C056D"/>
    <w:rsid w:val="009C11BA"/>
    <w:rsid w:val="009C5D09"/>
    <w:rsid w:val="009C6F9C"/>
    <w:rsid w:val="009D0E6D"/>
    <w:rsid w:val="009D1145"/>
    <w:rsid w:val="009D23BF"/>
    <w:rsid w:val="009D26B3"/>
    <w:rsid w:val="009D2D01"/>
    <w:rsid w:val="009D58DE"/>
    <w:rsid w:val="009E167C"/>
    <w:rsid w:val="009E266A"/>
    <w:rsid w:val="009E3764"/>
    <w:rsid w:val="009E5664"/>
    <w:rsid w:val="009F0878"/>
    <w:rsid w:val="009F1EB6"/>
    <w:rsid w:val="009F50CB"/>
    <w:rsid w:val="009F6DBE"/>
    <w:rsid w:val="009F7661"/>
    <w:rsid w:val="00A004EE"/>
    <w:rsid w:val="00A00E5A"/>
    <w:rsid w:val="00A04C42"/>
    <w:rsid w:val="00A06AEA"/>
    <w:rsid w:val="00A10BBB"/>
    <w:rsid w:val="00A115F8"/>
    <w:rsid w:val="00A159D8"/>
    <w:rsid w:val="00A21C38"/>
    <w:rsid w:val="00A220F6"/>
    <w:rsid w:val="00A2410C"/>
    <w:rsid w:val="00A24EAA"/>
    <w:rsid w:val="00A25C67"/>
    <w:rsid w:val="00A2678A"/>
    <w:rsid w:val="00A32228"/>
    <w:rsid w:val="00A341F3"/>
    <w:rsid w:val="00A35F5B"/>
    <w:rsid w:val="00A36B4C"/>
    <w:rsid w:val="00A36B62"/>
    <w:rsid w:val="00A4159D"/>
    <w:rsid w:val="00A4250F"/>
    <w:rsid w:val="00A441CF"/>
    <w:rsid w:val="00A45192"/>
    <w:rsid w:val="00A45DAE"/>
    <w:rsid w:val="00A504B6"/>
    <w:rsid w:val="00A50502"/>
    <w:rsid w:val="00A510B8"/>
    <w:rsid w:val="00A51DEB"/>
    <w:rsid w:val="00A53013"/>
    <w:rsid w:val="00A554AC"/>
    <w:rsid w:val="00A6122D"/>
    <w:rsid w:val="00A613D3"/>
    <w:rsid w:val="00A63CB0"/>
    <w:rsid w:val="00A65071"/>
    <w:rsid w:val="00A67023"/>
    <w:rsid w:val="00A67708"/>
    <w:rsid w:val="00A73A17"/>
    <w:rsid w:val="00A7432B"/>
    <w:rsid w:val="00A75717"/>
    <w:rsid w:val="00A772CE"/>
    <w:rsid w:val="00A77AD8"/>
    <w:rsid w:val="00A81E61"/>
    <w:rsid w:val="00A833AC"/>
    <w:rsid w:val="00A920B4"/>
    <w:rsid w:val="00A93638"/>
    <w:rsid w:val="00A941B5"/>
    <w:rsid w:val="00A94575"/>
    <w:rsid w:val="00A95841"/>
    <w:rsid w:val="00A96829"/>
    <w:rsid w:val="00A97107"/>
    <w:rsid w:val="00AA3DF1"/>
    <w:rsid w:val="00AA5DD5"/>
    <w:rsid w:val="00AA6627"/>
    <w:rsid w:val="00AB0A65"/>
    <w:rsid w:val="00AB10FD"/>
    <w:rsid w:val="00AB4251"/>
    <w:rsid w:val="00AB694F"/>
    <w:rsid w:val="00AB6C7B"/>
    <w:rsid w:val="00AC153F"/>
    <w:rsid w:val="00AC5BFF"/>
    <w:rsid w:val="00AD0FD4"/>
    <w:rsid w:val="00AD2508"/>
    <w:rsid w:val="00AD545F"/>
    <w:rsid w:val="00AE028A"/>
    <w:rsid w:val="00AE4739"/>
    <w:rsid w:val="00AE48E2"/>
    <w:rsid w:val="00AF044C"/>
    <w:rsid w:val="00AF3A6E"/>
    <w:rsid w:val="00AF48C7"/>
    <w:rsid w:val="00AF55D2"/>
    <w:rsid w:val="00B01BD1"/>
    <w:rsid w:val="00B05EAD"/>
    <w:rsid w:val="00B120EB"/>
    <w:rsid w:val="00B17520"/>
    <w:rsid w:val="00B17997"/>
    <w:rsid w:val="00B22B71"/>
    <w:rsid w:val="00B2345C"/>
    <w:rsid w:val="00B23A56"/>
    <w:rsid w:val="00B255F9"/>
    <w:rsid w:val="00B2632A"/>
    <w:rsid w:val="00B2706E"/>
    <w:rsid w:val="00B378FA"/>
    <w:rsid w:val="00B37CF5"/>
    <w:rsid w:val="00B41D42"/>
    <w:rsid w:val="00B42BBF"/>
    <w:rsid w:val="00B42BD3"/>
    <w:rsid w:val="00B42DE3"/>
    <w:rsid w:val="00B44E9B"/>
    <w:rsid w:val="00B44FF0"/>
    <w:rsid w:val="00B458A7"/>
    <w:rsid w:val="00B46BDC"/>
    <w:rsid w:val="00B52B41"/>
    <w:rsid w:val="00B54F7F"/>
    <w:rsid w:val="00B55F9F"/>
    <w:rsid w:val="00B57D72"/>
    <w:rsid w:val="00B60AE7"/>
    <w:rsid w:val="00B6101C"/>
    <w:rsid w:val="00B66A86"/>
    <w:rsid w:val="00B672AF"/>
    <w:rsid w:val="00B67F27"/>
    <w:rsid w:val="00B755E6"/>
    <w:rsid w:val="00B80C1F"/>
    <w:rsid w:val="00B84529"/>
    <w:rsid w:val="00B87941"/>
    <w:rsid w:val="00B92CF7"/>
    <w:rsid w:val="00B93BDC"/>
    <w:rsid w:val="00BA04DE"/>
    <w:rsid w:val="00BA360D"/>
    <w:rsid w:val="00BB2DDB"/>
    <w:rsid w:val="00BB72EE"/>
    <w:rsid w:val="00BB79B1"/>
    <w:rsid w:val="00BC0FBA"/>
    <w:rsid w:val="00BC197D"/>
    <w:rsid w:val="00BC3EDF"/>
    <w:rsid w:val="00BC4A4B"/>
    <w:rsid w:val="00BD2270"/>
    <w:rsid w:val="00BD398F"/>
    <w:rsid w:val="00BD6874"/>
    <w:rsid w:val="00BE4205"/>
    <w:rsid w:val="00BE76B2"/>
    <w:rsid w:val="00BF14B7"/>
    <w:rsid w:val="00C0603B"/>
    <w:rsid w:val="00C105AF"/>
    <w:rsid w:val="00C11309"/>
    <w:rsid w:val="00C13011"/>
    <w:rsid w:val="00C21ADB"/>
    <w:rsid w:val="00C22E1F"/>
    <w:rsid w:val="00C231D8"/>
    <w:rsid w:val="00C23774"/>
    <w:rsid w:val="00C24150"/>
    <w:rsid w:val="00C40387"/>
    <w:rsid w:val="00C40CA7"/>
    <w:rsid w:val="00C46D66"/>
    <w:rsid w:val="00C47A37"/>
    <w:rsid w:val="00C47D5E"/>
    <w:rsid w:val="00C50EC1"/>
    <w:rsid w:val="00C52376"/>
    <w:rsid w:val="00C52435"/>
    <w:rsid w:val="00C5300D"/>
    <w:rsid w:val="00C5626A"/>
    <w:rsid w:val="00C660F4"/>
    <w:rsid w:val="00C66B4F"/>
    <w:rsid w:val="00C7188E"/>
    <w:rsid w:val="00C72798"/>
    <w:rsid w:val="00C74645"/>
    <w:rsid w:val="00C747DC"/>
    <w:rsid w:val="00C74930"/>
    <w:rsid w:val="00C76150"/>
    <w:rsid w:val="00C77290"/>
    <w:rsid w:val="00C81BA5"/>
    <w:rsid w:val="00C82F5E"/>
    <w:rsid w:val="00C84B99"/>
    <w:rsid w:val="00C859F1"/>
    <w:rsid w:val="00C8737F"/>
    <w:rsid w:val="00C90314"/>
    <w:rsid w:val="00C91CA6"/>
    <w:rsid w:val="00C93231"/>
    <w:rsid w:val="00C94468"/>
    <w:rsid w:val="00C95FC2"/>
    <w:rsid w:val="00C96242"/>
    <w:rsid w:val="00CA05CE"/>
    <w:rsid w:val="00CA4671"/>
    <w:rsid w:val="00CA4894"/>
    <w:rsid w:val="00CA71EF"/>
    <w:rsid w:val="00CB0EB5"/>
    <w:rsid w:val="00CB1970"/>
    <w:rsid w:val="00CB2FAD"/>
    <w:rsid w:val="00CB3081"/>
    <w:rsid w:val="00CB5C9B"/>
    <w:rsid w:val="00CC2837"/>
    <w:rsid w:val="00CC3438"/>
    <w:rsid w:val="00CC466F"/>
    <w:rsid w:val="00CC4E0C"/>
    <w:rsid w:val="00CD126D"/>
    <w:rsid w:val="00CD1856"/>
    <w:rsid w:val="00CD6EAF"/>
    <w:rsid w:val="00CD7AF8"/>
    <w:rsid w:val="00CD7C33"/>
    <w:rsid w:val="00CE5E33"/>
    <w:rsid w:val="00CE5FBC"/>
    <w:rsid w:val="00CF2A6C"/>
    <w:rsid w:val="00CF54D4"/>
    <w:rsid w:val="00D00E20"/>
    <w:rsid w:val="00D00EE4"/>
    <w:rsid w:val="00D039D7"/>
    <w:rsid w:val="00D04500"/>
    <w:rsid w:val="00D05721"/>
    <w:rsid w:val="00D05BD9"/>
    <w:rsid w:val="00D10B41"/>
    <w:rsid w:val="00D12B09"/>
    <w:rsid w:val="00D136A2"/>
    <w:rsid w:val="00D140F2"/>
    <w:rsid w:val="00D17787"/>
    <w:rsid w:val="00D21AC8"/>
    <w:rsid w:val="00D22E36"/>
    <w:rsid w:val="00D26044"/>
    <w:rsid w:val="00D26BDD"/>
    <w:rsid w:val="00D275D4"/>
    <w:rsid w:val="00D32E55"/>
    <w:rsid w:val="00D32E66"/>
    <w:rsid w:val="00D3392D"/>
    <w:rsid w:val="00D33968"/>
    <w:rsid w:val="00D34113"/>
    <w:rsid w:val="00D343E3"/>
    <w:rsid w:val="00D34EE5"/>
    <w:rsid w:val="00D35E28"/>
    <w:rsid w:val="00D36DB7"/>
    <w:rsid w:val="00D37BCB"/>
    <w:rsid w:val="00D40904"/>
    <w:rsid w:val="00D43014"/>
    <w:rsid w:val="00D44FA2"/>
    <w:rsid w:val="00D50799"/>
    <w:rsid w:val="00D5118F"/>
    <w:rsid w:val="00D5302D"/>
    <w:rsid w:val="00D53E0A"/>
    <w:rsid w:val="00D53E4F"/>
    <w:rsid w:val="00D570A6"/>
    <w:rsid w:val="00D61D23"/>
    <w:rsid w:val="00D63E07"/>
    <w:rsid w:val="00D645DC"/>
    <w:rsid w:val="00D67C57"/>
    <w:rsid w:val="00D70E10"/>
    <w:rsid w:val="00D71552"/>
    <w:rsid w:val="00D71B4B"/>
    <w:rsid w:val="00D83B51"/>
    <w:rsid w:val="00D84615"/>
    <w:rsid w:val="00D93133"/>
    <w:rsid w:val="00D978F4"/>
    <w:rsid w:val="00D97ABF"/>
    <w:rsid w:val="00D97BF1"/>
    <w:rsid w:val="00DA03B9"/>
    <w:rsid w:val="00DA26C9"/>
    <w:rsid w:val="00DA2B93"/>
    <w:rsid w:val="00DA31CC"/>
    <w:rsid w:val="00DA5CD3"/>
    <w:rsid w:val="00DA754C"/>
    <w:rsid w:val="00DB06B0"/>
    <w:rsid w:val="00DB25CD"/>
    <w:rsid w:val="00DC0A4B"/>
    <w:rsid w:val="00DC0DF8"/>
    <w:rsid w:val="00DC1A76"/>
    <w:rsid w:val="00DC215B"/>
    <w:rsid w:val="00DC6103"/>
    <w:rsid w:val="00DC6F45"/>
    <w:rsid w:val="00DC6FE8"/>
    <w:rsid w:val="00DD2410"/>
    <w:rsid w:val="00DD2E7E"/>
    <w:rsid w:val="00DD3293"/>
    <w:rsid w:val="00DD3D45"/>
    <w:rsid w:val="00DD755F"/>
    <w:rsid w:val="00DE3ED5"/>
    <w:rsid w:val="00DE4CE3"/>
    <w:rsid w:val="00DE6DAC"/>
    <w:rsid w:val="00DF1EDA"/>
    <w:rsid w:val="00DF4657"/>
    <w:rsid w:val="00DF6A5B"/>
    <w:rsid w:val="00E008E5"/>
    <w:rsid w:val="00E016C4"/>
    <w:rsid w:val="00E0232A"/>
    <w:rsid w:val="00E04372"/>
    <w:rsid w:val="00E06EDB"/>
    <w:rsid w:val="00E105DD"/>
    <w:rsid w:val="00E106FE"/>
    <w:rsid w:val="00E10BB5"/>
    <w:rsid w:val="00E13BB5"/>
    <w:rsid w:val="00E15130"/>
    <w:rsid w:val="00E152C4"/>
    <w:rsid w:val="00E16D50"/>
    <w:rsid w:val="00E17AA1"/>
    <w:rsid w:val="00E2195F"/>
    <w:rsid w:val="00E228EB"/>
    <w:rsid w:val="00E22A16"/>
    <w:rsid w:val="00E22D9E"/>
    <w:rsid w:val="00E24F4C"/>
    <w:rsid w:val="00E312BE"/>
    <w:rsid w:val="00E35095"/>
    <w:rsid w:val="00E35142"/>
    <w:rsid w:val="00E3648E"/>
    <w:rsid w:val="00E42931"/>
    <w:rsid w:val="00E42E12"/>
    <w:rsid w:val="00E547F8"/>
    <w:rsid w:val="00E55F74"/>
    <w:rsid w:val="00E5704E"/>
    <w:rsid w:val="00E5705C"/>
    <w:rsid w:val="00E617B7"/>
    <w:rsid w:val="00E62F1B"/>
    <w:rsid w:val="00E63738"/>
    <w:rsid w:val="00E66AB7"/>
    <w:rsid w:val="00E67400"/>
    <w:rsid w:val="00E67E89"/>
    <w:rsid w:val="00E71DC6"/>
    <w:rsid w:val="00E73999"/>
    <w:rsid w:val="00E74AF0"/>
    <w:rsid w:val="00E75BA5"/>
    <w:rsid w:val="00E83F1C"/>
    <w:rsid w:val="00E8597C"/>
    <w:rsid w:val="00E87C8B"/>
    <w:rsid w:val="00E93B55"/>
    <w:rsid w:val="00E969E3"/>
    <w:rsid w:val="00E96AF5"/>
    <w:rsid w:val="00EA1E77"/>
    <w:rsid w:val="00EA2F31"/>
    <w:rsid w:val="00EA7585"/>
    <w:rsid w:val="00EB021F"/>
    <w:rsid w:val="00EB08CA"/>
    <w:rsid w:val="00EB0D22"/>
    <w:rsid w:val="00EB3440"/>
    <w:rsid w:val="00EB56B7"/>
    <w:rsid w:val="00EC31AD"/>
    <w:rsid w:val="00EC3DF0"/>
    <w:rsid w:val="00EC5111"/>
    <w:rsid w:val="00EC6EB9"/>
    <w:rsid w:val="00EC75C5"/>
    <w:rsid w:val="00ED1349"/>
    <w:rsid w:val="00EE1502"/>
    <w:rsid w:val="00EE4A64"/>
    <w:rsid w:val="00EE4F0F"/>
    <w:rsid w:val="00EE595E"/>
    <w:rsid w:val="00EE6F62"/>
    <w:rsid w:val="00EF2272"/>
    <w:rsid w:val="00EF2803"/>
    <w:rsid w:val="00EF38DA"/>
    <w:rsid w:val="00EF3B46"/>
    <w:rsid w:val="00EF42F7"/>
    <w:rsid w:val="00EF5D72"/>
    <w:rsid w:val="00F004D2"/>
    <w:rsid w:val="00F00F38"/>
    <w:rsid w:val="00F02769"/>
    <w:rsid w:val="00F02DA2"/>
    <w:rsid w:val="00F07297"/>
    <w:rsid w:val="00F102A7"/>
    <w:rsid w:val="00F1269E"/>
    <w:rsid w:val="00F14792"/>
    <w:rsid w:val="00F15820"/>
    <w:rsid w:val="00F20F7F"/>
    <w:rsid w:val="00F2184E"/>
    <w:rsid w:val="00F24121"/>
    <w:rsid w:val="00F2599E"/>
    <w:rsid w:val="00F364A0"/>
    <w:rsid w:val="00F36B56"/>
    <w:rsid w:val="00F36EEC"/>
    <w:rsid w:val="00F37F0F"/>
    <w:rsid w:val="00F40C71"/>
    <w:rsid w:val="00F430F1"/>
    <w:rsid w:val="00F46B2F"/>
    <w:rsid w:val="00F55FCB"/>
    <w:rsid w:val="00F57205"/>
    <w:rsid w:val="00F60FB5"/>
    <w:rsid w:val="00F629E3"/>
    <w:rsid w:val="00F65F85"/>
    <w:rsid w:val="00F6679B"/>
    <w:rsid w:val="00F70C11"/>
    <w:rsid w:val="00F7193B"/>
    <w:rsid w:val="00F71E49"/>
    <w:rsid w:val="00F746DC"/>
    <w:rsid w:val="00F75B31"/>
    <w:rsid w:val="00F81B03"/>
    <w:rsid w:val="00F827A9"/>
    <w:rsid w:val="00F83FC1"/>
    <w:rsid w:val="00F87F4C"/>
    <w:rsid w:val="00F94AE7"/>
    <w:rsid w:val="00FA0942"/>
    <w:rsid w:val="00FA56FA"/>
    <w:rsid w:val="00FA76DB"/>
    <w:rsid w:val="00FB35C1"/>
    <w:rsid w:val="00FB3639"/>
    <w:rsid w:val="00FB3B2C"/>
    <w:rsid w:val="00FB5C8E"/>
    <w:rsid w:val="00FB5F9A"/>
    <w:rsid w:val="00FB77AD"/>
    <w:rsid w:val="00FC1328"/>
    <w:rsid w:val="00FC382B"/>
    <w:rsid w:val="00FC5E7F"/>
    <w:rsid w:val="00FD1512"/>
    <w:rsid w:val="00FD1CBA"/>
    <w:rsid w:val="00FD3868"/>
    <w:rsid w:val="00FD49B8"/>
    <w:rsid w:val="00FD5967"/>
    <w:rsid w:val="00FD5A54"/>
    <w:rsid w:val="00FD6BBE"/>
    <w:rsid w:val="00FD6BDF"/>
    <w:rsid w:val="00FD6D74"/>
    <w:rsid w:val="00FD708A"/>
    <w:rsid w:val="00FE1B59"/>
    <w:rsid w:val="00FE5768"/>
    <w:rsid w:val="00FF2951"/>
    <w:rsid w:val="00FF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3773B8F6"/>
  <w15:docId w15:val="{C1B0BE1D-0820-4B01-94CE-3C936A36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4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E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6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572"/>
  </w:style>
  <w:style w:type="paragraph" w:styleId="Footer">
    <w:name w:val="footer"/>
    <w:basedOn w:val="Normal"/>
    <w:link w:val="FooterChar"/>
    <w:uiPriority w:val="99"/>
    <w:unhideWhenUsed/>
    <w:rsid w:val="003E65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572"/>
  </w:style>
  <w:style w:type="paragraph" w:styleId="BalloonText">
    <w:name w:val="Balloon Text"/>
    <w:basedOn w:val="Normal"/>
    <w:link w:val="BalloonTextChar"/>
    <w:uiPriority w:val="99"/>
    <w:semiHidden/>
    <w:unhideWhenUsed/>
    <w:rsid w:val="00390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50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01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35E28"/>
    <w:pPr>
      <w:spacing w:before="100" w:beforeAutospacing="1" w:after="67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EC75C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1D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1D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1D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D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D42"/>
    <w:rPr>
      <w:b/>
      <w:bCs/>
      <w:sz w:val="20"/>
      <w:szCs w:val="20"/>
    </w:rPr>
  </w:style>
  <w:style w:type="paragraph" w:customStyle="1" w:styleId="Default">
    <w:name w:val="Default"/>
    <w:rsid w:val="00A415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ing3NoNumb">
    <w:name w:val="Heading 3NoNumb"/>
    <w:basedOn w:val="Heading3"/>
    <w:next w:val="Normal"/>
    <w:rsid w:val="00FC5E7F"/>
    <w:pPr>
      <w:keepLines w:val="0"/>
      <w:tabs>
        <w:tab w:val="left" w:pos="504"/>
      </w:tabs>
      <w:spacing w:before="240" w:after="120" w:line="240" w:lineRule="auto"/>
    </w:pPr>
    <w:rPr>
      <w:rFonts w:ascii="Times New Roman" w:eastAsia="Times New Roman" w:hAnsi="Times New Roman" w:cs="Times New Roman"/>
      <w:b/>
      <w:bCs/>
      <w:color w:val="auto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E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ble">
    <w:name w:val="Table"/>
    <w:basedOn w:val="Normal"/>
    <w:next w:val="Normal"/>
    <w:semiHidden/>
    <w:rsid w:val="00373F80"/>
    <w:pPr>
      <w:tabs>
        <w:tab w:val="left" w:pos="1584"/>
      </w:tabs>
      <w:spacing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en-US"/>
    </w:rPr>
  </w:style>
  <w:style w:type="paragraph" w:customStyle="1" w:styleId="TableText10">
    <w:name w:val="TableText10"/>
    <w:basedOn w:val="Normal"/>
    <w:rsid w:val="00373F80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paragraph" w:customStyle="1" w:styleId="TableHeader10">
    <w:name w:val="TableHeader10"/>
    <w:basedOn w:val="TableText10"/>
    <w:rsid w:val="00373F80"/>
    <w:pPr>
      <w:jc w:val="center"/>
    </w:pPr>
    <w:rPr>
      <w:b/>
    </w:rPr>
  </w:style>
  <w:style w:type="paragraph" w:customStyle="1" w:styleId="TableNotes9">
    <w:name w:val="TableNotes9"/>
    <w:basedOn w:val="TableText10"/>
    <w:next w:val="Normal"/>
    <w:rsid w:val="00373F80"/>
    <w:pPr>
      <w:spacing w:before="120" w:after="120"/>
      <w:ind w:left="576" w:hanging="576"/>
    </w:pPr>
    <w:rPr>
      <w:sz w:val="18"/>
    </w:rPr>
  </w:style>
  <w:style w:type="character" w:styleId="Hyperlink">
    <w:name w:val="Hyperlink"/>
    <w:rsid w:val="00E312BE"/>
    <w:rPr>
      <w:color w:val="0000FF"/>
      <w:u w:val="single"/>
    </w:rPr>
  </w:style>
  <w:style w:type="paragraph" w:customStyle="1" w:styleId="DefaultText">
    <w:name w:val="Default Text"/>
    <w:rsid w:val="00D931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F64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24F4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semiHidden/>
    <w:unhideWhenUsed/>
    <w:rsid w:val="00E24F4C"/>
    <w:pPr>
      <w:autoSpaceDE w:val="0"/>
      <w:autoSpaceDN w:val="0"/>
      <w:spacing w:after="0" w:line="240" w:lineRule="auto"/>
    </w:pPr>
    <w:rPr>
      <w:rFonts w:ascii="Times New Roman" w:hAnsi="Times New Roman" w:cs="Times New Roman"/>
      <w:lang w:eastAsia="en-ZA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24F4C"/>
    <w:rPr>
      <w:rFonts w:ascii="Times New Roman" w:hAnsi="Times New Roman" w:cs="Times New Roman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3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0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9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1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1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38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hpra.org.za/Publications/Index/8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F6B85CF-6764-45BC-96C3-672E90395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1501</Words>
  <Characters>8559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Consultants A</dc:creator>
  <cp:keywords/>
  <dc:description/>
  <cp:lastModifiedBy>Thealdi Mitchell</cp:lastModifiedBy>
  <cp:revision>2</cp:revision>
  <cp:lastPrinted>2022-10-20T10:05:00Z</cp:lastPrinted>
  <dcterms:created xsi:type="dcterms:W3CDTF">2023-12-14T08:28:00Z</dcterms:created>
  <dcterms:modified xsi:type="dcterms:W3CDTF">2023-12-14T08:28:00Z</dcterms:modified>
</cp:coreProperties>
</file>