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ED16" w14:textId="60CF0B24" w:rsidR="00596476" w:rsidRPr="009245BF" w:rsidRDefault="00DE1948" w:rsidP="009245BF">
      <w:pPr>
        <w:spacing w:line="480" w:lineRule="auto"/>
        <w:ind w:left="-851"/>
        <w:rPr>
          <w:b/>
          <w:szCs w:val="22"/>
        </w:rPr>
      </w:pPr>
      <w:r w:rsidRPr="009245BF">
        <w:rPr>
          <w:b/>
          <w:szCs w:val="22"/>
        </w:rPr>
        <w:t>1.</w:t>
      </w:r>
      <w:r w:rsidR="00376ADE">
        <w:rPr>
          <w:b/>
          <w:szCs w:val="22"/>
        </w:rPr>
        <w:t>3.1.1</w:t>
      </w:r>
      <w:r w:rsidR="008E518E" w:rsidRPr="009245BF">
        <w:rPr>
          <w:b/>
          <w:szCs w:val="22"/>
        </w:rPr>
        <w:t xml:space="preserve"> </w:t>
      </w:r>
      <w:r w:rsidR="00376ADE">
        <w:rPr>
          <w:b/>
          <w:szCs w:val="22"/>
        </w:rPr>
        <w:t xml:space="preserve">Proposed </w:t>
      </w:r>
      <w:r w:rsidR="008E518E" w:rsidRPr="009245BF">
        <w:rPr>
          <w:b/>
          <w:szCs w:val="22"/>
        </w:rPr>
        <w:t>Pr</w:t>
      </w:r>
      <w:r w:rsidR="001F1FA9" w:rsidRPr="009245BF">
        <w:rPr>
          <w:b/>
          <w:szCs w:val="22"/>
        </w:rPr>
        <w:t>ofessional Informa</w:t>
      </w:r>
      <w:r w:rsidR="00A95B80" w:rsidRPr="009245BF">
        <w:rPr>
          <w:b/>
          <w:szCs w:val="22"/>
        </w:rPr>
        <w:t>tion for Medicines for Human Use</w:t>
      </w:r>
    </w:p>
    <w:tbl>
      <w:tblPr>
        <w:tblW w:w="11070" w:type="dxa"/>
        <w:tblInd w:w="-1175" w:type="dxa"/>
        <w:tblLayout w:type="fixed"/>
        <w:tblLook w:val="04A0" w:firstRow="1" w:lastRow="0" w:firstColumn="1" w:lastColumn="0" w:noHBand="0" w:noVBand="1"/>
      </w:tblPr>
      <w:tblGrid>
        <w:gridCol w:w="11070"/>
      </w:tblGrid>
      <w:tr w:rsidR="00376ADE" w:rsidRPr="009245BF" w14:paraId="06FB7F6B" w14:textId="4151530F" w:rsidTr="000D7AB1">
        <w:trPr>
          <w:trHeight w:val="896"/>
        </w:trPr>
        <w:tc>
          <w:tcPr>
            <w:tcW w:w="11070" w:type="dxa"/>
          </w:tcPr>
          <w:p w14:paraId="08A94DF7" w14:textId="7898AB41" w:rsidR="00376ADE" w:rsidRPr="009245BF" w:rsidRDefault="00376ADE" w:rsidP="009245BF">
            <w:pPr>
              <w:pStyle w:val="norm1"/>
              <w:spacing w:line="480" w:lineRule="auto"/>
              <w:ind w:left="0" w:right="425" w:firstLine="0"/>
              <w:jc w:val="left"/>
              <w:rPr>
                <w:b/>
                <w:bCs/>
                <w:caps/>
                <w:sz w:val="22"/>
                <w:szCs w:val="22"/>
              </w:rPr>
            </w:pPr>
            <w:bookmarkStart w:id="0" w:name="Scheduling_status"/>
            <w:r w:rsidRPr="009245BF">
              <w:rPr>
                <w:b/>
                <w:bCs/>
                <w:caps/>
                <w:sz w:val="22"/>
                <w:szCs w:val="22"/>
              </w:rPr>
              <w:t>Scheduling Status</w:t>
            </w:r>
            <w:bookmarkEnd w:id="0"/>
          </w:p>
          <w:p w14:paraId="48506665" w14:textId="64E05457" w:rsidR="00376ADE" w:rsidRPr="009245BF" w:rsidRDefault="00376ADE" w:rsidP="009245BF">
            <w:pPr>
              <w:pStyle w:val="norm1"/>
              <w:tabs>
                <w:tab w:val="clear" w:pos="454"/>
                <w:tab w:val="left" w:pos="2000"/>
              </w:tabs>
              <w:spacing w:line="480" w:lineRule="auto"/>
              <w:ind w:left="0" w:right="425" w:firstLine="0"/>
              <w:jc w:val="left"/>
              <w:rPr>
                <w:b/>
                <w:bCs/>
                <w:sz w:val="22"/>
                <w:szCs w:val="22"/>
              </w:rPr>
            </w:pPr>
            <w:r w:rsidRPr="009245BF">
              <w:rPr>
                <w:b/>
                <w:sz w:val="22"/>
                <w:szCs w:val="22"/>
                <w:bdr w:val="single" w:sz="4" w:space="0" w:color="auto"/>
              </w:rPr>
              <w:t>S5</w:t>
            </w:r>
          </w:p>
        </w:tc>
      </w:tr>
      <w:tr w:rsidR="00376ADE" w:rsidRPr="009245BF" w14:paraId="1E47F804" w14:textId="6D00CD56" w:rsidTr="000D7AB1">
        <w:trPr>
          <w:trHeight w:val="826"/>
        </w:trPr>
        <w:tc>
          <w:tcPr>
            <w:tcW w:w="11070" w:type="dxa"/>
          </w:tcPr>
          <w:p w14:paraId="42EE9478" w14:textId="4BF0A2D0" w:rsidR="00376ADE" w:rsidRPr="009245BF" w:rsidRDefault="00376ADE" w:rsidP="009245BF">
            <w:pPr>
              <w:pStyle w:val="ListParagraph"/>
              <w:numPr>
                <w:ilvl w:val="0"/>
                <w:numId w:val="4"/>
              </w:numPr>
              <w:spacing w:line="480" w:lineRule="auto"/>
              <w:ind w:left="454"/>
              <w:rPr>
                <w:rFonts w:ascii="Arial" w:hAnsi="Arial" w:cs="Arial"/>
                <w:b/>
                <w:lang w:val="en-GB"/>
              </w:rPr>
            </w:pPr>
            <w:bookmarkStart w:id="1" w:name="Name_of_medicine"/>
            <w:r w:rsidRPr="009245BF">
              <w:rPr>
                <w:rFonts w:ascii="Arial" w:hAnsi="Arial" w:cs="Arial"/>
                <w:b/>
                <w:lang w:val="en-GB"/>
              </w:rPr>
              <w:t>NAME OF THE MEDICINE</w:t>
            </w:r>
          </w:p>
          <w:bookmarkEnd w:id="1"/>
          <w:p w14:paraId="1B9A9655" w14:textId="3A5FF4F8" w:rsidR="00376ADE" w:rsidRPr="009245BF" w:rsidRDefault="00376ADE" w:rsidP="009245BF">
            <w:pPr>
              <w:spacing w:line="480" w:lineRule="auto"/>
              <w:rPr>
                <w:szCs w:val="22"/>
              </w:rPr>
            </w:pPr>
            <w:r w:rsidRPr="00C24069">
              <w:rPr>
                <w:b/>
                <w:szCs w:val="22"/>
              </w:rPr>
              <w:t xml:space="preserve">Propofol </w:t>
            </w:r>
            <w:r w:rsidRPr="006932F9">
              <w:rPr>
                <w:b/>
                <w:szCs w:val="22"/>
              </w:rPr>
              <w:t>2 %</w:t>
            </w:r>
            <w:r w:rsidR="006932F9">
              <w:rPr>
                <w:b/>
                <w:szCs w:val="22"/>
              </w:rPr>
              <w:t xml:space="preserve"> (20 mg/</w:t>
            </w:r>
            <w:r w:rsidRPr="006932F9">
              <w:rPr>
                <w:b/>
                <w:szCs w:val="22"/>
              </w:rPr>
              <w:t>m</w:t>
            </w:r>
            <w:r w:rsidR="00C97075" w:rsidRPr="006932F9">
              <w:rPr>
                <w:b/>
                <w:szCs w:val="22"/>
              </w:rPr>
              <w:t>l</w:t>
            </w:r>
            <w:r w:rsidRPr="006932F9">
              <w:rPr>
                <w:b/>
                <w:szCs w:val="22"/>
              </w:rPr>
              <w:t>)</w:t>
            </w:r>
            <w:r w:rsidR="006932F9" w:rsidRPr="006932F9">
              <w:rPr>
                <w:b/>
                <w:szCs w:val="22"/>
              </w:rPr>
              <w:t xml:space="preserve"> B.</w:t>
            </w:r>
            <w:r w:rsidR="006932F9" w:rsidRPr="009245BF">
              <w:rPr>
                <w:b/>
                <w:szCs w:val="22"/>
              </w:rPr>
              <w:t xml:space="preserve"> Braun</w:t>
            </w:r>
            <w:r w:rsidRPr="009245BF">
              <w:rPr>
                <w:szCs w:val="22"/>
              </w:rPr>
              <w:t xml:space="preserve"> emulsion for intravenous injection or infusion.</w:t>
            </w:r>
          </w:p>
        </w:tc>
      </w:tr>
      <w:tr w:rsidR="00376ADE" w:rsidRPr="009245BF" w14:paraId="289FEE0D" w14:textId="6AFAB58A" w:rsidTr="000D7AB1">
        <w:trPr>
          <w:trHeight w:val="487"/>
        </w:trPr>
        <w:tc>
          <w:tcPr>
            <w:tcW w:w="11070" w:type="dxa"/>
          </w:tcPr>
          <w:p w14:paraId="49D8F417" w14:textId="28C5DF91" w:rsidR="00376ADE" w:rsidRPr="009245BF" w:rsidRDefault="00376ADE" w:rsidP="009245BF">
            <w:pPr>
              <w:pStyle w:val="ListParagraph"/>
              <w:numPr>
                <w:ilvl w:val="0"/>
                <w:numId w:val="4"/>
              </w:numPr>
              <w:spacing w:line="480" w:lineRule="auto"/>
              <w:ind w:left="356"/>
              <w:rPr>
                <w:rFonts w:ascii="Arial" w:hAnsi="Arial" w:cs="Arial"/>
                <w:b/>
              </w:rPr>
            </w:pPr>
            <w:r w:rsidRPr="009245BF">
              <w:rPr>
                <w:rFonts w:ascii="Arial" w:hAnsi="Arial" w:cs="Arial"/>
                <w:b/>
              </w:rPr>
              <w:t xml:space="preserve">QUALITATIVE AND QUANTITATIVE COMPOSITION </w:t>
            </w:r>
          </w:p>
          <w:p w14:paraId="2318EC4D" w14:textId="77777777" w:rsidR="00376ADE" w:rsidRPr="009245BF" w:rsidRDefault="00376ADE" w:rsidP="009245BF">
            <w:pPr>
              <w:spacing w:line="480" w:lineRule="auto"/>
              <w:rPr>
                <w:szCs w:val="22"/>
              </w:rPr>
            </w:pPr>
            <w:r w:rsidRPr="009245BF">
              <w:rPr>
                <w:szCs w:val="22"/>
              </w:rPr>
              <w:t xml:space="preserve">1 ml emulsion for injection or infusion contains 20 mg propofol. </w:t>
            </w:r>
          </w:p>
          <w:p w14:paraId="0E2E0690" w14:textId="77777777" w:rsidR="00376ADE" w:rsidRPr="009245BF" w:rsidRDefault="00376ADE" w:rsidP="009245BF">
            <w:pPr>
              <w:spacing w:line="480" w:lineRule="auto"/>
              <w:rPr>
                <w:szCs w:val="22"/>
              </w:rPr>
            </w:pPr>
            <w:r w:rsidRPr="009245BF">
              <w:rPr>
                <w:szCs w:val="22"/>
              </w:rPr>
              <w:t xml:space="preserve">One vial of 50 ml contains 1000 mg propofol. </w:t>
            </w:r>
          </w:p>
          <w:p w14:paraId="16BE8BD2" w14:textId="77777777" w:rsidR="00376ADE" w:rsidRPr="009245BF" w:rsidRDefault="00376ADE" w:rsidP="009245BF">
            <w:pPr>
              <w:spacing w:line="480" w:lineRule="auto"/>
              <w:ind w:left="360"/>
              <w:rPr>
                <w:szCs w:val="22"/>
              </w:rPr>
            </w:pPr>
          </w:p>
          <w:p w14:paraId="2706B209" w14:textId="77777777" w:rsidR="00376ADE" w:rsidRPr="009245BF" w:rsidRDefault="00376ADE" w:rsidP="009245BF">
            <w:pPr>
              <w:spacing w:line="480" w:lineRule="auto"/>
              <w:rPr>
                <w:szCs w:val="22"/>
              </w:rPr>
            </w:pPr>
            <w:r w:rsidRPr="009245BF">
              <w:rPr>
                <w:szCs w:val="22"/>
              </w:rPr>
              <w:t xml:space="preserve">Excipients with known effect: </w:t>
            </w:r>
          </w:p>
          <w:p w14:paraId="46E8C655" w14:textId="77777777" w:rsidR="00376ADE" w:rsidRPr="009245BF" w:rsidRDefault="00376ADE" w:rsidP="009245BF">
            <w:pPr>
              <w:spacing w:line="480" w:lineRule="auto"/>
              <w:rPr>
                <w:szCs w:val="22"/>
              </w:rPr>
            </w:pPr>
            <w:r w:rsidRPr="009245BF">
              <w:rPr>
                <w:szCs w:val="22"/>
              </w:rPr>
              <w:t>1 ml of emulsion contains:</w:t>
            </w:r>
          </w:p>
          <w:p w14:paraId="6B0D7428" w14:textId="2A14F8C4" w:rsidR="00376ADE" w:rsidRPr="009245BF" w:rsidRDefault="00376ADE" w:rsidP="009245BF">
            <w:pPr>
              <w:spacing w:line="480" w:lineRule="auto"/>
              <w:rPr>
                <w:szCs w:val="22"/>
              </w:rPr>
            </w:pPr>
            <w:r w:rsidRPr="009245BF">
              <w:rPr>
                <w:szCs w:val="22"/>
              </w:rPr>
              <w:t>Soya bean oil refined</w:t>
            </w:r>
            <w:r w:rsidRPr="009245BF">
              <w:rPr>
                <w:szCs w:val="22"/>
              </w:rPr>
              <w:tab/>
            </w:r>
            <w:r w:rsidRPr="009245BF">
              <w:rPr>
                <w:szCs w:val="22"/>
              </w:rPr>
              <w:tab/>
              <w:t xml:space="preserve">50 mg </w:t>
            </w:r>
          </w:p>
          <w:p w14:paraId="7E2E1518" w14:textId="317A1D2F" w:rsidR="00376ADE" w:rsidRPr="009245BF" w:rsidRDefault="00376ADE" w:rsidP="009245BF">
            <w:pPr>
              <w:spacing w:line="480" w:lineRule="auto"/>
              <w:rPr>
                <w:szCs w:val="22"/>
              </w:rPr>
            </w:pPr>
            <w:r w:rsidRPr="009245BF">
              <w:rPr>
                <w:szCs w:val="22"/>
              </w:rPr>
              <w:t xml:space="preserve">Sodium </w:t>
            </w:r>
            <w:r w:rsidRPr="009245BF">
              <w:rPr>
                <w:szCs w:val="22"/>
              </w:rPr>
              <w:tab/>
              <w:t xml:space="preserve">                        </w:t>
            </w:r>
            <w:r w:rsidRPr="00376ADE">
              <w:rPr>
                <w:szCs w:val="22"/>
              </w:rPr>
              <w:t>0,</w:t>
            </w:r>
            <w:r w:rsidR="006A3150">
              <w:rPr>
                <w:szCs w:val="22"/>
              </w:rPr>
              <w:t>0</w:t>
            </w:r>
            <w:r w:rsidRPr="00376ADE">
              <w:rPr>
                <w:szCs w:val="22"/>
              </w:rPr>
              <w:t xml:space="preserve">30 </w:t>
            </w:r>
            <w:r w:rsidRPr="009245BF">
              <w:rPr>
                <w:szCs w:val="22"/>
              </w:rPr>
              <w:t>mg</w:t>
            </w:r>
          </w:p>
          <w:p w14:paraId="22D70D9C" w14:textId="48EC2F95" w:rsidR="00376ADE" w:rsidRPr="009245BF" w:rsidRDefault="00376ADE" w:rsidP="009245BF">
            <w:pPr>
              <w:spacing w:line="480" w:lineRule="auto"/>
              <w:rPr>
                <w:szCs w:val="22"/>
              </w:rPr>
            </w:pPr>
            <w:r w:rsidRPr="009245BF">
              <w:rPr>
                <w:szCs w:val="22"/>
              </w:rPr>
              <w:t xml:space="preserve">For the full list if excipients, see </w:t>
            </w:r>
            <w:r w:rsidRPr="00FF30CE">
              <w:rPr>
                <w:szCs w:val="22"/>
              </w:rPr>
              <w:t>section 6.1</w:t>
            </w:r>
          </w:p>
        </w:tc>
      </w:tr>
      <w:tr w:rsidR="00376ADE" w:rsidRPr="009245BF" w14:paraId="03503AEC" w14:textId="17CE2620" w:rsidTr="000D7AB1">
        <w:tc>
          <w:tcPr>
            <w:tcW w:w="11070" w:type="dxa"/>
          </w:tcPr>
          <w:p w14:paraId="05F37584" w14:textId="0E3807B6" w:rsidR="00376ADE" w:rsidRPr="009245BF" w:rsidRDefault="00376ADE" w:rsidP="009245BF">
            <w:pPr>
              <w:pStyle w:val="A-Single"/>
              <w:numPr>
                <w:ilvl w:val="0"/>
                <w:numId w:val="4"/>
              </w:numPr>
              <w:spacing w:line="480" w:lineRule="auto"/>
              <w:ind w:left="356"/>
              <w:rPr>
                <w:rFonts w:ascii="Arial" w:hAnsi="Arial" w:cs="Arial"/>
                <w:b/>
                <w:sz w:val="22"/>
                <w:szCs w:val="22"/>
              </w:rPr>
            </w:pPr>
            <w:bookmarkStart w:id="2" w:name="Pharmaceutical_form"/>
            <w:r w:rsidRPr="009245BF">
              <w:rPr>
                <w:rFonts w:ascii="Arial" w:hAnsi="Arial" w:cs="Arial"/>
                <w:b/>
                <w:sz w:val="22"/>
                <w:szCs w:val="22"/>
              </w:rPr>
              <w:t>PHARMACEUTICAL FORM</w:t>
            </w:r>
          </w:p>
          <w:bookmarkEnd w:id="2"/>
          <w:p w14:paraId="146C7FCB" w14:textId="77777777" w:rsidR="00376ADE" w:rsidRPr="009245BF" w:rsidRDefault="00376ADE" w:rsidP="009245BF">
            <w:pPr>
              <w:spacing w:line="480" w:lineRule="auto"/>
              <w:rPr>
                <w:szCs w:val="22"/>
              </w:rPr>
            </w:pPr>
            <w:r w:rsidRPr="009245BF">
              <w:rPr>
                <w:szCs w:val="22"/>
              </w:rPr>
              <w:t>Emulsion for injection or infusion.</w:t>
            </w:r>
          </w:p>
          <w:p w14:paraId="3E5A9C99" w14:textId="216F38A2" w:rsidR="00376ADE" w:rsidRPr="009245BF" w:rsidRDefault="00376ADE" w:rsidP="009245BF">
            <w:pPr>
              <w:spacing w:line="480" w:lineRule="auto"/>
              <w:rPr>
                <w:b/>
                <w:szCs w:val="22"/>
              </w:rPr>
            </w:pPr>
            <w:r w:rsidRPr="009245BF">
              <w:rPr>
                <w:szCs w:val="22"/>
              </w:rPr>
              <w:t>White milky oil-in-water emulsion.</w:t>
            </w:r>
          </w:p>
        </w:tc>
      </w:tr>
      <w:tr w:rsidR="00376ADE" w:rsidRPr="009245BF" w14:paraId="375BB342" w14:textId="4A711F1A" w:rsidTr="000D7AB1">
        <w:tc>
          <w:tcPr>
            <w:tcW w:w="11070" w:type="dxa"/>
          </w:tcPr>
          <w:p w14:paraId="70467076" w14:textId="2A319116" w:rsidR="00376ADE" w:rsidRPr="009245BF" w:rsidRDefault="00376ADE" w:rsidP="009245BF">
            <w:pPr>
              <w:pStyle w:val="A-Single"/>
              <w:numPr>
                <w:ilvl w:val="0"/>
                <w:numId w:val="4"/>
              </w:numPr>
              <w:spacing w:line="480" w:lineRule="auto"/>
              <w:ind w:hanging="658"/>
              <w:rPr>
                <w:rFonts w:ascii="Arial" w:hAnsi="Arial" w:cs="Arial"/>
                <w:b/>
                <w:sz w:val="22"/>
                <w:szCs w:val="22"/>
              </w:rPr>
            </w:pPr>
            <w:r w:rsidRPr="009245BF">
              <w:rPr>
                <w:rFonts w:ascii="Arial" w:hAnsi="Arial" w:cs="Arial"/>
                <w:b/>
                <w:sz w:val="22"/>
                <w:szCs w:val="22"/>
              </w:rPr>
              <w:t>CLINICAL PARTICULARS</w:t>
            </w:r>
          </w:p>
        </w:tc>
      </w:tr>
      <w:tr w:rsidR="00376ADE" w:rsidRPr="009245BF" w14:paraId="5AF7C49F" w14:textId="05D0C9F6" w:rsidTr="000D7AB1">
        <w:tc>
          <w:tcPr>
            <w:tcW w:w="11070" w:type="dxa"/>
          </w:tcPr>
          <w:p w14:paraId="3B8A9E2F" w14:textId="3CE1EE2A" w:rsidR="00376ADE" w:rsidRPr="009245BF" w:rsidRDefault="00376ADE" w:rsidP="009245BF">
            <w:pPr>
              <w:pStyle w:val="A-Single"/>
              <w:numPr>
                <w:ilvl w:val="1"/>
                <w:numId w:val="4"/>
              </w:numPr>
              <w:spacing w:line="480" w:lineRule="auto"/>
              <w:ind w:left="770" w:hanging="708"/>
              <w:rPr>
                <w:rFonts w:ascii="Arial" w:hAnsi="Arial" w:cs="Arial"/>
                <w:b/>
                <w:sz w:val="22"/>
                <w:szCs w:val="22"/>
              </w:rPr>
            </w:pPr>
            <w:r w:rsidRPr="009245BF">
              <w:rPr>
                <w:rFonts w:ascii="Arial" w:hAnsi="Arial" w:cs="Arial"/>
                <w:b/>
                <w:sz w:val="22"/>
                <w:szCs w:val="22"/>
              </w:rPr>
              <w:t xml:space="preserve">Therapeutic </w:t>
            </w:r>
            <w:bookmarkStart w:id="3" w:name="Indications"/>
            <w:r w:rsidRPr="009245BF">
              <w:rPr>
                <w:rFonts w:ascii="Arial" w:hAnsi="Arial" w:cs="Arial"/>
                <w:b/>
                <w:sz w:val="22"/>
                <w:szCs w:val="22"/>
              </w:rPr>
              <w:t>indications</w:t>
            </w:r>
            <w:bookmarkEnd w:id="3"/>
          </w:p>
        </w:tc>
      </w:tr>
      <w:tr w:rsidR="00376ADE" w:rsidRPr="009245BF" w14:paraId="007C8B89" w14:textId="02FB5B7E" w:rsidTr="000D7AB1">
        <w:trPr>
          <w:trHeight w:val="1578"/>
        </w:trPr>
        <w:tc>
          <w:tcPr>
            <w:tcW w:w="11070" w:type="dxa"/>
          </w:tcPr>
          <w:p w14:paraId="356872D1" w14:textId="569AA2E5" w:rsidR="00376ADE" w:rsidRPr="009245BF" w:rsidRDefault="006932F9" w:rsidP="009245BF">
            <w:pPr>
              <w:autoSpaceDE w:val="0"/>
              <w:autoSpaceDN w:val="0"/>
              <w:adjustRightInd w:val="0"/>
              <w:snapToGrid w:val="0"/>
              <w:spacing w:line="480" w:lineRule="auto"/>
              <w:rPr>
                <w:color w:val="000000"/>
                <w:szCs w:val="22"/>
                <w:lang w:val="x-none" w:eastAsia="en-ZA"/>
              </w:rPr>
            </w:pPr>
            <w:r>
              <w:rPr>
                <w:b/>
                <w:color w:val="000000"/>
                <w:szCs w:val="22"/>
                <w:lang w:val="x-none" w:eastAsia="en-ZA"/>
              </w:rPr>
              <w:t>Propofol B. Braun</w:t>
            </w:r>
            <w:r w:rsidR="00376ADE" w:rsidRPr="009245BF">
              <w:rPr>
                <w:color w:val="000000"/>
                <w:szCs w:val="22"/>
                <w:lang w:val="x-none" w:eastAsia="en-ZA"/>
              </w:rPr>
              <w:t xml:space="preserve"> is indicated for: </w:t>
            </w:r>
          </w:p>
          <w:p w14:paraId="61792D41" w14:textId="77777777" w:rsidR="00376ADE" w:rsidRPr="009245BF" w:rsidRDefault="00376ADE" w:rsidP="009245BF">
            <w:pPr>
              <w:pStyle w:val="ListParagraph"/>
              <w:numPr>
                <w:ilvl w:val="0"/>
                <w:numId w:val="37"/>
              </w:numPr>
              <w:autoSpaceDE w:val="0"/>
              <w:autoSpaceDN w:val="0"/>
              <w:adjustRightInd w:val="0"/>
              <w:snapToGrid w:val="0"/>
              <w:spacing w:line="480" w:lineRule="auto"/>
              <w:ind w:left="498"/>
              <w:rPr>
                <w:rFonts w:ascii="Arial" w:hAnsi="Arial" w:cs="Arial"/>
                <w:color w:val="000000"/>
                <w:lang w:val="x-none" w:eastAsia="en-ZA"/>
              </w:rPr>
            </w:pPr>
            <w:r w:rsidRPr="009245BF">
              <w:rPr>
                <w:rFonts w:ascii="Arial" w:hAnsi="Arial" w:cs="Arial"/>
                <w:color w:val="000000"/>
                <w:lang w:val="x-none" w:eastAsia="en-ZA"/>
              </w:rPr>
              <w:t>induction and maintenance of general anaesthesia as part of a balanced anaesthetic technique .</w:t>
            </w:r>
          </w:p>
          <w:p w14:paraId="7286EAA3" w14:textId="2D413EB2" w:rsidR="00376ADE" w:rsidRPr="009245BF" w:rsidRDefault="00376ADE" w:rsidP="00D2001D">
            <w:pPr>
              <w:pStyle w:val="ListParagraph"/>
              <w:numPr>
                <w:ilvl w:val="0"/>
                <w:numId w:val="37"/>
              </w:numPr>
              <w:autoSpaceDE w:val="0"/>
              <w:autoSpaceDN w:val="0"/>
              <w:adjustRightInd w:val="0"/>
              <w:snapToGrid w:val="0"/>
              <w:spacing w:line="480" w:lineRule="auto"/>
              <w:ind w:left="498"/>
              <w:rPr>
                <w:rFonts w:ascii="Arial" w:hAnsi="Arial" w:cs="Arial"/>
                <w:color w:val="000000"/>
                <w:lang w:val="x-none" w:eastAsia="en-ZA"/>
              </w:rPr>
            </w:pPr>
            <w:r w:rsidRPr="009245BF">
              <w:rPr>
                <w:rFonts w:ascii="Arial" w:hAnsi="Arial" w:cs="Arial"/>
                <w:color w:val="000000"/>
                <w:lang w:val="x-none" w:eastAsia="en-ZA"/>
              </w:rPr>
              <w:t xml:space="preserve">sedation of ventilated adult patients </w:t>
            </w:r>
            <w:r w:rsidRPr="00D2001D">
              <w:rPr>
                <w:rFonts w:ascii="Arial" w:hAnsi="Arial" w:cs="Arial"/>
                <w:color w:val="000000"/>
                <w:lang w:val="en-US" w:eastAsia="en-ZA"/>
              </w:rPr>
              <w:t>receiving</w:t>
            </w:r>
            <w:r>
              <w:rPr>
                <w:rFonts w:ascii="Arial" w:hAnsi="Arial" w:cs="Arial"/>
                <w:color w:val="000000"/>
                <w:lang w:val="en-US" w:eastAsia="en-ZA"/>
              </w:rPr>
              <w:t xml:space="preserve"> </w:t>
            </w:r>
            <w:r w:rsidRPr="009245BF">
              <w:rPr>
                <w:rFonts w:ascii="Arial" w:hAnsi="Arial" w:cs="Arial"/>
                <w:color w:val="000000"/>
                <w:lang w:val="x-none" w:eastAsia="en-ZA"/>
              </w:rPr>
              <w:t>intensive care for a period of up to 72 hours.</w:t>
            </w:r>
          </w:p>
        </w:tc>
      </w:tr>
      <w:tr w:rsidR="00376ADE" w:rsidRPr="009245BF" w14:paraId="3DB79B57" w14:textId="71CFD899" w:rsidTr="000D7AB1">
        <w:tc>
          <w:tcPr>
            <w:tcW w:w="11070" w:type="dxa"/>
          </w:tcPr>
          <w:p w14:paraId="28AEFB70" w14:textId="3E8C3058" w:rsidR="00376ADE" w:rsidRPr="009245BF" w:rsidRDefault="00376ADE" w:rsidP="009245BF">
            <w:pPr>
              <w:pStyle w:val="ListParagraph"/>
              <w:numPr>
                <w:ilvl w:val="1"/>
                <w:numId w:val="4"/>
              </w:numPr>
              <w:spacing w:line="480" w:lineRule="auto"/>
              <w:rPr>
                <w:rFonts w:ascii="Arial" w:hAnsi="Arial" w:cs="Arial"/>
                <w:b/>
                <w:lang w:val="en-GB"/>
              </w:rPr>
            </w:pPr>
            <w:r w:rsidRPr="009245BF">
              <w:rPr>
                <w:rFonts w:ascii="Arial" w:hAnsi="Arial" w:cs="Arial"/>
                <w:b/>
                <w:lang w:val="en-GB"/>
              </w:rPr>
              <w:t xml:space="preserve">Posology and </w:t>
            </w:r>
            <w:bookmarkStart w:id="4" w:name="Method_of_admin"/>
            <w:r w:rsidRPr="009245BF">
              <w:rPr>
                <w:rFonts w:ascii="Arial" w:hAnsi="Arial" w:cs="Arial"/>
                <w:b/>
                <w:lang w:val="en-GB"/>
              </w:rPr>
              <w:t>method of administration</w:t>
            </w:r>
            <w:bookmarkEnd w:id="4"/>
          </w:p>
        </w:tc>
      </w:tr>
      <w:tr w:rsidR="00376ADE" w:rsidRPr="009245BF" w14:paraId="0AA22E7D" w14:textId="40A1BDB3" w:rsidTr="000D7AB1">
        <w:tc>
          <w:tcPr>
            <w:tcW w:w="11070" w:type="dxa"/>
          </w:tcPr>
          <w:p w14:paraId="28688973" w14:textId="3998ECFB" w:rsidR="00376ADE" w:rsidRPr="009245BF" w:rsidRDefault="00376ADE" w:rsidP="009245BF">
            <w:pPr>
              <w:spacing w:line="480" w:lineRule="auto"/>
              <w:rPr>
                <w:i/>
                <w:szCs w:val="22"/>
              </w:rPr>
            </w:pPr>
            <w:r w:rsidRPr="009245BF">
              <w:rPr>
                <w:i/>
                <w:szCs w:val="22"/>
              </w:rPr>
              <w:t>Posology</w:t>
            </w:r>
          </w:p>
        </w:tc>
      </w:tr>
      <w:tr w:rsidR="00376ADE" w:rsidRPr="009245BF" w14:paraId="69317F4B" w14:textId="08CAFE9F" w:rsidTr="000D7AB1">
        <w:tc>
          <w:tcPr>
            <w:tcW w:w="11070" w:type="dxa"/>
          </w:tcPr>
          <w:p w14:paraId="55920394" w14:textId="2A6920BD" w:rsidR="00376ADE" w:rsidRPr="00D2001D" w:rsidRDefault="00376ADE" w:rsidP="00A1476E">
            <w:pPr>
              <w:autoSpaceDE w:val="0"/>
              <w:autoSpaceDN w:val="0"/>
              <w:adjustRightInd w:val="0"/>
              <w:spacing w:line="480" w:lineRule="auto"/>
              <w:rPr>
                <w:bCs/>
                <w:szCs w:val="22"/>
                <w:lang w:eastAsia="en-ZA"/>
              </w:rPr>
            </w:pPr>
            <w:r w:rsidRPr="00D2001D">
              <w:rPr>
                <w:bCs/>
                <w:szCs w:val="22"/>
                <w:lang w:eastAsia="en-ZA"/>
              </w:rPr>
              <w:lastRenderedPageBreak/>
              <w:t>Propofol should be given by those trained in anaesthesia (or, where appropriate, doctors trained in the care of patients in Intensive Care).</w:t>
            </w:r>
          </w:p>
          <w:p w14:paraId="40C73604" w14:textId="77777777" w:rsidR="00376ADE" w:rsidRPr="00D2001D" w:rsidRDefault="00376ADE" w:rsidP="00A1476E">
            <w:pPr>
              <w:autoSpaceDE w:val="0"/>
              <w:autoSpaceDN w:val="0"/>
              <w:adjustRightInd w:val="0"/>
              <w:spacing w:line="480" w:lineRule="auto"/>
              <w:rPr>
                <w:bCs/>
                <w:szCs w:val="22"/>
                <w:lang w:eastAsia="en-ZA"/>
              </w:rPr>
            </w:pPr>
          </w:p>
          <w:p w14:paraId="70C677A5" w14:textId="639A8847" w:rsidR="00376ADE" w:rsidRPr="00A1476E" w:rsidRDefault="00376ADE" w:rsidP="00A1476E">
            <w:pPr>
              <w:autoSpaceDE w:val="0"/>
              <w:autoSpaceDN w:val="0"/>
              <w:adjustRightInd w:val="0"/>
              <w:spacing w:line="480" w:lineRule="auto"/>
              <w:rPr>
                <w:bCs/>
                <w:szCs w:val="22"/>
                <w:lang w:eastAsia="en-ZA"/>
              </w:rPr>
            </w:pPr>
            <w:r w:rsidRPr="00D2001D">
              <w:rPr>
                <w:bCs/>
                <w:szCs w:val="22"/>
                <w:lang w:eastAsia="en-ZA"/>
              </w:rPr>
              <w:t>Patients should be constantly monitored and facilities for maintenance of a patent airway, artificial ventilation, oxygen enrichment and other resuscitative facilities should be readily available at all times. Propofol should not be administered by the person conducting the diagnostic or surgical procedure.</w:t>
            </w:r>
          </w:p>
        </w:tc>
      </w:tr>
      <w:tr w:rsidR="00376ADE" w:rsidRPr="009245BF" w14:paraId="25BF3716" w14:textId="2D012FAA" w:rsidTr="000D7AB1">
        <w:tc>
          <w:tcPr>
            <w:tcW w:w="11070" w:type="dxa"/>
          </w:tcPr>
          <w:p w14:paraId="440C59A2" w14:textId="03424DD3" w:rsidR="00376ADE" w:rsidRDefault="00376ADE" w:rsidP="009245BF">
            <w:pPr>
              <w:autoSpaceDE w:val="0"/>
              <w:autoSpaceDN w:val="0"/>
              <w:adjustRightInd w:val="0"/>
              <w:spacing w:line="480" w:lineRule="auto"/>
              <w:rPr>
                <w:bCs/>
                <w:szCs w:val="22"/>
                <w:lang w:eastAsia="en-ZA"/>
              </w:rPr>
            </w:pPr>
            <w:r w:rsidRPr="009245BF">
              <w:rPr>
                <w:bCs/>
                <w:szCs w:val="22"/>
                <w:lang w:eastAsia="en-ZA"/>
              </w:rPr>
              <w:t xml:space="preserve">Supplementary analgesic </w:t>
            </w:r>
            <w:r w:rsidRPr="00D6389C">
              <w:rPr>
                <w:bCs/>
                <w:szCs w:val="22"/>
                <w:lang w:eastAsia="en-ZA"/>
              </w:rPr>
              <w:t xml:space="preserve">medicines </w:t>
            </w:r>
            <w:r w:rsidRPr="009245BF">
              <w:rPr>
                <w:bCs/>
                <w:szCs w:val="22"/>
                <w:lang w:eastAsia="en-ZA"/>
              </w:rPr>
              <w:t xml:space="preserve">are required in addition to </w:t>
            </w:r>
            <w:r w:rsidR="006932F9">
              <w:rPr>
                <w:b/>
                <w:bCs/>
                <w:szCs w:val="22"/>
                <w:lang w:eastAsia="en-ZA"/>
              </w:rPr>
              <w:t>Propofol B. Braun</w:t>
            </w:r>
            <w:r>
              <w:rPr>
                <w:b/>
                <w:bCs/>
                <w:szCs w:val="22"/>
                <w:lang w:eastAsia="en-ZA"/>
              </w:rPr>
              <w:t xml:space="preserve">, </w:t>
            </w:r>
            <w:r w:rsidRPr="009245BF">
              <w:rPr>
                <w:bCs/>
                <w:szCs w:val="22"/>
                <w:lang w:eastAsia="en-ZA"/>
              </w:rPr>
              <w:t>where analgesia is required.</w:t>
            </w:r>
          </w:p>
          <w:p w14:paraId="05163483" w14:textId="77777777" w:rsidR="00376ADE" w:rsidRPr="009245BF" w:rsidRDefault="00376ADE" w:rsidP="009245BF">
            <w:pPr>
              <w:autoSpaceDE w:val="0"/>
              <w:autoSpaceDN w:val="0"/>
              <w:adjustRightInd w:val="0"/>
              <w:spacing w:line="480" w:lineRule="auto"/>
              <w:rPr>
                <w:bCs/>
                <w:szCs w:val="22"/>
                <w:lang w:eastAsia="en-ZA"/>
              </w:rPr>
            </w:pPr>
          </w:p>
          <w:p w14:paraId="667BD5B7" w14:textId="009E60EE" w:rsidR="00376ADE" w:rsidRPr="00D2001D" w:rsidRDefault="006932F9" w:rsidP="009245BF">
            <w:pPr>
              <w:autoSpaceDE w:val="0"/>
              <w:autoSpaceDN w:val="0"/>
              <w:adjustRightInd w:val="0"/>
              <w:spacing w:line="480" w:lineRule="auto"/>
              <w:rPr>
                <w:bCs/>
                <w:szCs w:val="22"/>
                <w:lang w:eastAsia="en-ZA"/>
              </w:rPr>
            </w:pPr>
            <w:r>
              <w:rPr>
                <w:b/>
                <w:bCs/>
                <w:szCs w:val="22"/>
                <w:lang w:eastAsia="en-ZA"/>
              </w:rPr>
              <w:t>Propofol B. Braun</w:t>
            </w:r>
            <w:r w:rsidR="00376ADE">
              <w:rPr>
                <w:b/>
                <w:bCs/>
                <w:szCs w:val="22"/>
                <w:lang w:eastAsia="en-ZA"/>
              </w:rPr>
              <w:t xml:space="preserve"> </w:t>
            </w:r>
            <w:r w:rsidR="00376ADE" w:rsidRPr="009245BF">
              <w:rPr>
                <w:bCs/>
                <w:szCs w:val="22"/>
                <w:lang w:eastAsia="en-ZA"/>
              </w:rPr>
              <w:t xml:space="preserve">has been used in association with spinal and epidural anaesthesia and with commonly used premedication, neuromuscular </w:t>
            </w:r>
            <w:r w:rsidR="00376ADE" w:rsidRPr="00D2001D">
              <w:rPr>
                <w:bCs/>
                <w:szCs w:val="22"/>
                <w:lang w:eastAsia="en-ZA"/>
              </w:rPr>
              <w:t>blocking medicine</w:t>
            </w:r>
            <w:r w:rsidR="00376ADE" w:rsidRPr="00E425FC">
              <w:rPr>
                <w:bCs/>
                <w:szCs w:val="22"/>
                <w:u w:val="single"/>
                <w:lang w:eastAsia="en-ZA"/>
              </w:rPr>
              <w:t>s</w:t>
            </w:r>
            <w:r w:rsidR="00376ADE" w:rsidRPr="00D2001D">
              <w:rPr>
                <w:bCs/>
                <w:szCs w:val="22"/>
                <w:lang w:eastAsia="en-ZA"/>
              </w:rPr>
              <w:t>, inhalation and analgesic medicine</w:t>
            </w:r>
            <w:r w:rsidR="00376ADE" w:rsidRPr="00376ADE">
              <w:rPr>
                <w:bCs/>
                <w:szCs w:val="22"/>
                <w:lang w:eastAsia="en-ZA"/>
              </w:rPr>
              <w:t>s</w:t>
            </w:r>
            <w:r w:rsidR="00376ADE" w:rsidRPr="00D2001D">
              <w:rPr>
                <w:bCs/>
                <w:szCs w:val="22"/>
                <w:lang w:eastAsia="en-ZA"/>
              </w:rPr>
              <w:t xml:space="preserve">; no pharmacological incompatibility has been encountered. </w:t>
            </w:r>
          </w:p>
          <w:p w14:paraId="434BD2EF" w14:textId="77777777" w:rsidR="00376ADE" w:rsidRPr="00D2001D" w:rsidRDefault="00376ADE" w:rsidP="009245BF">
            <w:pPr>
              <w:autoSpaceDE w:val="0"/>
              <w:autoSpaceDN w:val="0"/>
              <w:adjustRightInd w:val="0"/>
              <w:spacing w:line="480" w:lineRule="auto"/>
              <w:rPr>
                <w:bCs/>
                <w:szCs w:val="22"/>
                <w:lang w:eastAsia="en-ZA"/>
              </w:rPr>
            </w:pPr>
          </w:p>
          <w:p w14:paraId="20C23C6C" w14:textId="5F592DA4" w:rsidR="00376ADE" w:rsidRPr="009245BF" w:rsidRDefault="00376ADE" w:rsidP="00D2001D">
            <w:pPr>
              <w:autoSpaceDE w:val="0"/>
              <w:autoSpaceDN w:val="0"/>
              <w:adjustRightInd w:val="0"/>
              <w:spacing w:line="480" w:lineRule="auto"/>
              <w:rPr>
                <w:bCs/>
                <w:szCs w:val="22"/>
                <w:lang w:eastAsia="en-ZA"/>
              </w:rPr>
            </w:pPr>
            <w:r w:rsidRPr="00D2001D">
              <w:rPr>
                <w:bCs/>
                <w:szCs w:val="22"/>
                <w:lang w:eastAsia="en-ZA"/>
              </w:rPr>
              <w:t>Dosage adjustment may be necessary when used together with the above medicine</w:t>
            </w:r>
            <w:r w:rsidRPr="00E425FC">
              <w:rPr>
                <w:bCs/>
                <w:szCs w:val="22"/>
                <w:u w:val="single"/>
                <w:lang w:eastAsia="en-ZA"/>
              </w:rPr>
              <w:t>s</w:t>
            </w:r>
            <w:r w:rsidRPr="00D2001D">
              <w:rPr>
                <w:bCs/>
                <w:szCs w:val="22"/>
                <w:lang w:eastAsia="en-ZA"/>
              </w:rPr>
              <w:t>, particularly the narcotics (e.g. morphine, meperidine and fentanyl), combinations of opioids and sedatives (e.g. benzodiazepines, barbiturates, droperidol etc.), supplementary analgesic medicine</w:t>
            </w:r>
            <w:r w:rsidRPr="00E425FC">
              <w:rPr>
                <w:bCs/>
                <w:szCs w:val="22"/>
                <w:u w:val="single"/>
                <w:lang w:eastAsia="en-ZA"/>
              </w:rPr>
              <w:t>s</w:t>
            </w:r>
            <w:r w:rsidRPr="00D2001D">
              <w:rPr>
                <w:bCs/>
                <w:szCs w:val="22"/>
                <w:lang w:eastAsia="en-ZA"/>
              </w:rPr>
              <w:t xml:space="preserve"> (e.g. nitrous oxide or opioids) and the potent inhalation medicine</w:t>
            </w:r>
            <w:r w:rsidRPr="00376ADE">
              <w:rPr>
                <w:bCs/>
                <w:szCs w:val="22"/>
                <w:lang w:eastAsia="en-ZA"/>
              </w:rPr>
              <w:t>s</w:t>
            </w:r>
            <w:r w:rsidRPr="00D2001D">
              <w:rPr>
                <w:bCs/>
                <w:szCs w:val="22"/>
                <w:lang w:eastAsia="en-ZA"/>
              </w:rPr>
              <w:t xml:space="preserve"> (e.g. isoflurane, enflurane and halothane).</w:t>
            </w:r>
          </w:p>
        </w:tc>
      </w:tr>
      <w:tr w:rsidR="00376ADE" w:rsidRPr="009245BF" w14:paraId="4DE67F1C" w14:textId="6F984687" w:rsidTr="000D7AB1">
        <w:tc>
          <w:tcPr>
            <w:tcW w:w="11070" w:type="dxa"/>
          </w:tcPr>
          <w:p w14:paraId="67B73D4D" w14:textId="3EEE90E9"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 xml:space="preserve">Where general anaesthesia with </w:t>
            </w:r>
            <w:r w:rsidR="006932F9">
              <w:rPr>
                <w:b/>
                <w:bCs/>
                <w:szCs w:val="22"/>
                <w:lang w:eastAsia="en-ZA"/>
              </w:rPr>
              <w:t>Propofol B. Braun</w:t>
            </w:r>
            <w:r>
              <w:rPr>
                <w:b/>
                <w:bCs/>
                <w:szCs w:val="22"/>
                <w:lang w:eastAsia="en-ZA"/>
              </w:rPr>
              <w:t xml:space="preserve"> </w:t>
            </w:r>
            <w:r w:rsidRPr="009245BF">
              <w:rPr>
                <w:bCs/>
                <w:szCs w:val="22"/>
                <w:lang w:eastAsia="en-ZA"/>
              </w:rPr>
              <w:t xml:space="preserve">is used simultaneously with a regional anaesthetic technique, lower doses of </w:t>
            </w:r>
            <w:r w:rsidR="006932F9">
              <w:rPr>
                <w:b/>
                <w:bCs/>
                <w:szCs w:val="22"/>
                <w:lang w:eastAsia="en-ZA"/>
              </w:rPr>
              <w:t>Propofol B. Braun</w:t>
            </w:r>
            <w:r>
              <w:rPr>
                <w:b/>
                <w:bCs/>
                <w:szCs w:val="22"/>
                <w:lang w:eastAsia="en-ZA"/>
              </w:rPr>
              <w:t xml:space="preserve"> </w:t>
            </w:r>
            <w:r w:rsidRPr="009245BF">
              <w:rPr>
                <w:bCs/>
                <w:szCs w:val="22"/>
                <w:lang w:eastAsia="en-ZA"/>
              </w:rPr>
              <w:t>may be required.</w:t>
            </w:r>
          </w:p>
        </w:tc>
      </w:tr>
      <w:tr w:rsidR="00376ADE" w:rsidRPr="009245BF" w14:paraId="0B55F7D6" w14:textId="25B80F36" w:rsidTr="000D7AB1">
        <w:tc>
          <w:tcPr>
            <w:tcW w:w="11070" w:type="dxa"/>
          </w:tcPr>
          <w:p w14:paraId="7B4F3E1B" w14:textId="1B103D0C"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A. ADULTS</w:t>
            </w:r>
          </w:p>
          <w:p w14:paraId="2A0E93E3" w14:textId="77777777"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Induction of general anaesthesia:</w:t>
            </w:r>
          </w:p>
          <w:p w14:paraId="150A5307" w14:textId="3BFB109F" w:rsidR="00376ADE" w:rsidRPr="009245BF" w:rsidRDefault="006932F9" w:rsidP="009245BF">
            <w:pPr>
              <w:autoSpaceDE w:val="0"/>
              <w:autoSpaceDN w:val="0"/>
              <w:adjustRightInd w:val="0"/>
              <w:spacing w:line="480" w:lineRule="auto"/>
              <w:rPr>
                <w:b/>
                <w:bCs/>
                <w:strike/>
                <w:szCs w:val="22"/>
                <w:lang w:eastAsia="en-ZA"/>
              </w:rPr>
            </w:pPr>
            <w:r>
              <w:rPr>
                <w:b/>
                <w:bCs/>
                <w:szCs w:val="22"/>
                <w:lang w:eastAsia="en-ZA"/>
              </w:rPr>
              <w:t>Propofol B. Braun</w:t>
            </w:r>
            <w:r w:rsidR="00376ADE">
              <w:rPr>
                <w:b/>
                <w:bCs/>
                <w:szCs w:val="22"/>
                <w:lang w:eastAsia="en-ZA"/>
              </w:rPr>
              <w:t xml:space="preserve"> </w:t>
            </w:r>
            <w:r w:rsidR="00376ADE" w:rsidRPr="009245BF">
              <w:rPr>
                <w:bCs/>
                <w:szCs w:val="22"/>
                <w:lang w:eastAsia="en-ZA"/>
              </w:rPr>
              <w:t xml:space="preserve">should be used to induce anaesthesia by infusion and only in those patients who will receive </w:t>
            </w:r>
            <w:r>
              <w:rPr>
                <w:b/>
                <w:bCs/>
                <w:szCs w:val="22"/>
                <w:lang w:eastAsia="en-ZA"/>
              </w:rPr>
              <w:t>Propofol B. Braun</w:t>
            </w:r>
            <w:r w:rsidR="00376ADE">
              <w:rPr>
                <w:b/>
                <w:bCs/>
                <w:szCs w:val="22"/>
                <w:lang w:eastAsia="en-ZA"/>
              </w:rPr>
              <w:t xml:space="preserve"> </w:t>
            </w:r>
            <w:r w:rsidR="00376ADE" w:rsidRPr="009245BF">
              <w:rPr>
                <w:bCs/>
                <w:szCs w:val="22"/>
                <w:lang w:eastAsia="en-ZA"/>
              </w:rPr>
              <w:t>for maintenance of anaesthesia.</w:t>
            </w:r>
          </w:p>
        </w:tc>
      </w:tr>
      <w:tr w:rsidR="00376ADE" w:rsidRPr="009245BF" w14:paraId="6C10E63F" w14:textId="39934DAD" w:rsidTr="000D7AB1">
        <w:tc>
          <w:tcPr>
            <w:tcW w:w="11070" w:type="dxa"/>
          </w:tcPr>
          <w:p w14:paraId="68230C49" w14:textId="58F98A0C"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 xml:space="preserve">In unpremedicated and premedicated patients:  </w:t>
            </w:r>
          </w:p>
          <w:p w14:paraId="0FFFE617" w14:textId="4C36CD11" w:rsidR="00376ADE" w:rsidRPr="009245BF" w:rsidRDefault="00376ADE" w:rsidP="00B52AE6">
            <w:pPr>
              <w:autoSpaceDE w:val="0"/>
              <w:autoSpaceDN w:val="0"/>
              <w:adjustRightInd w:val="0"/>
              <w:spacing w:line="480" w:lineRule="auto"/>
              <w:rPr>
                <w:bCs/>
                <w:strike/>
                <w:szCs w:val="22"/>
                <w:lang w:eastAsia="en-ZA"/>
              </w:rPr>
            </w:pPr>
            <w:r w:rsidRPr="009245BF">
              <w:rPr>
                <w:bCs/>
                <w:szCs w:val="22"/>
                <w:lang w:eastAsia="en-ZA"/>
              </w:rPr>
              <w:t xml:space="preserve">Most adult patients aged less than 55 years are likely to </w:t>
            </w:r>
            <w:r>
              <w:rPr>
                <w:bCs/>
                <w:szCs w:val="22"/>
                <w:lang w:eastAsia="en-ZA"/>
              </w:rPr>
              <w:t xml:space="preserve">require 1,5 to 2,5 mg/kg (0,075 - </w:t>
            </w:r>
            <w:r w:rsidRPr="009245BF">
              <w:rPr>
                <w:bCs/>
                <w:szCs w:val="22"/>
                <w:lang w:eastAsia="en-ZA"/>
              </w:rPr>
              <w:t>0,125 m</w:t>
            </w:r>
            <w:r>
              <w:rPr>
                <w:bCs/>
                <w:szCs w:val="22"/>
                <w:lang w:eastAsia="en-ZA"/>
              </w:rPr>
              <w:t>L</w:t>
            </w:r>
            <w:r w:rsidRPr="009245BF">
              <w:rPr>
                <w:bCs/>
                <w:szCs w:val="22"/>
                <w:lang w:eastAsia="en-ZA"/>
              </w:rPr>
              <w:t xml:space="preserve">/kg) of </w:t>
            </w:r>
            <w:r w:rsidR="006932F9">
              <w:rPr>
                <w:b/>
                <w:bCs/>
                <w:szCs w:val="22"/>
                <w:lang w:eastAsia="en-ZA"/>
              </w:rPr>
              <w:t>Propofol B. Braun</w:t>
            </w:r>
            <w:r w:rsidRPr="009245BF">
              <w:rPr>
                <w:bCs/>
                <w:szCs w:val="22"/>
                <w:lang w:eastAsia="en-ZA"/>
              </w:rPr>
              <w:t xml:space="preserve">, (approximately 40 mg every 10 seconds in an average healthy adult) by infusion titrated </w:t>
            </w:r>
            <w:r w:rsidRPr="009245BF">
              <w:rPr>
                <w:bCs/>
                <w:szCs w:val="22"/>
                <w:lang w:eastAsia="en-ZA"/>
              </w:rPr>
              <w:lastRenderedPageBreak/>
              <w:t>against the response of the patient until clinical signs show onset of anaesthesia. The total dose required can be reduced by lower r</w:t>
            </w:r>
            <w:r>
              <w:rPr>
                <w:bCs/>
                <w:szCs w:val="22"/>
                <w:lang w:eastAsia="en-ZA"/>
              </w:rPr>
              <w:t>ates of administration (20-50 mg/min [1-2,5 mL</w:t>
            </w:r>
            <w:r w:rsidRPr="009245BF">
              <w:rPr>
                <w:bCs/>
                <w:szCs w:val="22"/>
                <w:lang w:eastAsia="en-ZA"/>
              </w:rPr>
              <w:t>/min]). Over the age of 55 years the requirement will generally be less. In patients of ASA Grades 3 and 4, lower rates of administration should be used (approximately 20 mg [1 m</w:t>
            </w:r>
            <w:r>
              <w:rPr>
                <w:bCs/>
                <w:szCs w:val="22"/>
                <w:lang w:eastAsia="en-ZA"/>
              </w:rPr>
              <w:t>L</w:t>
            </w:r>
            <w:r w:rsidRPr="009245BF">
              <w:rPr>
                <w:bCs/>
                <w:szCs w:val="22"/>
                <w:lang w:eastAsia="en-ZA"/>
              </w:rPr>
              <w:t>] every 10 seconds).</w:t>
            </w:r>
          </w:p>
        </w:tc>
      </w:tr>
      <w:tr w:rsidR="00376ADE" w:rsidRPr="009245BF" w14:paraId="28947B52" w14:textId="1F97C654" w:rsidTr="000D7AB1">
        <w:tc>
          <w:tcPr>
            <w:tcW w:w="11070" w:type="dxa"/>
          </w:tcPr>
          <w:p w14:paraId="22E4C63B" w14:textId="2A6C8C18"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lastRenderedPageBreak/>
              <w:t>Maintenance of general anaesthesia:</w:t>
            </w:r>
          </w:p>
          <w:p w14:paraId="662BC82F" w14:textId="766EC20A" w:rsidR="00376ADE" w:rsidRPr="009245BF" w:rsidRDefault="00376ADE" w:rsidP="009245BF">
            <w:pPr>
              <w:autoSpaceDE w:val="0"/>
              <w:autoSpaceDN w:val="0"/>
              <w:adjustRightInd w:val="0"/>
              <w:spacing w:line="480" w:lineRule="auto"/>
              <w:rPr>
                <w:bCs/>
                <w:szCs w:val="22"/>
                <w:u w:val="single"/>
                <w:lang w:eastAsia="en-ZA"/>
              </w:rPr>
            </w:pPr>
            <w:r w:rsidRPr="009245BF">
              <w:rPr>
                <w:bCs/>
                <w:szCs w:val="22"/>
                <w:lang w:eastAsia="en-ZA"/>
              </w:rPr>
              <w:t xml:space="preserve">Anaesthesia can be maintained by administering </w:t>
            </w:r>
            <w:r w:rsidR="006932F9">
              <w:rPr>
                <w:b/>
                <w:bCs/>
                <w:szCs w:val="22"/>
                <w:lang w:eastAsia="en-ZA"/>
              </w:rPr>
              <w:t>Propofol B. Braun</w:t>
            </w:r>
            <w:r>
              <w:rPr>
                <w:b/>
                <w:bCs/>
                <w:szCs w:val="22"/>
                <w:lang w:eastAsia="en-ZA"/>
              </w:rPr>
              <w:t xml:space="preserve"> </w:t>
            </w:r>
            <w:r w:rsidRPr="009245BF">
              <w:rPr>
                <w:bCs/>
                <w:szCs w:val="22"/>
                <w:lang w:eastAsia="en-ZA"/>
              </w:rPr>
              <w:t>by continuous infusion to prevent the clinical signs of light anaesthesia.</w:t>
            </w:r>
          </w:p>
        </w:tc>
      </w:tr>
      <w:tr w:rsidR="00376ADE" w:rsidRPr="009245BF" w14:paraId="0554DF96" w14:textId="4D9E8E42" w:rsidTr="000D7AB1">
        <w:tc>
          <w:tcPr>
            <w:tcW w:w="11070" w:type="dxa"/>
          </w:tcPr>
          <w:p w14:paraId="1EAD568A" w14:textId="475898BA"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Infusion:</w:t>
            </w:r>
          </w:p>
          <w:p w14:paraId="7ADDBB67" w14:textId="7ECAC59C" w:rsidR="00376ADE" w:rsidRDefault="00376ADE" w:rsidP="009245BF">
            <w:pPr>
              <w:autoSpaceDE w:val="0"/>
              <w:autoSpaceDN w:val="0"/>
              <w:adjustRightInd w:val="0"/>
              <w:spacing w:line="480" w:lineRule="auto"/>
              <w:rPr>
                <w:bCs/>
                <w:szCs w:val="22"/>
                <w:lang w:eastAsia="en-ZA"/>
              </w:rPr>
            </w:pPr>
            <w:r w:rsidRPr="009245BF">
              <w:rPr>
                <w:bCs/>
                <w:szCs w:val="22"/>
                <w:lang w:eastAsia="en-ZA"/>
              </w:rPr>
              <w:t>The average rate of administration varies between patients, but rates in the region of 4 to 12 mg/kg/hr (0,2</w:t>
            </w:r>
            <w:r>
              <w:rPr>
                <w:bCs/>
                <w:szCs w:val="22"/>
                <w:lang w:eastAsia="en-ZA"/>
              </w:rPr>
              <w:t xml:space="preserve"> -0,6 ml</w:t>
            </w:r>
            <w:r w:rsidRPr="009245BF">
              <w:rPr>
                <w:bCs/>
                <w:szCs w:val="22"/>
                <w:lang w:eastAsia="en-ZA"/>
              </w:rPr>
              <w:t>/kg/hr) usually maintain satisfactory anaesthesia.</w:t>
            </w:r>
          </w:p>
          <w:p w14:paraId="3BA85A2F" w14:textId="77777777" w:rsidR="00376ADE" w:rsidRPr="009245BF" w:rsidRDefault="00376ADE" w:rsidP="009245BF">
            <w:pPr>
              <w:autoSpaceDE w:val="0"/>
              <w:autoSpaceDN w:val="0"/>
              <w:adjustRightInd w:val="0"/>
              <w:spacing w:line="480" w:lineRule="auto"/>
              <w:rPr>
                <w:bCs/>
                <w:szCs w:val="22"/>
                <w:lang w:eastAsia="en-ZA"/>
              </w:rPr>
            </w:pPr>
          </w:p>
          <w:p w14:paraId="55E3620B" w14:textId="276B655E" w:rsidR="00376ADE" w:rsidRPr="009245BF" w:rsidRDefault="00376ADE" w:rsidP="009245BF">
            <w:pPr>
              <w:autoSpaceDE w:val="0"/>
              <w:autoSpaceDN w:val="0"/>
              <w:adjustRightInd w:val="0"/>
              <w:spacing w:line="480" w:lineRule="auto"/>
              <w:rPr>
                <w:bCs/>
                <w:i/>
                <w:szCs w:val="22"/>
                <w:lang w:eastAsia="en-ZA"/>
              </w:rPr>
            </w:pPr>
            <w:r w:rsidRPr="009245BF">
              <w:rPr>
                <w:bCs/>
                <w:szCs w:val="22"/>
                <w:lang w:eastAsia="en-ZA"/>
              </w:rPr>
              <w:t>Slightly higher rates of administration may be required for 10 to 20 minutes after induction of anaesthesia.</w:t>
            </w:r>
          </w:p>
        </w:tc>
      </w:tr>
      <w:tr w:rsidR="00376ADE" w:rsidRPr="009245BF" w14:paraId="6C06ED3F" w14:textId="4603DCC2" w:rsidTr="000D7AB1">
        <w:tc>
          <w:tcPr>
            <w:tcW w:w="11070" w:type="dxa"/>
          </w:tcPr>
          <w:p w14:paraId="1F3B4F9F" w14:textId="56A6F787"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 xml:space="preserve">Sedation during intensive care: </w:t>
            </w:r>
          </w:p>
          <w:p w14:paraId="416A403B" w14:textId="13C97788" w:rsidR="00376ADE" w:rsidRDefault="00376ADE" w:rsidP="009245BF">
            <w:pPr>
              <w:autoSpaceDE w:val="0"/>
              <w:autoSpaceDN w:val="0"/>
              <w:adjustRightInd w:val="0"/>
              <w:spacing w:line="480" w:lineRule="auto"/>
              <w:rPr>
                <w:bCs/>
                <w:szCs w:val="22"/>
                <w:lang w:eastAsia="en-ZA"/>
              </w:rPr>
            </w:pPr>
            <w:r w:rsidRPr="009245BF">
              <w:rPr>
                <w:bCs/>
                <w:szCs w:val="22"/>
                <w:lang w:eastAsia="en-ZA"/>
              </w:rPr>
              <w:t xml:space="preserve">To provide sedation for ventilated adult patients undergoing intensive care, it is recommended that </w:t>
            </w:r>
            <w:r w:rsidR="006932F9">
              <w:rPr>
                <w:b/>
                <w:bCs/>
                <w:szCs w:val="22"/>
                <w:lang w:eastAsia="en-ZA"/>
              </w:rPr>
              <w:t>Propofol B. Braun</w:t>
            </w:r>
            <w:r>
              <w:rPr>
                <w:b/>
                <w:bCs/>
                <w:szCs w:val="22"/>
                <w:lang w:eastAsia="en-ZA"/>
              </w:rPr>
              <w:t xml:space="preserve"> </w:t>
            </w:r>
            <w:r w:rsidRPr="009245BF">
              <w:rPr>
                <w:bCs/>
                <w:szCs w:val="22"/>
                <w:lang w:eastAsia="en-ZA"/>
              </w:rPr>
              <w:t>be given by continuous infusion, for up to 72 hours. Adjust infusion rate according to the depth of sedation required. Rates of 0,3-</w:t>
            </w:r>
            <w:r>
              <w:rPr>
                <w:bCs/>
                <w:szCs w:val="22"/>
                <w:lang w:eastAsia="en-ZA"/>
              </w:rPr>
              <w:t xml:space="preserve"> </w:t>
            </w:r>
            <w:r w:rsidRPr="009245BF">
              <w:rPr>
                <w:bCs/>
                <w:szCs w:val="22"/>
                <w:lang w:eastAsia="en-ZA"/>
              </w:rPr>
              <w:t>4,0 mg/kg/hr should achieve satisfactory sedation. Rates above 4,0 mg/kg/hr are not recommend</w:t>
            </w:r>
            <w:r>
              <w:rPr>
                <w:bCs/>
                <w:szCs w:val="22"/>
                <w:lang w:eastAsia="en-ZA"/>
              </w:rPr>
              <w:t>ed</w:t>
            </w:r>
            <w:r w:rsidRPr="009245BF">
              <w:rPr>
                <w:bCs/>
                <w:szCs w:val="22"/>
                <w:lang w:eastAsia="en-ZA"/>
              </w:rPr>
              <w:t>.</w:t>
            </w:r>
          </w:p>
          <w:p w14:paraId="56393C02" w14:textId="77777777" w:rsidR="00376ADE" w:rsidRPr="009245BF" w:rsidRDefault="00376ADE" w:rsidP="009245BF">
            <w:pPr>
              <w:autoSpaceDE w:val="0"/>
              <w:autoSpaceDN w:val="0"/>
              <w:adjustRightInd w:val="0"/>
              <w:spacing w:line="480" w:lineRule="auto"/>
              <w:rPr>
                <w:bCs/>
                <w:szCs w:val="22"/>
                <w:lang w:eastAsia="en-ZA"/>
              </w:rPr>
            </w:pPr>
          </w:p>
          <w:p w14:paraId="242EFD7D" w14:textId="77777777" w:rsidR="00376ADE" w:rsidRDefault="00376ADE" w:rsidP="009245BF">
            <w:pPr>
              <w:autoSpaceDE w:val="0"/>
              <w:autoSpaceDN w:val="0"/>
              <w:adjustRightInd w:val="0"/>
              <w:spacing w:line="480" w:lineRule="auto"/>
              <w:rPr>
                <w:bCs/>
                <w:szCs w:val="22"/>
                <w:lang w:eastAsia="en-ZA"/>
              </w:rPr>
            </w:pPr>
            <w:r w:rsidRPr="009245BF">
              <w:rPr>
                <w:bCs/>
                <w:szCs w:val="22"/>
                <w:lang w:eastAsia="en-ZA"/>
              </w:rPr>
              <w:t>To provide sedation for surgical and diagnostic procedures rates of administration should be individualised and titrated to clinical response.</w:t>
            </w:r>
          </w:p>
          <w:p w14:paraId="1CF17486" w14:textId="77777777" w:rsidR="00376ADE" w:rsidRPr="009245BF" w:rsidRDefault="00376ADE" w:rsidP="009245BF">
            <w:pPr>
              <w:autoSpaceDE w:val="0"/>
              <w:autoSpaceDN w:val="0"/>
              <w:adjustRightInd w:val="0"/>
              <w:spacing w:line="480" w:lineRule="auto"/>
              <w:rPr>
                <w:bCs/>
                <w:szCs w:val="22"/>
                <w:lang w:eastAsia="en-ZA"/>
              </w:rPr>
            </w:pPr>
          </w:p>
          <w:p w14:paraId="39BF6706" w14:textId="77777777" w:rsidR="00376ADE" w:rsidRDefault="00376ADE" w:rsidP="009245BF">
            <w:pPr>
              <w:autoSpaceDE w:val="0"/>
              <w:autoSpaceDN w:val="0"/>
              <w:adjustRightInd w:val="0"/>
              <w:spacing w:line="480" w:lineRule="auto"/>
              <w:rPr>
                <w:bCs/>
                <w:szCs w:val="22"/>
                <w:lang w:eastAsia="en-ZA"/>
              </w:rPr>
            </w:pPr>
            <w:r w:rsidRPr="009245BF">
              <w:rPr>
                <w:bCs/>
                <w:szCs w:val="22"/>
                <w:lang w:eastAsia="en-ZA"/>
              </w:rPr>
              <w:t>Most patients will require 0,5 to 1 mg/kg over 1 to 5 minutes to initiate sedation.</w:t>
            </w:r>
          </w:p>
          <w:p w14:paraId="760FF119" w14:textId="77777777" w:rsidR="00376ADE" w:rsidRPr="009245BF" w:rsidRDefault="00376ADE" w:rsidP="009245BF">
            <w:pPr>
              <w:autoSpaceDE w:val="0"/>
              <w:autoSpaceDN w:val="0"/>
              <w:adjustRightInd w:val="0"/>
              <w:spacing w:line="480" w:lineRule="auto"/>
              <w:rPr>
                <w:bCs/>
                <w:szCs w:val="22"/>
                <w:lang w:eastAsia="en-ZA"/>
              </w:rPr>
            </w:pPr>
          </w:p>
          <w:p w14:paraId="21681B10" w14:textId="6DEC8601" w:rsidR="00376ADE" w:rsidRPr="00A03DC6" w:rsidRDefault="00376ADE" w:rsidP="00D2001D">
            <w:pPr>
              <w:autoSpaceDE w:val="0"/>
              <w:autoSpaceDN w:val="0"/>
              <w:adjustRightInd w:val="0"/>
              <w:spacing w:line="480" w:lineRule="auto"/>
              <w:rPr>
                <w:bCs/>
                <w:strike/>
                <w:szCs w:val="22"/>
                <w:lang w:eastAsia="en-ZA"/>
              </w:rPr>
            </w:pPr>
            <w:r w:rsidRPr="009245BF">
              <w:rPr>
                <w:bCs/>
                <w:szCs w:val="22"/>
                <w:lang w:eastAsia="en-ZA"/>
              </w:rPr>
              <w:t xml:space="preserve">Maintenance of sedation may be accomplished by titrating </w:t>
            </w:r>
            <w:r w:rsidR="006932F9">
              <w:rPr>
                <w:b/>
                <w:bCs/>
                <w:szCs w:val="22"/>
                <w:lang w:eastAsia="en-ZA"/>
              </w:rPr>
              <w:t>Propofol B. Braun</w:t>
            </w:r>
            <w:r>
              <w:rPr>
                <w:b/>
                <w:bCs/>
                <w:szCs w:val="22"/>
                <w:lang w:eastAsia="en-ZA"/>
              </w:rPr>
              <w:t xml:space="preserve"> </w:t>
            </w:r>
            <w:r w:rsidRPr="009245BF">
              <w:rPr>
                <w:bCs/>
                <w:szCs w:val="22"/>
                <w:lang w:eastAsia="en-ZA"/>
              </w:rPr>
              <w:t xml:space="preserve">infusion to the desired level of sedation - most patients will require 1,5 to 4,5 mg/kg/hr. </w:t>
            </w:r>
          </w:p>
        </w:tc>
      </w:tr>
      <w:tr w:rsidR="00376ADE" w:rsidRPr="009245BF" w14:paraId="0E696109" w14:textId="2BA6AC61" w:rsidTr="000D7AB1">
        <w:tc>
          <w:tcPr>
            <w:tcW w:w="11070" w:type="dxa"/>
          </w:tcPr>
          <w:p w14:paraId="4E77B03A" w14:textId="74AC6DA2" w:rsidR="00376ADE" w:rsidRPr="009245BF" w:rsidRDefault="00376ADE" w:rsidP="00A1476E">
            <w:pPr>
              <w:autoSpaceDE w:val="0"/>
              <w:autoSpaceDN w:val="0"/>
              <w:adjustRightInd w:val="0"/>
              <w:spacing w:line="480" w:lineRule="auto"/>
              <w:ind w:left="-70"/>
              <w:rPr>
                <w:bCs/>
                <w:i/>
                <w:szCs w:val="22"/>
                <w:lang w:eastAsia="en-ZA"/>
              </w:rPr>
            </w:pPr>
            <w:r>
              <w:rPr>
                <w:bCs/>
                <w:i/>
                <w:szCs w:val="22"/>
                <w:lang w:eastAsia="en-ZA"/>
              </w:rPr>
              <w:t xml:space="preserve">B. </w:t>
            </w:r>
            <w:r w:rsidRPr="009245BF">
              <w:rPr>
                <w:bCs/>
                <w:i/>
                <w:szCs w:val="22"/>
                <w:lang w:eastAsia="en-ZA"/>
              </w:rPr>
              <w:t>ELDERLY PATIENTS</w:t>
            </w:r>
          </w:p>
          <w:p w14:paraId="47C3E206" w14:textId="3A4E5892" w:rsidR="00376ADE" w:rsidRPr="009245BF" w:rsidRDefault="00376ADE" w:rsidP="00D2001D">
            <w:pPr>
              <w:autoSpaceDE w:val="0"/>
              <w:autoSpaceDN w:val="0"/>
              <w:adjustRightInd w:val="0"/>
              <w:spacing w:line="480" w:lineRule="auto"/>
              <w:rPr>
                <w:bCs/>
                <w:szCs w:val="22"/>
                <w:lang w:eastAsia="en-ZA"/>
              </w:rPr>
            </w:pPr>
            <w:r w:rsidRPr="009245BF">
              <w:rPr>
                <w:bCs/>
                <w:szCs w:val="22"/>
                <w:lang w:eastAsia="en-ZA"/>
              </w:rPr>
              <w:lastRenderedPageBreak/>
              <w:t xml:space="preserve">In elderly patients the dose requirement for induction of anaesthesia with </w:t>
            </w:r>
            <w:r w:rsidR="006932F9">
              <w:rPr>
                <w:b/>
                <w:bCs/>
                <w:szCs w:val="22"/>
                <w:lang w:eastAsia="en-ZA"/>
              </w:rPr>
              <w:t>Propofol B. Braun</w:t>
            </w:r>
            <w:r>
              <w:rPr>
                <w:b/>
                <w:bCs/>
                <w:szCs w:val="22"/>
                <w:lang w:eastAsia="en-ZA"/>
              </w:rPr>
              <w:t xml:space="preserve"> </w:t>
            </w:r>
            <w:r w:rsidRPr="009245BF">
              <w:rPr>
                <w:bCs/>
                <w:szCs w:val="22"/>
                <w:lang w:eastAsia="en-ZA"/>
              </w:rPr>
              <w:t xml:space="preserve">is reduced. The reduction should take account of the physical status and age of the patient. The reduced dose should be given at a slower rate and titrated against the response. Where </w:t>
            </w:r>
            <w:r w:rsidR="006932F9">
              <w:rPr>
                <w:b/>
                <w:bCs/>
                <w:szCs w:val="22"/>
                <w:lang w:eastAsia="en-ZA"/>
              </w:rPr>
              <w:t>Propofol B. Braun</w:t>
            </w:r>
            <w:r>
              <w:rPr>
                <w:b/>
                <w:bCs/>
                <w:szCs w:val="22"/>
                <w:lang w:eastAsia="en-ZA"/>
              </w:rPr>
              <w:t xml:space="preserve"> </w:t>
            </w:r>
            <w:r w:rsidRPr="009245BF">
              <w:rPr>
                <w:bCs/>
                <w:szCs w:val="22"/>
                <w:lang w:eastAsia="en-ZA"/>
              </w:rPr>
              <w:t>is used for maintenance of anaesthesia or sedation the rate of infusion or "target concentration" should also be reduced. Patients of ASA Grades 3 and 4 will require further reductions in dose and dose rate.</w:t>
            </w:r>
          </w:p>
        </w:tc>
      </w:tr>
      <w:tr w:rsidR="00376ADE" w:rsidRPr="009245BF" w14:paraId="0342EDA8" w14:textId="2A77007C" w:rsidTr="000D7AB1">
        <w:tc>
          <w:tcPr>
            <w:tcW w:w="11070" w:type="dxa"/>
          </w:tcPr>
          <w:p w14:paraId="0CD9545E" w14:textId="3B0F8A0F" w:rsidR="00376ADE" w:rsidRPr="009245BF" w:rsidRDefault="00376ADE" w:rsidP="009245BF">
            <w:pPr>
              <w:autoSpaceDE w:val="0"/>
              <w:autoSpaceDN w:val="0"/>
              <w:adjustRightInd w:val="0"/>
              <w:spacing w:line="480" w:lineRule="auto"/>
              <w:rPr>
                <w:bCs/>
                <w:i/>
                <w:szCs w:val="22"/>
                <w:lang w:eastAsia="en-ZA"/>
              </w:rPr>
            </w:pPr>
            <w:r>
              <w:rPr>
                <w:bCs/>
                <w:i/>
                <w:szCs w:val="22"/>
                <w:lang w:eastAsia="en-ZA"/>
              </w:rPr>
              <w:lastRenderedPageBreak/>
              <w:t xml:space="preserve">C. </w:t>
            </w:r>
            <w:r w:rsidRPr="009245BF">
              <w:rPr>
                <w:bCs/>
                <w:i/>
                <w:szCs w:val="22"/>
                <w:lang w:eastAsia="en-ZA"/>
              </w:rPr>
              <w:t>CHILDREN</w:t>
            </w:r>
          </w:p>
          <w:p w14:paraId="08864C0E" w14:textId="77777777"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Induction of general anaesthesia:</w:t>
            </w:r>
          </w:p>
          <w:p w14:paraId="23206784" w14:textId="64AC95DE" w:rsidR="00376ADE" w:rsidRPr="009245BF" w:rsidRDefault="006932F9" w:rsidP="009245BF">
            <w:pPr>
              <w:autoSpaceDE w:val="0"/>
              <w:autoSpaceDN w:val="0"/>
              <w:adjustRightInd w:val="0"/>
              <w:spacing w:line="480" w:lineRule="auto"/>
              <w:rPr>
                <w:bCs/>
                <w:szCs w:val="22"/>
                <w:lang w:eastAsia="en-ZA"/>
              </w:rPr>
            </w:pPr>
            <w:r>
              <w:rPr>
                <w:b/>
                <w:bCs/>
                <w:szCs w:val="22"/>
                <w:lang w:eastAsia="en-ZA"/>
              </w:rPr>
              <w:t>Propofol B. Braun</w:t>
            </w:r>
            <w:r w:rsidR="00376ADE">
              <w:rPr>
                <w:b/>
                <w:bCs/>
                <w:szCs w:val="22"/>
                <w:lang w:eastAsia="en-ZA"/>
              </w:rPr>
              <w:t xml:space="preserve"> </w:t>
            </w:r>
            <w:r w:rsidR="00376ADE" w:rsidRPr="009245BF">
              <w:rPr>
                <w:bCs/>
                <w:szCs w:val="22"/>
                <w:lang w:eastAsia="en-ZA"/>
              </w:rPr>
              <w:t>is not recommended for use in children</w:t>
            </w:r>
            <w:r w:rsidR="00376ADE">
              <w:rPr>
                <w:bCs/>
                <w:szCs w:val="22"/>
                <w:lang w:eastAsia="en-ZA"/>
              </w:rPr>
              <w:t xml:space="preserve"> less than 3 years of age (see </w:t>
            </w:r>
            <w:r w:rsidR="00376ADE" w:rsidRPr="00D2001D">
              <w:rPr>
                <w:bCs/>
                <w:szCs w:val="22"/>
                <w:lang w:eastAsia="en-ZA"/>
              </w:rPr>
              <w:t>Section 4.3, 4.4 and 4.8).</w:t>
            </w:r>
          </w:p>
          <w:p w14:paraId="2D2FEFCC" w14:textId="553DD415"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 xml:space="preserve">It is recommended that </w:t>
            </w:r>
            <w:r w:rsidR="006932F9">
              <w:rPr>
                <w:b/>
                <w:bCs/>
                <w:szCs w:val="22"/>
                <w:lang w:eastAsia="en-ZA"/>
              </w:rPr>
              <w:t>Propofol B. Braun</w:t>
            </w:r>
            <w:r w:rsidRPr="009245BF">
              <w:rPr>
                <w:b/>
                <w:bCs/>
                <w:szCs w:val="22"/>
                <w:lang w:eastAsia="en-ZA"/>
              </w:rPr>
              <w:t xml:space="preserve"> </w:t>
            </w:r>
            <w:r w:rsidRPr="009245BF">
              <w:rPr>
                <w:bCs/>
                <w:szCs w:val="22"/>
                <w:lang w:eastAsia="en-ZA"/>
              </w:rPr>
              <w:t xml:space="preserve">be given slowly until the clinical signs show the onset of anaesthesia. Adjust dose for age and/or weight. Most patients over 8 years of age are likely to require approximately 2,5 mg/kg (0,125 ml/kg) of </w:t>
            </w:r>
            <w:r w:rsidR="006932F9">
              <w:rPr>
                <w:b/>
                <w:bCs/>
                <w:szCs w:val="22"/>
                <w:lang w:eastAsia="en-ZA"/>
              </w:rPr>
              <w:t>Propofol B. Braun</w:t>
            </w:r>
            <w:r>
              <w:rPr>
                <w:b/>
                <w:bCs/>
                <w:szCs w:val="22"/>
                <w:lang w:eastAsia="en-ZA"/>
              </w:rPr>
              <w:t xml:space="preserve"> </w:t>
            </w:r>
            <w:r w:rsidRPr="009245BF">
              <w:rPr>
                <w:bCs/>
                <w:szCs w:val="22"/>
                <w:lang w:eastAsia="en-ZA"/>
              </w:rPr>
              <w:t>for induction. Between the ages of 3 and 8 years the requirement may be more. Lower dosage is recommended for children of ASA Grades 3 and 4.</w:t>
            </w:r>
          </w:p>
          <w:p w14:paraId="1731B469" w14:textId="77777777" w:rsidR="00376ADE" w:rsidRPr="009245BF" w:rsidRDefault="00376ADE" w:rsidP="009245BF">
            <w:pPr>
              <w:autoSpaceDE w:val="0"/>
              <w:autoSpaceDN w:val="0"/>
              <w:adjustRightInd w:val="0"/>
              <w:spacing w:line="480" w:lineRule="auto"/>
              <w:rPr>
                <w:bCs/>
                <w:szCs w:val="22"/>
                <w:lang w:eastAsia="en-ZA"/>
              </w:rPr>
            </w:pPr>
          </w:p>
          <w:p w14:paraId="230F2B78" w14:textId="77777777"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Maintenance of general anaesthesia:</w:t>
            </w:r>
          </w:p>
          <w:p w14:paraId="18036394" w14:textId="10535333" w:rsidR="00376ADE" w:rsidRDefault="006932F9" w:rsidP="009245BF">
            <w:pPr>
              <w:autoSpaceDE w:val="0"/>
              <w:autoSpaceDN w:val="0"/>
              <w:adjustRightInd w:val="0"/>
              <w:spacing w:line="480" w:lineRule="auto"/>
              <w:rPr>
                <w:bCs/>
                <w:szCs w:val="22"/>
                <w:lang w:eastAsia="en-ZA"/>
              </w:rPr>
            </w:pPr>
            <w:r>
              <w:rPr>
                <w:b/>
                <w:bCs/>
                <w:szCs w:val="22"/>
                <w:lang w:eastAsia="en-ZA"/>
              </w:rPr>
              <w:t>Propofol B. Braun</w:t>
            </w:r>
            <w:r w:rsidR="00376ADE">
              <w:rPr>
                <w:b/>
                <w:bCs/>
                <w:szCs w:val="22"/>
                <w:lang w:eastAsia="en-ZA"/>
              </w:rPr>
              <w:t xml:space="preserve"> </w:t>
            </w:r>
            <w:r w:rsidR="00376ADE" w:rsidRPr="009245BF">
              <w:rPr>
                <w:bCs/>
                <w:szCs w:val="22"/>
                <w:lang w:eastAsia="en-ZA"/>
              </w:rPr>
              <w:t>is not recommended for use in children less than 3 years of age.</w:t>
            </w:r>
          </w:p>
          <w:p w14:paraId="5B6ED9A0" w14:textId="381A67B6"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 xml:space="preserve">Administer </w:t>
            </w:r>
            <w:r w:rsidR="006932F9">
              <w:rPr>
                <w:b/>
                <w:bCs/>
                <w:szCs w:val="22"/>
                <w:lang w:eastAsia="en-ZA"/>
              </w:rPr>
              <w:t>Propofol B. Braun</w:t>
            </w:r>
            <w:r>
              <w:rPr>
                <w:b/>
                <w:bCs/>
                <w:szCs w:val="22"/>
                <w:lang w:eastAsia="en-ZA"/>
              </w:rPr>
              <w:t xml:space="preserve"> </w:t>
            </w:r>
            <w:r>
              <w:rPr>
                <w:bCs/>
                <w:szCs w:val="22"/>
                <w:lang w:eastAsia="en-ZA"/>
              </w:rPr>
              <w:t xml:space="preserve">by infusion to maintain the </w:t>
            </w:r>
            <w:r w:rsidRPr="009245BF">
              <w:rPr>
                <w:bCs/>
                <w:szCs w:val="22"/>
                <w:lang w:eastAsia="en-ZA"/>
              </w:rPr>
              <w:t>depth of anaesthesia required. The required rate of administration varies considerably between p</w:t>
            </w:r>
            <w:r>
              <w:rPr>
                <w:bCs/>
                <w:szCs w:val="22"/>
                <w:lang w:eastAsia="en-ZA"/>
              </w:rPr>
              <w:t xml:space="preserve">atients. 9 to 15 mg/kg/hr (0,45 - </w:t>
            </w:r>
            <w:r w:rsidRPr="009245BF">
              <w:rPr>
                <w:bCs/>
                <w:szCs w:val="22"/>
                <w:lang w:eastAsia="en-ZA"/>
              </w:rPr>
              <w:t>0,75 ml/kg/hr) usually achieves satisfactory anaesthesia.</w:t>
            </w:r>
          </w:p>
          <w:p w14:paraId="469FBC25" w14:textId="77777777" w:rsidR="00376ADE" w:rsidRPr="009245BF" w:rsidRDefault="00376ADE" w:rsidP="009245BF">
            <w:pPr>
              <w:autoSpaceDE w:val="0"/>
              <w:autoSpaceDN w:val="0"/>
              <w:adjustRightInd w:val="0"/>
              <w:spacing w:line="480" w:lineRule="auto"/>
              <w:rPr>
                <w:bCs/>
                <w:i/>
                <w:szCs w:val="22"/>
                <w:lang w:eastAsia="en-ZA"/>
              </w:rPr>
            </w:pPr>
            <w:r w:rsidRPr="009245BF">
              <w:rPr>
                <w:bCs/>
                <w:i/>
                <w:szCs w:val="22"/>
                <w:lang w:eastAsia="en-ZA"/>
              </w:rPr>
              <w:t>Sedation during intensive care:</w:t>
            </w:r>
          </w:p>
          <w:p w14:paraId="7901BC4B" w14:textId="4E5BCABF" w:rsidR="00376ADE" w:rsidRPr="009245BF" w:rsidRDefault="006932F9" w:rsidP="009245BF">
            <w:pPr>
              <w:autoSpaceDE w:val="0"/>
              <w:autoSpaceDN w:val="0"/>
              <w:adjustRightInd w:val="0"/>
              <w:spacing w:line="480" w:lineRule="auto"/>
              <w:rPr>
                <w:bCs/>
                <w:szCs w:val="22"/>
                <w:lang w:eastAsia="en-ZA"/>
              </w:rPr>
            </w:pPr>
            <w:r>
              <w:rPr>
                <w:b/>
                <w:bCs/>
                <w:szCs w:val="22"/>
                <w:lang w:eastAsia="en-ZA"/>
              </w:rPr>
              <w:t>Propofol B. Braun</w:t>
            </w:r>
            <w:r w:rsidR="00376ADE">
              <w:rPr>
                <w:b/>
                <w:bCs/>
                <w:szCs w:val="22"/>
                <w:lang w:eastAsia="en-ZA"/>
              </w:rPr>
              <w:t xml:space="preserve"> </w:t>
            </w:r>
            <w:r w:rsidR="00376ADE" w:rsidRPr="009245BF">
              <w:rPr>
                <w:bCs/>
                <w:szCs w:val="22"/>
                <w:lang w:eastAsia="en-ZA"/>
              </w:rPr>
              <w:t>is not recommended for sedation in children as safety and efficacy have not been demonstrated. Although no causal relationship has been established, serious adverse events (including fatalities) have been observed from spontaneous reports of unlicensed use and these events were seen most often in children with respiratory tract infections, given doses in excess of those recommended for adults.</w:t>
            </w:r>
          </w:p>
          <w:p w14:paraId="22F8D1B4" w14:textId="77777777" w:rsidR="00376ADE" w:rsidRDefault="00376ADE" w:rsidP="009245BF">
            <w:pPr>
              <w:autoSpaceDE w:val="0"/>
              <w:autoSpaceDN w:val="0"/>
              <w:adjustRightInd w:val="0"/>
              <w:spacing w:line="480" w:lineRule="auto"/>
              <w:rPr>
                <w:bCs/>
                <w:szCs w:val="22"/>
                <w:lang w:eastAsia="en-ZA"/>
              </w:rPr>
            </w:pPr>
            <w:r w:rsidRPr="009245BF">
              <w:rPr>
                <w:bCs/>
                <w:szCs w:val="22"/>
                <w:lang w:eastAsia="en-ZA"/>
              </w:rPr>
              <w:t>Associated findings include metabolic acidosis, lipaemia, rhabdomyolysis, cardiac irregularities and renal failure.</w:t>
            </w:r>
          </w:p>
          <w:p w14:paraId="3E91A927" w14:textId="77777777" w:rsidR="00376ADE" w:rsidRDefault="00376ADE" w:rsidP="009245BF">
            <w:pPr>
              <w:autoSpaceDE w:val="0"/>
              <w:autoSpaceDN w:val="0"/>
              <w:adjustRightInd w:val="0"/>
              <w:spacing w:line="480" w:lineRule="auto"/>
              <w:rPr>
                <w:bCs/>
                <w:szCs w:val="22"/>
                <w:lang w:eastAsia="en-ZA"/>
              </w:rPr>
            </w:pPr>
          </w:p>
          <w:p w14:paraId="6518D918" w14:textId="751310EF" w:rsidR="00376ADE" w:rsidRPr="009245BF" w:rsidRDefault="00376ADE" w:rsidP="009245BF">
            <w:pPr>
              <w:autoSpaceDE w:val="0"/>
              <w:autoSpaceDN w:val="0"/>
              <w:adjustRightInd w:val="0"/>
              <w:spacing w:line="480" w:lineRule="auto"/>
              <w:rPr>
                <w:bCs/>
                <w:i/>
                <w:szCs w:val="22"/>
                <w:lang w:eastAsia="en-ZA"/>
              </w:rPr>
            </w:pPr>
            <w:r>
              <w:rPr>
                <w:bCs/>
                <w:szCs w:val="22"/>
                <w:lang w:eastAsia="en-ZA"/>
              </w:rPr>
              <w:t>The duration of administration must not exceed 72 hours</w:t>
            </w:r>
          </w:p>
        </w:tc>
      </w:tr>
      <w:tr w:rsidR="00376ADE" w:rsidRPr="009245BF" w14:paraId="281ABE3E" w14:textId="4EF5D352" w:rsidTr="000D7AB1">
        <w:tc>
          <w:tcPr>
            <w:tcW w:w="11070" w:type="dxa"/>
          </w:tcPr>
          <w:p w14:paraId="25012724" w14:textId="78A4D6FA" w:rsidR="00376ADE" w:rsidRPr="00D2001D" w:rsidRDefault="00376ADE" w:rsidP="009245BF">
            <w:pPr>
              <w:autoSpaceDE w:val="0"/>
              <w:autoSpaceDN w:val="0"/>
              <w:adjustRightInd w:val="0"/>
              <w:spacing w:line="480" w:lineRule="auto"/>
              <w:rPr>
                <w:b/>
                <w:bCs/>
                <w:szCs w:val="22"/>
                <w:lang w:eastAsia="en-ZA"/>
              </w:rPr>
            </w:pPr>
            <w:r w:rsidRPr="00D2001D">
              <w:rPr>
                <w:b/>
                <w:bCs/>
                <w:szCs w:val="22"/>
                <w:lang w:eastAsia="en-ZA"/>
              </w:rPr>
              <w:lastRenderedPageBreak/>
              <w:t xml:space="preserve">Method of administration </w:t>
            </w:r>
          </w:p>
          <w:p w14:paraId="4081CC85" w14:textId="24EDA81A" w:rsidR="00376ADE" w:rsidRPr="00D2001D" w:rsidRDefault="00376ADE" w:rsidP="00B7371F">
            <w:pPr>
              <w:autoSpaceDE w:val="0"/>
              <w:autoSpaceDN w:val="0"/>
              <w:adjustRightInd w:val="0"/>
              <w:spacing w:line="480" w:lineRule="auto"/>
              <w:rPr>
                <w:bCs/>
                <w:szCs w:val="22"/>
                <w:lang w:eastAsia="en-ZA"/>
              </w:rPr>
            </w:pPr>
            <w:r w:rsidRPr="00D2001D">
              <w:rPr>
                <w:bCs/>
                <w:szCs w:val="22"/>
                <w:lang w:eastAsia="en-ZA"/>
              </w:rPr>
              <w:t xml:space="preserve">Administration of </w:t>
            </w:r>
            <w:r w:rsidR="006932F9">
              <w:rPr>
                <w:b/>
                <w:bCs/>
                <w:szCs w:val="22"/>
                <w:lang w:eastAsia="en-ZA"/>
              </w:rPr>
              <w:t>Propofol B. Braun</w:t>
            </w:r>
            <w:r w:rsidRPr="00D2001D">
              <w:rPr>
                <w:b/>
                <w:bCs/>
                <w:szCs w:val="22"/>
                <w:lang w:eastAsia="en-ZA"/>
              </w:rPr>
              <w:t xml:space="preserve"> </w:t>
            </w:r>
            <w:r w:rsidRPr="00D2001D">
              <w:rPr>
                <w:bCs/>
                <w:szCs w:val="22"/>
                <w:lang w:eastAsia="en-ZA"/>
              </w:rPr>
              <w:t xml:space="preserve">by bolus injection is not recommended. </w:t>
            </w:r>
          </w:p>
          <w:p w14:paraId="00F446EC" w14:textId="77777777" w:rsidR="00376ADE" w:rsidRPr="00D2001D" w:rsidRDefault="00376ADE" w:rsidP="00B7371F">
            <w:pPr>
              <w:autoSpaceDE w:val="0"/>
              <w:autoSpaceDN w:val="0"/>
              <w:adjustRightInd w:val="0"/>
              <w:spacing w:line="480" w:lineRule="auto"/>
              <w:rPr>
                <w:bCs/>
                <w:szCs w:val="22"/>
                <w:lang w:eastAsia="en-ZA"/>
              </w:rPr>
            </w:pPr>
          </w:p>
          <w:p w14:paraId="36518894" w14:textId="25A19068" w:rsidR="00376ADE" w:rsidRPr="00D2001D" w:rsidRDefault="006932F9" w:rsidP="00B7371F">
            <w:pPr>
              <w:autoSpaceDE w:val="0"/>
              <w:autoSpaceDN w:val="0"/>
              <w:adjustRightInd w:val="0"/>
              <w:spacing w:line="480" w:lineRule="auto"/>
              <w:rPr>
                <w:bCs/>
                <w:szCs w:val="22"/>
                <w:lang w:eastAsia="en-ZA"/>
              </w:rPr>
            </w:pPr>
            <w:r>
              <w:rPr>
                <w:b/>
                <w:bCs/>
                <w:szCs w:val="22"/>
                <w:lang w:eastAsia="en-ZA"/>
              </w:rPr>
              <w:t>Propofol B. Braun</w:t>
            </w:r>
            <w:r w:rsidR="00376ADE" w:rsidRPr="00D2001D">
              <w:rPr>
                <w:b/>
                <w:bCs/>
                <w:szCs w:val="22"/>
                <w:lang w:eastAsia="en-ZA"/>
              </w:rPr>
              <w:t xml:space="preserve"> </w:t>
            </w:r>
            <w:r w:rsidR="00376ADE" w:rsidRPr="00D2001D">
              <w:rPr>
                <w:bCs/>
                <w:szCs w:val="22"/>
                <w:lang w:eastAsia="en-ZA"/>
              </w:rPr>
              <w:t xml:space="preserve">must be used undiluted. It is recommended that equipment such as drop counters, syringe pumps or volumetric infusion pumps should always be used to control infusion rates. </w:t>
            </w:r>
            <w:r>
              <w:rPr>
                <w:b/>
                <w:bCs/>
                <w:szCs w:val="22"/>
                <w:lang w:eastAsia="en-ZA"/>
              </w:rPr>
              <w:t>Propofol B. Braun</w:t>
            </w:r>
            <w:r w:rsidR="00376ADE" w:rsidRPr="00D2001D">
              <w:rPr>
                <w:b/>
                <w:bCs/>
                <w:szCs w:val="22"/>
                <w:lang w:eastAsia="en-ZA"/>
              </w:rPr>
              <w:t xml:space="preserve"> </w:t>
            </w:r>
            <w:r w:rsidR="00376ADE" w:rsidRPr="00D2001D">
              <w:rPr>
                <w:bCs/>
                <w:szCs w:val="22"/>
                <w:lang w:eastAsia="en-ZA"/>
              </w:rPr>
              <w:t xml:space="preserve">can be used for infusion undiluted from glass infusion bottles, plastic syringes, or </w:t>
            </w:r>
            <w:r>
              <w:rPr>
                <w:b/>
                <w:bCs/>
                <w:szCs w:val="22"/>
                <w:lang w:eastAsia="en-ZA"/>
              </w:rPr>
              <w:t>Propofol B. Braun</w:t>
            </w:r>
            <w:r w:rsidR="00376ADE" w:rsidRPr="00D2001D">
              <w:rPr>
                <w:bCs/>
                <w:szCs w:val="22"/>
                <w:lang w:eastAsia="en-ZA"/>
              </w:rPr>
              <w:t xml:space="preserve"> pre-filled syringes.</w:t>
            </w:r>
          </w:p>
          <w:p w14:paraId="796D361F" w14:textId="77777777" w:rsidR="00376ADE" w:rsidRPr="00DA7B31" w:rsidRDefault="00376ADE" w:rsidP="00B7371F">
            <w:pPr>
              <w:autoSpaceDE w:val="0"/>
              <w:autoSpaceDN w:val="0"/>
              <w:adjustRightInd w:val="0"/>
              <w:spacing w:line="480" w:lineRule="auto"/>
              <w:rPr>
                <w:bCs/>
                <w:szCs w:val="22"/>
                <w:u w:val="dash"/>
                <w:lang w:eastAsia="en-ZA"/>
              </w:rPr>
            </w:pPr>
          </w:p>
          <w:p w14:paraId="097C88E7" w14:textId="6B320113" w:rsidR="00376ADE" w:rsidRPr="00D2001D" w:rsidRDefault="006932F9" w:rsidP="00B7371F">
            <w:pPr>
              <w:autoSpaceDE w:val="0"/>
              <w:autoSpaceDN w:val="0"/>
              <w:adjustRightInd w:val="0"/>
              <w:spacing w:line="480" w:lineRule="auto"/>
              <w:rPr>
                <w:bCs/>
                <w:szCs w:val="22"/>
                <w:lang w:eastAsia="en-ZA"/>
              </w:rPr>
            </w:pPr>
            <w:r>
              <w:rPr>
                <w:b/>
                <w:bCs/>
                <w:szCs w:val="22"/>
                <w:lang w:eastAsia="en-ZA"/>
              </w:rPr>
              <w:t>Propofol B. Braun</w:t>
            </w:r>
            <w:r w:rsidR="00376ADE" w:rsidRPr="00D2001D">
              <w:rPr>
                <w:b/>
                <w:bCs/>
                <w:szCs w:val="22"/>
                <w:lang w:eastAsia="en-ZA"/>
              </w:rPr>
              <w:t xml:space="preserve"> </w:t>
            </w:r>
            <w:r w:rsidR="00376ADE" w:rsidRPr="00D2001D">
              <w:rPr>
                <w:bCs/>
                <w:szCs w:val="22"/>
                <w:lang w:eastAsia="en-ZA"/>
              </w:rPr>
              <w:t>may be administered via a Y-piece close to the injection site, into intravenous infusions of dextrose 5 % or sodium chloride 0,9 %.</w:t>
            </w:r>
          </w:p>
          <w:p w14:paraId="099CB161" w14:textId="6BBB7824" w:rsidR="00376ADE" w:rsidRPr="00D2001D" w:rsidRDefault="00376ADE" w:rsidP="00B7371F">
            <w:pPr>
              <w:autoSpaceDE w:val="0"/>
              <w:autoSpaceDN w:val="0"/>
              <w:adjustRightInd w:val="0"/>
              <w:spacing w:line="480" w:lineRule="auto"/>
              <w:rPr>
                <w:bCs/>
                <w:szCs w:val="22"/>
                <w:lang w:eastAsia="en-ZA"/>
              </w:rPr>
            </w:pPr>
            <w:r w:rsidRPr="00D2001D">
              <w:rPr>
                <w:bCs/>
                <w:szCs w:val="22"/>
                <w:lang w:eastAsia="en-ZA"/>
              </w:rPr>
              <w:t xml:space="preserve">It is recommended that blood lipid levels be monitored routinely should </w:t>
            </w:r>
            <w:r w:rsidR="006932F9">
              <w:rPr>
                <w:b/>
                <w:bCs/>
                <w:szCs w:val="22"/>
                <w:lang w:eastAsia="en-ZA"/>
              </w:rPr>
              <w:t>Propofol B. Braun</w:t>
            </w:r>
            <w:r w:rsidRPr="00D2001D">
              <w:rPr>
                <w:b/>
                <w:bCs/>
                <w:szCs w:val="22"/>
                <w:lang w:eastAsia="en-ZA"/>
              </w:rPr>
              <w:t xml:space="preserve"> </w:t>
            </w:r>
            <w:r w:rsidRPr="00D2001D">
              <w:rPr>
                <w:bCs/>
                <w:szCs w:val="22"/>
                <w:lang w:eastAsia="en-ZA"/>
              </w:rPr>
              <w:t xml:space="preserve">be administered to patients thought to be at particular risk of fat overload. Administration of </w:t>
            </w:r>
            <w:r w:rsidR="006932F9">
              <w:rPr>
                <w:b/>
                <w:bCs/>
                <w:szCs w:val="22"/>
                <w:lang w:eastAsia="en-ZA"/>
              </w:rPr>
              <w:t>Propofol B. Braun</w:t>
            </w:r>
            <w:r w:rsidRPr="00D2001D">
              <w:rPr>
                <w:b/>
                <w:bCs/>
                <w:szCs w:val="22"/>
                <w:lang w:eastAsia="en-ZA"/>
              </w:rPr>
              <w:t xml:space="preserve"> </w:t>
            </w:r>
            <w:r w:rsidRPr="00D2001D">
              <w:rPr>
                <w:bCs/>
                <w:szCs w:val="22"/>
                <w:lang w:eastAsia="en-ZA"/>
              </w:rPr>
              <w:t xml:space="preserve">should be adjusted appropriately if the monitoring indicates that fat is being inadequately cleared from the body. If the patient is receiving other intravenous lipid concurrently, a reduction in quantity should be made in order to take account of the amount of lipid infused as part of the </w:t>
            </w:r>
            <w:r w:rsidR="006932F9">
              <w:rPr>
                <w:b/>
                <w:bCs/>
                <w:szCs w:val="22"/>
                <w:lang w:eastAsia="en-ZA"/>
              </w:rPr>
              <w:t>Propofol B. Braun</w:t>
            </w:r>
            <w:r w:rsidRPr="00D2001D">
              <w:rPr>
                <w:b/>
                <w:bCs/>
                <w:szCs w:val="22"/>
                <w:lang w:eastAsia="en-ZA"/>
              </w:rPr>
              <w:t xml:space="preserve"> </w:t>
            </w:r>
            <w:r w:rsidRPr="00D2001D">
              <w:rPr>
                <w:bCs/>
                <w:szCs w:val="22"/>
                <w:lang w:eastAsia="en-ZA"/>
              </w:rPr>
              <w:t xml:space="preserve">formulation; 1,0 mL of </w:t>
            </w:r>
            <w:r w:rsidR="006932F9">
              <w:rPr>
                <w:b/>
                <w:bCs/>
                <w:szCs w:val="22"/>
                <w:lang w:eastAsia="en-ZA"/>
              </w:rPr>
              <w:t>Propofol B. Braun</w:t>
            </w:r>
            <w:r w:rsidRPr="00D2001D">
              <w:rPr>
                <w:b/>
                <w:bCs/>
                <w:szCs w:val="22"/>
                <w:lang w:eastAsia="en-ZA"/>
              </w:rPr>
              <w:t xml:space="preserve"> </w:t>
            </w:r>
            <w:r w:rsidRPr="00D2001D">
              <w:rPr>
                <w:bCs/>
                <w:szCs w:val="22"/>
                <w:lang w:eastAsia="en-ZA"/>
              </w:rPr>
              <w:t>contains 0,1 g of fat.</w:t>
            </w:r>
          </w:p>
          <w:p w14:paraId="5B4D9733" w14:textId="77777777" w:rsidR="00376ADE" w:rsidRPr="00DA7B31" w:rsidRDefault="00376ADE" w:rsidP="00B7371F">
            <w:pPr>
              <w:autoSpaceDE w:val="0"/>
              <w:autoSpaceDN w:val="0"/>
              <w:adjustRightInd w:val="0"/>
              <w:spacing w:line="480" w:lineRule="auto"/>
              <w:rPr>
                <w:bCs/>
                <w:szCs w:val="22"/>
                <w:u w:val="dash"/>
                <w:lang w:eastAsia="en-ZA"/>
              </w:rPr>
            </w:pPr>
          </w:p>
          <w:p w14:paraId="59C9E128" w14:textId="303A542A" w:rsidR="00376ADE" w:rsidRPr="00D2001D" w:rsidRDefault="00376ADE" w:rsidP="00B7371F">
            <w:pPr>
              <w:autoSpaceDE w:val="0"/>
              <w:autoSpaceDN w:val="0"/>
              <w:adjustRightInd w:val="0"/>
              <w:spacing w:line="480" w:lineRule="auto"/>
              <w:rPr>
                <w:bCs/>
                <w:i/>
                <w:szCs w:val="22"/>
                <w:lang w:eastAsia="en-ZA"/>
              </w:rPr>
            </w:pPr>
            <w:r w:rsidRPr="00D2001D">
              <w:rPr>
                <w:bCs/>
                <w:szCs w:val="22"/>
                <w:lang w:eastAsia="en-ZA"/>
              </w:rPr>
              <w:t xml:space="preserve">Patients with hypovolaemia should have fluid-volume deficits corrected prior to administration of </w:t>
            </w:r>
            <w:r w:rsidR="006932F9">
              <w:rPr>
                <w:b/>
                <w:bCs/>
                <w:szCs w:val="22"/>
                <w:lang w:eastAsia="en-ZA"/>
              </w:rPr>
              <w:t>Propofol B. Braun</w:t>
            </w:r>
            <w:r w:rsidRPr="00D2001D">
              <w:rPr>
                <w:b/>
                <w:bCs/>
                <w:szCs w:val="22"/>
                <w:lang w:eastAsia="en-ZA"/>
              </w:rPr>
              <w:t>.</w:t>
            </w:r>
          </w:p>
        </w:tc>
      </w:tr>
      <w:tr w:rsidR="00376ADE" w:rsidRPr="009245BF" w14:paraId="754E36A9" w14:textId="1A58D099" w:rsidTr="000D7AB1">
        <w:tc>
          <w:tcPr>
            <w:tcW w:w="11070" w:type="dxa"/>
          </w:tcPr>
          <w:p w14:paraId="52434D7C" w14:textId="0FFE12ED" w:rsidR="00376ADE" w:rsidRPr="00D2001D" w:rsidRDefault="00376ADE" w:rsidP="00B52AE6">
            <w:pPr>
              <w:autoSpaceDE w:val="0"/>
              <w:autoSpaceDN w:val="0"/>
              <w:adjustRightInd w:val="0"/>
              <w:spacing w:line="480" w:lineRule="auto"/>
              <w:rPr>
                <w:bCs/>
                <w:i/>
                <w:szCs w:val="22"/>
                <w:lang w:eastAsia="en-ZA"/>
              </w:rPr>
            </w:pPr>
            <w:r w:rsidRPr="00D2001D">
              <w:rPr>
                <w:bCs/>
                <w:i/>
                <w:szCs w:val="22"/>
                <w:lang w:eastAsia="en-ZA"/>
              </w:rPr>
              <w:t>General anaesthesia:</w:t>
            </w:r>
          </w:p>
          <w:p w14:paraId="7B007765" w14:textId="73B5378A" w:rsidR="00376ADE" w:rsidRPr="00D2001D" w:rsidRDefault="00376ADE" w:rsidP="00B52AE6">
            <w:pPr>
              <w:autoSpaceDE w:val="0"/>
              <w:autoSpaceDN w:val="0"/>
              <w:adjustRightInd w:val="0"/>
              <w:spacing w:line="480" w:lineRule="auto"/>
              <w:rPr>
                <w:bCs/>
                <w:szCs w:val="22"/>
                <w:lang w:eastAsia="en-ZA"/>
              </w:rPr>
            </w:pPr>
            <w:r w:rsidRPr="00D2001D">
              <w:rPr>
                <w:bCs/>
                <w:szCs w:val="22"/>
                <w:lang w:eastAsia="en-ZA"/>
              </w:rPr>
              <w:t xml:space="preserve">In accordance with established guidelines for other lipid emulsions a single infusion of </w:t>
            </w:r>
            <w:r w:rsidR="006932F9">
              <w:rPr>
                <w:b/>
                <w:bCs/>
                <w:szCs w:val="22"/>
                <w:lang w:eastAsia="en-ZA"/>
              </w:rPr>
              <w:t>Propofol B. Braun</w:t>
            </w:r>
            <w:r w:rsidRPr="00D2001D">
              <w:rPr>
                <w:bCs/>
                <w:szCs w:val="22"/>
                <w:lang w:eastAsia="en-ZA"/>
              </w:rPr>
              <w:t xml:space="preserve"> must not exceed 6 hours. The syringe or giving set and any unused portion of </w:t>
            </w:r>
            <w:r w:rsidR="006932F9" w:rsidRPr="006932F9">
              <w:rPr>
                <w:b/>
                <w:bCs/>
                <w:szCs w:val="22"/>
                <w:lang w:eastAsia="en-ZA"/>
              </w:rPr>
              <w:t>Propofol B. Braun</w:t>
            </w:r>
            <w:r w:rsidRPr="00D2001D">
              <w:rPr>
                <w:bCs/>
                <w:szCs w:val="22"/>
                <w:lang w:eastAsia="en-ZA"/>
              </w:rPr>
              <w:t xml:space="preserve"> or solution containing </w:t>
            </w:r>
            <w:r w:rsidR="006932F9">
              <w:rPr>
                <w:b/>
                <w:bCs/>
                <w:szCs w:val="22"/>
                <w:lang w:eastAsia="en-ZA"/>
              </w:rPr>
              <w:t>Propofol B. Braun</w:t>
            </w:r>
            <w:r w:rsidRPr="00D2001D">
              <w:rPr>
                <w:bCs/>
                <w:szCs w:val="22"/>
                <w:lang w:eastAsia="en-ZA"/>
              </w:rPr>
              <w:t xml:space="preserve"> must be discarded at the end of the surgical procedure, or at 6 hours, whichever is the sooner, and replaced as appropriate.</w:t>
            </w:r>
          </w:p>
          <w:p w14:paraId="7A27DA8D" w14:textId="77777777" w:rsidR="00376ADE" w:rsidRPr="00DA7B31" w:rsidRDefault="00376ADE" w:rsidP="00B52AE6">
            <w:pPr>
              <w:autoSpaceDE w:val="0"/>
              <w:autoSpaceDN w:val="0"/>
              <w:adjustRightInd w:val="0"/>
              <w:spacing w:line="480" w:lineRule="auto"/>
              <w:rPr>
                <w:bCs/>
                <w:szCs w:val="22"/>
                <w:u w:val="dash"/>
                <w:lang w:eastAsia="en-ZA"/>
              </w:rPr>
            </w:pPr>
          </w:p>
          <w:p w14:paraId="5BF1465D" w14:textId="77777777" w:rsidR="00376ADE" w:rsidRPr="00D2001D" w:rsidRDefault="00376ADE" w:rsidP="00B52AE6">
            <w:pPr>
              <w:autoSpaceDE w:val="0"/>
              <w:autoSpaceDN w:val="0"/>
              <w:adjustRightInd w:val="0"/>
              <w:spacing w:line="480" w:lineRule="auto"/>
              <w:rPr>
                <w:bCs/>
                <w:szCs w:val="22"/>
                <w:lang w:eastAsia="en-ZA"/>
              </w:rPr>
            </w:pPr>
            <w:r w:rsidRPr="00D2001D">
              <w:rPr>
                <w:bCs/>
                <w:szCs w:val="22"/>
                <w:lang w:eastAsia="en-ZA"/>
              </w:rPr>
              <w:t>Intensive care sedation:</w:t>
            </w:r>
          </w:p>
          <w:p w14:paraId="5225548C" w14:textId="1E30467B" w:rsidR="00376ADE" w:rsidRPr="00D2001D" w:rsidRDefault="00376ADE" w:rsidP="00B52AE6">
            <w:pPr>
              <w:autoSpaceDE w:val="0"/>
              <w:autoSpaceDN w:val="0"/>
              <w:adjustRightInd w:val="0"/>
              <w:spacing w:line="480" w:lineRule="auto"/>
              <w:rPr>
                <w:bCs/>
                <w:szCs w:val="22"/>
                <w:lang w:eastAsia="en-ZA"/>
              </w:rPr>
            </w:pPr>
            <w:r w:rsidRPr="00D2001D">
              <w:rPr>
                <w:bCs/>
                <w:szCs w:val="22"/>
                <w:lang w:eastAsia="en-ZA"/>
              </w:rPr>
              <w:t xml:space="preserve">Administration should commence promptly and must be completed within 12 hours after the vial has been spiked. The tubing and any unused portions of </w:t>
            </w:r>
            <w:r w:rsidR="006932F9">
              <w:rPr>
                <w:b/>
                <w:bCs/>
                <w:szCs w:val="22"/>
                <w:lang w:eastAsia="en-ZA"/>
              </w:rPr>
              <w:t>Propofol B. Braun</w:t>
            </w:r>
            <w:r w:rsidRPr="00D2001D">
              <w:rPr>
                <w:bCs/>
                <w:szCs w:val="22"/>
                <w:lang w:eastAsia="en-ZA"/>
              </w:rPr>
              <w:t xml:space="preserve"> must be discarded after 12 hours.</w:t>
            </w:r>
          </w:p>
          <w:p w14:paraId="7D2954E0" w14:textId="77777777" w:rsidR="00376ADE" w:rsidRPr="00D2001D" w:rsidRDefault="00376ADE" w:rsidP="00B52AE6">
            <w:pPr>
              <w:autoSpaceDE w:val="0"/>
              <w:autoSpaceDN w:val="0"/>
              <w:adjustRightInd w:val="0"/>
              <w:spacing w:line="480" w:lineRule="auto"/>
              <w:rPr>
                <w:bCs/>
                <w:szCs w:val="22"/>
                <w:lang w:eastAsia="en-ZA"/>
              </w:rPr>
            </w:pPr>
          </w:p>
          <w:p w14:paraId="18DFFBF4" w14:textId="26B85E6C" w:rsidR="00376ADE" w:rsidRPr="00DA7B31" w:rsidRDefault="00376ADE" w:rsidP="009245BF">
            <w:pPr>
              <w:autoSpaceDE w:val="0"/>
              <w:autoSpaceDN w:val="0"/>
              <w:adjustRightInd w:val="0"/>
              <w:spacing w:line="480" w:lineRule="auto"/>
              <w:rPr>
                <w:bCs/>
                <w:szCs w:val="22"/>
                <w:u w:val="dash"/>
                <w:lang w:eastAsia="en-ZA"/>
              </w:rPr>
            </w:pPr>
            <w:r w:rsidRPr="00D2001D">
              <w:rPr>
                <w:bCs/>
                <w:szCs w:val="22"/>
                <w:lang w:eastAsia="en-ZA"/>
              </w:rPr>
              <w:t xml:space="preserve">If </w:t>
            </w:r>
            <w:r w:rsidR="006932F9">
              <w:rPr>
                <w:b/>
                <w:bCs/>
                <w:szCs w:val="22"/>
                <w:lang w:eastAsia="en-ZA"/>
              </w:rPr>
              <w:t>Propofol B. Braun</w:t>
            </w:r>
            <w:r w:rsidRPr="00D2001D">
              <w:rPr>
                <w:bCs/>
                <w:szCs w:val="22"/>
                <w:lang w:eastAsia="en-ZA"/>
              </w:rPr>
              <w:t xml:space="preserve"> is transferred to a syringe or other container prior to administration, the handling procedures for "General anaesthesia" (above) should be followed and the product should be discarded and administration lines changed after 6 hours.</w:t>
            </w:r>
          </w:p>
        </w:tc>
      </w:tr>
      <w:tr w:rsidR="00376ADE" w:rsidRPr="00E425FC" w14:paraId="55933BBB" w14:textId="34C42082" w:rsidTr="000D7AB1">
        <w:tc>
          <w:tcPr>
            <w:tcW w:w="11070" w:type="dxa"/>
          </w:tcPr>
          <w:p w14:paraId="3AD7F479" w14:textId="35548208" w:rsidR="00376ADE" w:rsidRPr="00D2001D" w:rsidRDefault="00376ADE" w:rsidP="009245BF">
            <w:pPr>
              <w:pStyle w:val="ListParagraph"/>
              <w:numPr>
                <w:ilvl w:val="1"/>
                <w:numId w:val="4"/>
              </w:numPr>
              <w:autoSpaceDE w:val="0"/>
              <w:autoSpaceDN w:val="0"/>
              <w:adjustRightInd w:val="0"/>
              <w:spacing w:line="480" w:lineRule="auto"/>
              <w:ind w:left="781"/>
              <w:rPr>
                <w:rFonts w:ascii="Arial" w:hAnsi="Arial" w:cs="Arial"/>
                <w:b/>
                <w:bCs/>
                <w:lang w:eastAsia="en-ZA"/>
              </w:rPr>
            </w:pPr>
            <w:r w:rsidRPr="00D2001D">
              <w:rPr>
                <w:rFonts w:ascii="Arial" w:hAnsi="Arial" w:cs="Arial"/>
                <w:b/>
                <w:bCs/>
                <w:lang w:eastAsia="en-ZA"/>
              </w:rPr>
              <w:lastRenderedPageBreak/>
              <w:t xml:space="preserve"> Contraindications</w:t>
            </w:r>
          </w:p>
          <w:p w14:paraId="09CAA485" w14:textId="659ED12C" w:rsidR="00376ADE" w:rsidRPr="00D2001D" w:rsidRDefault="00376ADE" w:rsidP="00A1476E">
            <w:pPr>
              <w:pStyle w:val="ListParagraph"/>
              <w:numPr>
                <w:ilvl w:val="0"/>
                <w:numId w:val="40"/>
              </w:numPr>
              <w:autoSpaceDE w:val="0"/>
              <w:autoSpaceDN w:val="0"/>
              <w:adjustRightInd w:val="0"/>
              <w:spacing w:line="480" w:lineRule="auto"/>
              <w:ind w:left="356"/>
              <w:rPr>
                <w:rFonts w:ascii="Arial" w:hAnsi="Arial" w:cs="Arial"/>
                <w:bCs/>
                <w:lang w:eastAsia="en-ZA"/>
              </w:rPr>
            </w:pPr>
            <w:r w:rsidRPr="00D2001D">
              <w:rPr>
                <w:rFonts w:ascii="Arial" w:hAnsi="Arial" w:cs="Arial"/>
                <w:bCs/>
                <w:lang w:eastAsia="en-ZA"/>
              </w:rPr>
              <w:t xml:space="preserve">Hypersensitivity to the active substance propofol or to any of the excipients of </w:t>
            </w:r>
            <w:r w:rsidR="006932F9">
              <w:rPr>
                <w:rFonts w:ascii="Arial" w:hAnsi="Arial" w:cs="Arial"/>
                <w:b/>
                <w:bCs/>
                <w:lang w:eastAsia="en-ZA"/>
              </w:rPr>
              <w:t>Propofol B. Braun</w:t>
            </w:r>
            <w:r w:rsidRPr="00D2001D">
              <w:rPr>
                <w:rFonts w:ascii="Arial" w:hAnsi="Arial" w:cs="Arial"/>
                <w:bCs/>
                <w:lang w:eastAsia="en-ZA"/>
              </w:rPr>
              <w:t xml:space="preserve"> listed in section 6.1.</w:t>
            </w:r>
          </w:p>
          <w:p w14:paraId="3E163EA2" w14:textId="51E3FE11" w:rsidR="00376ADE" w:rsidRPr="00D2001D" w:rsidRDefault="006932F9" w:rsidP="00A1476E">
            <w:pPr>
              <w:pStyle w:val="ListParagraph"/>
              <w:numPr>
                <w:ilvl w:val="0"/>
                <w:numId w:val="40"/>
              </w:numPr>
              <w:autoSpaceDE w:val="0"/>
              <w:autoSpaceDN w:val="0"/>
              <w:adjustRightInd w:val="0"/>
              <w:spacing w:line="480" w:lineRule="auto"/>
              <w:ind w:left="356"/>
              <w:rPr>
                <w:rFonts w:ascii="Arial" w:hAnsi="Arial" w:cs="Arial"/>
                <w:bCs/>
                <w:lang w:eastAsia="en-ZA"/>
              </w:rPr>
            </w:pPr>
            <w:r>
              <w:rPr>
                <w:rFonts w:ascii="Arial" w:hAnsi="Arial" w:cs="Arial"/>
                <w:b/>
                <w:lang w:eastAsia="en-ZA"/>
              </w:rPr>
              <w:t>Propofol B. Braun</w:t>
            </w:r>
            <w:r w:rsidR="00376ADE" w:rsidRPr="00D2001D">
              <w:rPr>
                <w:rFonts w:ascii="Arial" w:hAnsi="Arial" w:cs="Arial"/>
                <w:bCs/>
                <w:lang w:eastAsia="en-ZA"/>
              </w:rPr>
              <w:t xml:space="preserve"> is not for use in children under the age of 3 years</w:t>
            </w:r>
          </w:p>
          <w:p w14:paraId="766DAF28" w14:textId="5AD035EC" w:rsidR="00376ADE" w:rsidRPr="00D2001D" w:rsidRDefault="006932F9" w:rsidP="00A1476E">
            <w:pPr>
              <w:pStyle w:val="ListParagraph"/>
              <w:numPr>
                <w:ilvl w:val="0"/>
                <w:numId w:val="40"/>
              </w:numPr>
              <w:autoSpaceDE w:val="0"/>
              <w:autoSpaceDN w:val="0"/>
              <w:adjustRightInd w:val="0"/>
              <w:spacing w:line="480" w:lineRule="auto"/>
              <w:ind w:left="356"/>
              <w:rPr>
                <w:rFonts w:ascii="Arial" w:hAnsi="Arial" w:cs="Arial"/>
                <w:bCs/>
                <w:lang w:eastAsia="en-ZA"/>
              </w:rPr>
            </w:pPr>
            <w:r>
              <w:rPr>
                <w:rFonts w:ascii="Arial" w:hAnsi="Arial" w:cs="Arial"/>
                <w:b/>
                <w:bCs/>
                <w:lang w:eastAsia="en-ZA"/>
              </w:rPr>
              <w:t>Propofol B. Braun</w:t>
            </w:r>
            <w:r w:rsidR="00376ADE" w:rsidRPr="00D2001D">
              <w:rPr>
                <w:rFonts w:ascii="Arial" w:hAnsi="Arial" w:cs="Arial"/>
                <w:b/>
                <w:bCs/>
                <w:lang w:eastAsia="en-ZA"/>
              </w:rPr>
              <w:t xml:space="preserve"> </w:t>
            </w:r>
            <w:r w:rsidR="00376ADE" w:rsidRPr="00D2001D">
              <w:rPr>
                <w:rFonts w:ascii="Arial" w:hAnsi="Arial" w:cs="Arial"/>
                <w:bCs/>
                <w:lang w:eastAsia="en-ZA"/>
              </w:rPr>
              <w:t>contains soya-bean oil and should not be used in patients who are hypersensitive to peanut or soya.</w:t>
            </w:r>
          </w:p>
          <w:p w14:paraId="3821A7B0" w14:textId="377362A6" w:rsidR="00376ADE" w:rsidRPr="00E425FC" w:rsidRDefault="006932F9" w:rsidP="00D2001D">
            <w:pPr>
              <w:pStyle w:val="ListParagraph"/>
              <w:numPr>
                <w:ilvl w:val="0"/>
                <w:numId w:val="40"/>
              </w:numPr>
              <w:autoSpaceDE w:val="0"/>
              <w:autoSpaceDN w:val="0"/>
              <w:adjustRightInd w:val="0"/>
              <w:spacing w:line="480" w:lineRule="auto"/>
              <w:ind w:left="356"/>
              <w:rPr>
                <w:bCs/>
                <w:i/>
                <w:lang w:eastAsia="en-ZA"/>
              </w:rPr>
            </w:pPr>
            <w:r>
              <w:rPr>
                <w:rFonts w:ascii="Arial" w:hAnsi="Arial" w:cs="Arial"/>
                <w:b/>
                <w:bCs/>
                <w:lang w:eastAsia="en-ZA"/>
              </w:rPr>
              <w:t>Propofol B. Braun</w:t>
            </w:r>
            <w:r w:rsidR="00376ADE" w:rsidRPr="00D2001D">
              <w:rPr>
                <w:rFonts w:ascii="Arial" w:hAnsi="Arial" w:cs="Arial"/>
                <w:b/>
                <w:bCs/>
                <w:lang w:eastAsia="en-ZA"/>
              </w:rPr>
              <w:t xml:space="preserve"> </w:t>
            </w:r>
            <w:r w:rsidR="00376ADE" w:rsidRPr="00D2001D">
              <w:rPr>
                <w:rFonts w:ascii="Arial" w:hAnsi="Arial" w:cs="Arial"/>
                <w:bCs/>
                <w:lang w:eastAsia="en-ZA"/>
              </w:rPr>
              <w:t>must not be used in patients of 16 years of age or younger for sedation for intensive care.</w:t>
            </w:r>
          </w:p>
          <w:p w14:paraId="623A86D0" w14:textId="0824E622" w:rsidR="00376ADE" w:rsidRPr="00376ADE" w:rsidRDefault="00376ADE" w:rsidP="00D2001D">
            <w:pPr>
              <w:pStyle w:val="ListParagraph"/>
              <w:numPr>
                <w:ilvl w:val="0"/>
                <w:numId w:val="40"/>
              </w:numPr>
              <w:autoSpaceDE w:val="0"/>
              <w:autoSpaceDN w:val="0"/>
              <w:adjustRightInd w:val="0"/>
              <w:spacing w:line="480" w:lineRule="auto"/>
              <w:ind w:left="356"/>
              <w:rPr>
                <w:bCs/>
                <w:i/>
                <w:lang w:eastAsia="en-ZA"/>
              </w:rPr>
            </w:pPr>
            <w:r w:rsidRPr="00376ADE">
              <w:rPr>
                <w:rFonts w:ascii="Arial" w:eastAsia="Times New Roman" w:hAnsi="Arial" w:cs="Arial"/>
                <w:szCs w:val="24"/>
                <w:lang w:val="en-GB"/>
              </w:rPr>
              <w:t>Sedation of children of all ages with croup or epiglottitis receiving intensive care.</w:t>
            </w:r>
          </w:p>
        </w:tc>
      </w:tr>
      <w:tr w:rsidR="00376ADE" w:rsidRPr="009245BF" w14:paraId="72FDA48B" w14:textId="5885A753" w:rsidTr="000D7AB1">
        <w:tc>
          <w:tcPr>
            <w:tcW w:w="11070" w:type="dxa"/>
          </w:tcPr>
          <w:p w14:paraId="7C960DEF" w14:textId="42916AE6" w:rsidR="00376ADE" w:rsidRPr="009245BF" w:rsidRDefault="00376ADE" w:rsidP="009245BF">
            <w:pPr>
              <w:pStyle w:val="ListParagraph"/>
              <w:numPr>
                <w:ilvl w:val="1"/>
                <w:numId w:val="4"/>
              </w:numPr>
              <w:autoSpaceDE w:val="0"/>
              <w:autoSpaceDN w:val="0"/>
              <w:adjustRightInd w:val="0"/>
              <w:spacing w:line="480" w:lineRule="auto"/>
              <w:ind w:left="356" w:hanging="426"/>
              <w:rPr>
                <w:rFonts w:ascii="Arial" w:hAnsi="Arial" w:cs="Arial"/>
                <w:b/>
                <w:bCs/>
                <w:lang w:eastAsia="en-ZA"/>
              </w:rPr>
            </w:pPr>
            <w:r w:rsidRPr="00E425FC">
              <w:rPr>
                <w:rFonts w:ascii="Arial" w:hAnsi="Arial" w:cs="Arial"/>
                <w:bCs/>
                <w:i/>
                <w:lang w:val="en-US" w:eastAsia="en-ZA"/>
              </w:rPr>
              <w:t xml:space="preserve"> </w:t>
            </w:r>
            <w:r w:rsidRPr="009245BF">
              <w:rPr>
                <w:rFonts w:ascii="Arial" w:hAnsi="Arial" w:cs="Arial"/>
                <w:b/>
                <w:bCs/>
                <w:lang w:eastAsia="en-ZA"/>
              </w:rPr>
              <w:t>Special warnings and precautions for use</w:t>
            </w:r>
          </w:p>
          <w:p w14:paraId="43E2962C" w14:textId="53737006" w:rsidR="00376ADE" w:rsidRPr="00D2001D" w:rsidRDefault="00376ADE" w:rsidP="00A1476E">
            <w:pPr>
              <w:autoSpaceDE w:val="0"/>
              <w:autoSpaceDN w:val="0"/>
              <w:adjustRightInd w:val="0"/>
              <w:spacing w:line="480" w:lineRule="auto"/>
              <w:rPr>
                <w:bCs/>
                <w:szCs w:val="22"/>
                <w:lang w:eastAsia="en-ZA"/>
              </w:rPr>
            </w:pPr>
            <w:r w:rsidRPr="00D2001D">
              <w:rPr>
                <w:bCs/>
                <w:szCs w:val="22"/>
                <w:lang w:eastAsia="en-ZA"/>
              </w:rPr>
              <w:t>Respiration will be depressed and must be monitored to ensure adequate gas exchange. Special care should be exercised when used with other respiratory depressants.</w:t>
            </w:r>
          </w:p>
          <w:p w14:paraId="46C13081" w14:textId="77777777" w:rsidR="00376ADE" w:rsidRPr="00D2001D" w:rsidRDefault="00376ADE" w:rsidP="00A1476E">
            <w:pPr>
              <w:autoSpaceDE w:val="0"/>
              <w:autoSpaceDN w:val="0"/>
              <w:adjustRightInd w:val="0"/>
              <w:spacing w:line="480" w:lineRule="auto"/>
              <w:rPr>
                <w:bCs/>
                <w:szCs w:val="22"/>
                <w:lang w:eastAsia="en-ZA"/>
              </w:rPr>
            </w:pPr>
          </w:p>
          <w:p w14:paraId="1C2045E6" w14:textId="4C610686" w:rsidR="00376ADE" w:rsidRPr="00D2001D" w:rsidRDefault="00376ADE" w:rsidP="008E7879">
            <w:pPr>
              <w:autoSpaceDE w:val="0"/>
              <w:autoSpaceDN w:val="0"/>
              <w:adjustRightInd w:val="0"/>
              <w:spacing w:line="480" w:lineRule="auto"/>
              <w:rPr>
                <w:bCs/>
                <w:szCs w:val="22"/>
                <w:lang w:eastAsia="en-ZA"/>
              </w:rPr>
            </w:pPr>
            <w:r w:rsidRPr="00D2001D">
              <w:rPr>
                <w:bCs/>
                <w:szCs w:val="22"/>
                <w:lang w:eastAsia="en-ZA"/>
              </w:rPr>
              <w:t>A generalised systemic reaction which may be anaphylactic in nature (including angioedema, bronchospasm, erythema and hypotension) may occur following propofol administration - estimated as 1 in 15 000.</w:t>
            </w:r>
          </w:p>
          <w:p w14:paraId="414422BD" w14:textId="77777777" w:rsidR="00376ADE" w:rsidRPr="00D2001D" w:rsidRDefault="00376ADE" w:rsidP="008E7879">
            <w:pPr>
              <w:autoSpaceDE w:val="0"/>
              <w:autoSpaceDN w:val="0"/>
              <w:adjustRightInd w:val="0"/>
              <w:spacing w:line="480" w:lineRule="auto"/>
              <w:rPr>
                <w:bCs/>
                <w:szCs w:val="22"/>
                <w:lang w:eastAsia="en-ZA"/>
              </w:rPr>
            </w:pPr>
          </w:p>
          <w:p w14:paraId="27DE0FFB" w14:textId="77777777"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lastRenderedPageBreak/>
              <w:t>The abuse of and dependence on propofol, predominantly by health care professionals, have been reported. As with other general anaesthetics, the administration of propofol without airway care may result in fatal respiratory complications.</w:t>
            </w:r>
          </w:p>
          <w:p w14:paraId="06CC4015" w14:textId="17ED8A6F" w:rsidR="00376ADE" w:rsidRPr="009245BF" w:rsidRDefault="00376ADE" w:rsidP="009245BF">
            <w:pPr>
              <w:autoSpaceDE w:val="0"/>
              <w:autoSpaceDN w:val="0"/>
              <w:adjustRightInd w:val="0"/>
              <w:spacing w:line="480" w:lineRule="auto"/>
              <w:rPr>
                <w:bCs/>
                <w:szCs w:val="22"/>
                <w:lang w:eastAsia="en-ZA"/>
              </w:rPr>
            </w:pPr>
            <w:r>
              <w:rPr>
                <w:bCs/>
                <w:szCs w:val="22"/>
                <w:lang w:eastAsia="en-ZA"/>
              </w:rPr>
              <w:t>W</w:t>
            </w:r>
            <w:r w:rsidRPr="009245BF">
              <w:rPr>
                <w:bCs/>
                <w:szCs w:val="22"/>
                <w:lang w:eastAsia="en-ZA"/>
              </w:rPr>
              <w:t xml:space="preserve">hen propofol is used for sedation during operative procedures, involuntary patient movements may occur. During procedures requiring immobility these movements may be hazardous to the operative site. </w:t>
            </w:r>
          </w:p>
          <w:p w14:paraId="64C3076B" w14:textId="77777777" w:rsidR="00376ADE" w:rsidRPr="009245BF" w:rsidRDefault="00376ADE" w:rsidP="009245BF">
            <w:pPr>
              <w:autoSpaceDE w:val="0"/>
              <w:autoSpaceDN w:val="0"/>
              <w:adjustRightInd w:val="0"/>
              <w:spacing w:line="480" w:lineRule="auto"/>
              <w:rPr>
                <w:bCs/>
                <w:szCs w:val="22"/>
                <w:lang w:eastAsia="en-ZA"/>
              </w:rPr>
            </w:pPr>
          </w:p>
          <w:p w14:paraId="29009101" w14:textId="0EE48BCF"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An adequate period is needed prior to discharge of the patient to ensure full recovery afte</w:t>
            </w:r>
            <w:r>
              <w:rPr>
                <w:bCs/>
                <w:szCs w:val="22"/>
                <w:lang w:eastAsia="en-ZA"/>
              </w:rPr>
              <w:t>r use of propofol. T</w:t>
            </w:r>
            <w:r w:rsidRPr="009245BF">
              <w:rPr>
                <w:bCs/>
                <w:szCs w:val="22"/>
                <w:lang w:eastAsia="en-ZA"/>
              </w:rPr>
              <w:t xml:space="preserve">he use of propofol may be associated with the development of a period of post-operative unconsciousness, which may be accompanied by an increase in muscle tone. This may or may not be preceded by a period of wakefulness. Although recovery is spontaneous, appropriate care of an unconscious patient should be administered. </w:t>
            </w:r>
          </w:p>
          <w:p w14:paraId="15C793E1" w14:textId="77777777" w:rsidR="00376ADE" w:rsidRPr="009245BF" w:rsidRDefault="00376ADE" w:rsidP="009245BF">
            <w:pPr>
              <w:autoSpaceDE w:val="0"/>
              <w:autoSpaceDN w:val="0"/>
              <w:adjustRightInd w:val="0"/>
              <w:spacing w:line="480" w:lineRule="auto"/>
              <w:rPr>
                <w:bCs/>
                <w:szCs w:val="22"/>
                <w:lang w:eastAsia="en-ZA"/>
              </w:rPr>
            </w:pPr>
          </w:p>
          <w:p w14:paraId="2480E147" w14:textId="77777777"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Propofol induced impairment is not generally detectable beyond 12 hours. The effects of propofol, the procedure, concomitant medications, the age and the condition of the patient should be considered when advising patients on:</w:t>
            </w:r>
          </w:p>
          <w:p w14:paraId="7F4F1FA7" w14:textId="4F14AB89" w:rsidR="00376ADE" w:rsidRPr="009245BF" w:rsidRDefault="00376ADE" w:rsidP="009245BF">
            <w:pPr>
              <w:pStyle w:val="ListParagraph"/>
              <w:numPr>
                <w:ilvl w:val="1"/>
                <w:numId w:val="34"/>
              </w:numPr>
              <w:autoSpaceDE w:val="0"/>
              <w:autoSpaceDN w:val="0"/>
              <w:adjustRightInd w:val="0"/>
              <w:spacing w:line="480" w:lineRule="auto"/>
              <w:ind w:left="356" w:hanging="284"/>
              <w:rPr>
                <w:rFonts w:ascii="Arial" w:hAnsi="Arial" w:cs="Arial"/>
                <w:bCs/>
                <w:lang w:eastAsia="en-ZA"/>
              </w:rPr>
            </w:pPr>
            <w:r w:rsidRPr="009245BF">
              <w:rPr>
                <w:rFonts w:ascii="Arial" w:hAnsi="Arial" w:cs="Arial"/>
                <w:bCs/>
                <w:lang w:eastAsia="en-ZA"/>
              </w:rPr>
              <w:t>The advisability of being accompanied on leaving the place of administration</w:t>
            </w:r>
          </w:p>
          <w:p w14:paraId="6D20C046" w14:textId="77777777" w:rsidR="00376ADE" w:rsidRPr="009245BF" w:rsidRDefault="00376ADE" w:rsidP="009245BF">
            <w:pPr>
              <w:pStyle w:val="ListParagraph"/>
              <w:numPr>
                <w:ilvl w:val="1"/>
                <w:numId w:val="34"/>
              </w:numPr>
              <w:autoSpaceDE w:val="0"/>
              <w:autoSpaceDN w:val="0"/>
              <w:adjustRightInd w:val="0"/>
              <w:spacing w:line="480" w:lineRule="auto"/>
              <w:ind w:left="356" w:hanging="284"/>
              <w:rPr>
                <w:rFonts w:ascii="Arial" w:hAnsi="Arial" w:cs="Arial"/>
                <w:bCs/>
                <w:lang w:eastAsia="en-ZA"/>
              </w:rPr>
            </w:pPr>
            <w:r w:rsidRPr="009245BF">
              <w:rPr>
                <w:rFonts w:ascii="Arial" w:hAnsi="Arial" w:cs="Arial"/>
                <w:bCs/>
                <w:lang w:eastAsia="en-ZA"/>
              </w:rPr>
              <w:t>The timing of recommencement of skilled or hazardous tasks such as driving</w:t>
            </w:r>
          </w:p>
          <w:p w14:paraId="1F2C4795" w14:textId="2231C3D1" w:rsidR="00376ADE" w:rsidRPr="00D2001D" w:rsidRDefault="00376ADE" w:rsidP="009245BF">
            <w:pPr>
              <w:pStyle w:val="ListParagraph"/>
              <w:numPr>
                <w:ilvl w:val="1"/>
                <w:numId w:val="34"/>
              </w:numPr>
              <w:autoSpaceDE w:val="0"/>
              <w:autoSpaceDN w:val="0"/>
              <w:adjustRightInd w:val="0"/>
              <w:spacing w:line="480" w:lineRule="auto"/>
              <w:ind w:left="356" w:hanging="284"/>
              <w:rPr>
                <w:rFonts w:ascii="Arial" w:hAnsi="Arial" w:cs="Arial"/>
                <w:bCs/>
                <w:lang w:eastAsia="en-ZA"/>
              </w:rPr>
            </w:pPr>
            <w:r w:rsidRPr="009245BF">
              <w:rPr>
                <w:rFonts w:ascii="Arial" w:hAnsi="Arial" w:cs="Arial"/>
                <w:bCs/>
                <w:lang w:eastAsia="en-ZA"/>
              </w:rPr>
              <w:t xml:space="preserve">The use of other </w:t>
            </w:r>
            <w:r w:rsidRPr="00D2001D">
              <w:rPr>
                <w:rFonts w:ascii="Arial" w:hAnsi="Arial" w:cs="Arial"/>
                <w:bCs/>
                <w:lang w:eastAsia="en-ZA"/>
              </w:rPr>
              <w:t>medicine</w:t>
            </w:r>
            <w:r w:rsidRPr="007A42FB">
              <w:rPr>
                <w:rFonts w:ascii="Arial" w:hAnsi="Arial" w:cs="Arial"/>
                <w:bCs/>
                <w:lang w:eastAsia="en-ZA"/>
              </w:rPr>
              <w:t>s</w:t>
            </w:r>
            <w:r w:rsidRPr="00D2001D">
              <w:rPr>
                <w:rFonts w:ascii="Arial" w:hAnsi="Arial" w:cs="Arial"/>
                <w:bCs/>
                <w:lang w:eastAsia="en-ZA"/>
              </w:rPr>
              <w:t xml:space="preserve"> that may sedate (e.g. benzodiazepines, opiates, alcohol). </w:t>
            </w:r>
          </w:p>
          <w:p w14:paraId="00C2E784" w14:textId="77777777" w:rsidR="00376ADE" w:rsidRPr="00D2001D" w:rsidRDefault="00376ADE" w:rsidP="009245BF">
            <w:pPr>
              <w:autoSpaceDE w:val="0"/>
              <w:autoSpaceDN w:val="0"/>
              <w:adjustRightInd w:val="0"/>
              <w:spacing w:line="480" w:lineRule="auto"/>
              <w:rPr>
                <w:bCs/>
                <w:szCs w:val="22"/>
                <w:lang w:eastAsia="en-ZA"/>
              </w:rPr>
            </w:pPr>
          </w:p>
          <w:p w14:paraId="6EEC993C" w14:textId="3984A18B" w:rsidR="00376ADE" w:rsidRPr="008E7879" w:rsidRDefault="00376ADE" w:rsidP="008E7879">
            <w:pPr>
              <w:autoSpaceDE w:val="0"/>
              <w:autoSpaceDN w:val="0"/>
              <w:adjustRightInd w:val="0"/>
              <w:spacing w:line="480" w:lineRule="auto"/>
              <w:rPr>
                <w:bCs/>
                <w:szCs w:val="22"/>
                <w:u w:val="single"/>
                <w:lang w:eastAsia="en-ZA"/>
              </w:rPr>
            </w:pPr>
            <w:r w:rsidRPr="00D2001D">
              <w:rPr>
                <w:bCs/>
                <w:szCs w:val="22"/>
                <w:lang w:eastAsia="en-ZA"/>
              </w:rPr>
              <w:t>Interference with daily activities may continue for up to 24 hours and no legal/contractual decisions should be entered into for 24 hours after receiving anaesthetic/conscious sedation. Alcohol use should also be avoided for the same time period.</w:t>
            </w:r>
          </w:p>
          <w:p w14:paraId="3036195B" w14:textId="77777777" w:rsidR="00376ADE" w:rsidRPr="009245BF" w:rsidRDefault="00376ADE" w:rsidP="008E7879">
            <w:pPr>
              <w:autoSpaceDE w:val="0"/>
              <w:autoSpaceDN w:val="0"/>
              <w:adjustRightInd w:val="0"/>
              <w:spacing w:line="480" w:lineRule="auto"/>
              <w:rPr>
                <w:bCs/>
                <w:szCs w:val="22"/>
                <w:lang w:eastAsia="en-ZA"/>
              </w:rPr>
            </w:pPr>
          </w:p>
          <w:p w14:paraId="1BAABF12" w14:textId="4BF58008" w:rsidR="00376ADE" w:rsidRDefault="00376ADE" w:rsidP="009245BF">
            <w:pPr>
              <w:autoSpaceDE w:val="0"/>
              <w:autoSpaceDN w:val="0"/>
              <w:adjustRightInd w:val="0"/>
              <w:spacing w:line="480" w:lineRule="auto"/>
              <w:rPr>
                <w:bCs/>
                <w:szCs w:val="22"/>
                <w:lang w:eastAsia="en-ZA"/>
              </w:rPr>
            </w:pPr>
            <w:r>
              <w:rPr>
                <w:bCs/>
                <w:szCs w:val="22"/>
                <w:lang w:eastAsia="en-ZA"/>
              </w:rPr>
              <w:t>C</w:t>
            </w:r>
            <w:r w:rsidRPr="009245BF">
              <w:rPr>
                <w:bCs/>
                <w:szCs w:val="22"/>
                <w:lang w:eastAsia="en-ZA"/>
              </w:rPr>
              <w:t>aution should be applied in patients with cardiac, respiratory, renal or hepatic impairment or in hypovolaemic or debilitated patients.</w:t>
            </w:r>
          </w:p>
          <w:p w14:paraId="3AA99172" w14:textId="77777777" w:rsidR="00376ADE" w:rsidRDefault="00376ADE" w:rsidP="009245BF">
            <w:pPr>
              <w:autoSpaceDE w:val="0"/>
              <w:autoSpaceDN w:val="0"/>
              <w:adjustRightInd w:val="0"/>
              <w:spacing w:line="480" w:lineRule="auto"/>
              <w:rPr>
                <w:bCs/>
                <w:szCs w:val="22"/>
                <w:lang w:eastAsia="en-ZA"/>
              </w:rPr>
            </w:pPr>
          </w:p>
          <w:p w14:paraId="36F3615A" w14:textId="7D7B3B7F" w:rsidR="00376ADE" w:rsidRPr="001730B4" w:rsidRDefault="00376ADE" w:rsidP="008E7879">
            <w:pPr>
              <w:autoSpaceDE w:val="0"/>
              <w:autoSpaceDN w:val="0"/>
              <w:adjustRightInd w:val="0"/>
              <w:spacing w:line="480" w:lineRule="auto"/>
              <w:rPr>
                <w:bCs/>
                <w:szCs w:val="22"/>
                <w:lang w:eastAsia="en-ZA"/>
              </w:rPr>
            </w:pPr>
            <w:r w:rsidRPr="001730B4">
              <w:rPr>
                <w:bCs/>
                <w:szCs w:val="22"/>
                <w:lang w:eastAsia="en-ZA"/>
              </w:rPr>
              <w:lastRenderedPageBreak/>
              <w:t>The pharmacokinetics of propofol may be prolonged in people with chronic hepatic cirrhosis or chronic renal impairment. Recovery times</w:t>
            </w:r>
            <w:r w:rsidRPr="001730B4">
              <w:t xml:space="preserve"> </w:t>
            </w:r>
            <w:r w:rsidRPr="001730B4">
              <w:rPr>
                <w:bCs/>
                <w:szCs w:val="22"/>
                <w:lang w:eastAsia="en-ZA"/>
              </w:rPr>
              <w:t>may double as a result. The effects of acute hepatic or renal failure on the pharmacokinetics of propofol have not been studied.</w:t>
            </w:r>
          </w:p>
          <w:p w14:paraId="3CCC0475" w14:textId="77777777" w:rsidR="00376ADE" w:rsidRPr="008E7879" w:rsidRDefault="00376ADE" w:rsidP="008E7879">
            <w:pPr>
              <w:autoSpaceDE w:val="0"/>
              <w:autoSpaceDN w:val="0"/>
              <w:adjustRightInd w:val="0"/>
              <w:spacing w:line="480" w:lineRule="auto"/>
              <w:rPr>
                <w:bCs/>
                <w:szCs w:val="22"/>
                <w:u w:val="single"/>
                <w:lang w:eastAsia="en-ZA"/>
              </w:rPr>
            </w:pPr>
          </w:p>
          <w:p w14:paraId="0070E4AB" w14:textId="77777777"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 xml:space="preserve">Propofol clearance is blood flow dependent, therefore, concomitant medication that reduces cardiac output will also reduce propofol clearance. </w:t>
            </w:r>
          </w:p>
          <w:p w14:paraId="7444F6AB" w14:textId="691643D1" w:rsidR="00376ADE" w:rsidRPr="009245BF" w:rsidRDefault="00376ADE" w:rsidP="009245BF">
            <w:pPr>
              <w:autoSpaceDE w:val="0"/>
              <w:autoSpaceDN w:val="0"/>
              <w:adjustRightInd w:val="0"/>
              <w:spacing w:line="480" w:lineRule="auto"/>
              <w:rPr>
                <w:bCs/>
                <w:szCs w:val="22"/>
                <w:lang w:eastAsia="en-ZA"/>
              </w:rPr>
            </w:pPr>
            <w:r w:rsidRPr="009245BF">
              <w:rPr>
                <w:bCs/>
                <w:szCs w:val="22"/>
                <w:lang w:eastAsia="en-ZA"/>
              </w:rPr>
              <w:t xml:space="preserve">Propofol lacks vagolytic activity and has been associated with reports of bradycardia (occasionally profound) and also asystole. The intravenous administration of an anticholinergic </w:t>
            </w:r>
            <w:r w:rsidRPr="001730B4">
              <w:rPr>
                <w:bCs/>
                <w:szCs w:val="22"/>
                <w:lang w:eastAsia="en-ZA"/>
              </w:rPr>
              <w:t>medicine before induction or during maintenance of anaesthesia should be considered, especially in situations where vagal tone is likely to predominate or when propofol is used in conjunction with other medicine</w:t>
            </w:r>
            <w:r w:rsidRPr="00E425FC">
              <w:rPr>
                <w:bCs/>
                <w:szCs w:val="22"/>
                <w:u w:val="single"/>
                <w:lang w:eastAsia="en-ZA"/>
              </w:rPr>
              <w:t>s</w:t>
            </w:r>
            <w:r w:rsidRPr="001730B4">
              <w:rPr>
                <w:bCs/>
                <w:szCs w:val="22"/>
                <w:lang w:eastAsia="en-ZA"/>
              </w:rPr>
              <w:t xml:space="preserve"> likely</w:t>
            </w:r>
            <w:r w:rsidRPr="009245BF">
              <w:rPr>
                <w:bCs/>
                <w:szCs w:val="22"/>
                <w:lang w:eastAsia="en-ZA"/>
              </w:rPr>
              <w:t xml:space="preserve"> to cause bradycardia.</w:t>
            </w:r>
          </w:p>
          <w:p w14:paraId="17326E1E" w14:textId="77777777" w:rsidR="00376ADE" w:rsidRDefault="00376ADE" w:rsidP="009245BF">
            <w:pPr>
              <w:autoSpaceDE w:val="0"/>
              <w:autoSpaceDN w:val="0"/>
              <w:adjustRightInd w:val="0"/>
              <w:spacing w:line="480" w:lineRule="auto"/>
              <w:rPr>
                <w:bCs/>
                <w:szCs w:val="22"/>
                <w:lang w:eastAsia="en-ZA"/>
              </w:rPr>
            </w:pPr>
            <w:r w:rsidRPr="009245BF">
              <w:rPr>
                <w:bCs/>
                <w:szCs w:val="22"/>
                <w:lang w:eastAsia="en-ZA"/>
              </w:rPr>
              <w:t xml:space="preserve">When propofol is administered to an epileptic patient, there may be a risk of convulsion. </w:t>
            </w:r>
          </w:p>
          <w:p w14:paraId="731A8A07" w14:textId="306B15DC" w:rsidR="007A42FB" w:rsidRPr="001730B4" w:rsidRDefault="007A42FB" w:rsidP="009245BF">
            <w:pPr>
              <w:autoSpaceDE w:val="0"/>
              <w:autoSpaceDN w:val="0"/>
              <w:adjustRightInd w:val="0"/>
              <w:spacing w:line="480" w:lineRule="auto"/>
              <w:rPr>
                <w:bCs/>
                <w:szCs w:val="22"/>
                <w:lang w:eastAsia="en-ZA"/>
              </w:rPr>
            </w:pPr>
          </w:p>
        </w:tc>
      </w:tr>
      <w:tr w:rsidR="00376ADE" w:rsidRPr="009245BF" w14:paraId="030C793E" w14:textId="7770842C" w:rsidTr="000D7AB1">
        <w:tc>
          <w:tcPr>
            <w:tcW w:w="11070" w:type="dxa"/>
          </w:tcPr>
          <w:p w14:paraId="5DB2D1B9" w14:textId="09C30C50" w:rsidR="00376ADE" w:rsidRDefault="00376ADE" w:rsidP="00552A28">
            <w:pPr>
              <w:spacing w:line="480" w:lineRule="auto"/>
              <w:rPr>
                <w:b/>
                <w:szCs w:val="22"/>
              </w:rPr>
            </w:pPr>
            <w:r w:rsidRPr="009245BF">
              <w:rPr>
                <w:b/>
                <w:szCs w:val="22"/>
              </w:rPr>
              <w:lastRenderedPageBreak/>
              <w:t>Paediatric population</w:t>
            </w:r>
          </w:p>
          <w:p w14:paraId="1ABC0666" w14:textId="0384BD63" w:rsidR="00376ADE" w:rsidRPr="00376ADE" w:rsidRDefault="00376ADE" w:rsidP="00552A28">
            <w:pPr>
              <w:spacing w:line="480" w:lineRule="auto"/>
              <w:rPr>
                <w:bCs/>
                <w:szCs w:val="22"/>
              </w:rPr>
            </w:pPr>
            <w:r w:rsidRPr="00376ADE">
              <w:rPr>
                <w:bCs/>
                <w:szCs w:val="22"/>
              </w:rPr>
              <w:t>The use of propofol is contraindicated in newborn infants as this patient population has not been fully investigated. Pharmacokinetic data indicate that clearance is considerably reduced in neonates and has a very high inter-individual variability.</w:t>
            </w:r>
          </w:p>
          <w:p w14:paraId="30249B52" w14:textId="11DA3BC3" w:rsidR="00376ADE" w:rsidRDefault="00376ADE" w:rsidP="00552A28">
            <w:pPr>
              <w:spacing w:line="480" w:lineRule="auto"/>
              <w:rPr>
                <w:szCs w:val="22"/>
              </w:rPr>
            </w:pPr>
            <w:r w:rsidRPr="009245BF">
              <w:rPr>
                <w:szCs w:val="22"/>
              </w:rPr>
              <w:t>Relative overdose could occur on administering doses recommended for older children and result in severe cardiovascular depression.</w:t>
            </w:r>
          </w:p>
          <w:p w14:paraId="26188280" w14:textId="1C2B32E4" w:rsidR="00376ADE" w:rsidRPr="009245BF" w:rsidRDefault="00376ADE" w:rsidP="00552A28">
            <w:pPr>
              <w:suppressAutoHyphens/>
              <w:spacing w:line="480" w:lineRule="auto"/>
              <w:rPr>
                <w:szCs w:val="22"/>
              </w:rPr>
            </w:pPr>
            <w:r w:rsidRPr="009245BF">
              <w:rPr>
                <w:szCs w:val="22"/>
              </w:rPr>
              <w:t>Propofol must not be used in patients of 16 years of age or younger for sedation for intensive care as the safety and efficacy of propofol for sedation in this age g</w:t>
            </w:r>
            <w:r>
              <w:rPr>
                <w:szCs w:val="22"/>
              </w:rPr>
              <w:t xml:space="preserve">roup have not been </w:t>
            </w:r>
            <w:r w:rsidRPr="001730B4">
              <w:rPr>
                <w:szCs w:val="22"/>
              </w:rPr>
              <w:t>demonstrated (see section 4.3)</w:t>
            </w:r>
          </w:p>
          <w:p w14:paraId="155325A5" w14:textId="77777777" w:rsidR="00376ADE" w:rsidRPr="009245BF" w:rsidRDefault="00376ADE" w:rsidP="00552A28">
            <w:pPr>
              <w:spacing w:line="480" w:lineRule="auto"/>
              <w:rPr>
                <w:szCs w:val="22"/>
              </w:rPr>
            </w:pPr>
          </w:p>
          <w:p w14:paraId="1C29AF4D" w14:textId="6504F2BA" w:rsidR="00376ADE" w:rsidRPr="009245BF" w:rsidRDefault="006932F9" w:rsidP="001730B4">
            <w:pPr>
              <w:spacing w:line="480" w:lineRule="auto"/>
              <w:rPr>
                <w:szCs w:val="22"/>
              </w:rPr>
            </w:pPr>
            <w:r>
              <w:rPr>
                <w:b/>
                <w:szCs w:val="22"/>
              </w:rPr>
              <w:t>Propofol B. Braun</w:t>
            </w:r>
            <w:r w:rsidR="00376ADE" w:rsidRPr="009245BF">
              <w:rPr>
                <w:b/>
                <w:szCs w:val="22"/>
              </w:rPr>
              <w:t xml:space="preserve"> </w:t>
            </w:r>
            <w:r w:rsidR="00376ADE" w:rsidRPr="009245BF">
              <w:rPr>
                <w:szCs w:val="22"/>
              </w:rPr>
              <w:t xml:space="preserve">is </w:t>
            </w:r>
            <w:r w:rsidR="00376ADE" w:rsidRPr="001730B4">
              <w:rPr>
                <w:szCs w:val="22"/>
              </w:rPr>
              <w:t>contraindicated</w:t>
            </w:r>
            <w:r w:rsidR="00376ADE">
              <w:rPr>
                <w:szCs w:val="22"/>
              </w:rPr>
              <w:t xml:space="preserve"> </w:t>
            </w:r>
            <w:r w:rsidR="00376ADE" w:rsidRPr="009245BF">
              <w:rPr>
                <w:szCs w:val="22"/>
              </w:rPr>
              <w:t>for use in children &lt; 3 years of age due to difficulty in titrating small volumes.</w:t>
            </w:r>
          </w:p>
        </w:tc>
      </w:tr>
      <w:tr w:rsidR="00376ADE" w:rsidRPr="009245BF" w14:paraId="5C920D85" w14:textId="3011EDCD" w:rsidTr="000D7AB1">
        <w:tc>
          <w:tcPr>
            <w:tcW w:w="11070" w:type="dxa"/>
          </w:tcPr>
          <w:p w14:paraId="7097A850" w14:textId="4FBC6016" w:rsidR="00376ADE" w:rsidRPr="001730B4" w:rsidRDefault="00376ADE" w:rsidP="00552A28">
            <w:pPr>
              <w:spacing w:line="480" w:lineRule="auto"/>
              <w:rPr>
                <w:szCs w:val="22"/>
              </w:rPr>
            </w:pPr>
            <w:r w:rsidRPr="001730B4">
              <w:rPr>
                <w:szCs w:val="22"/>
              </w:rPr>
              <w:t>Reports from off-label use of propofol for induction of anaesthesia in neonates indicates that cardio respiratory depression may occur if the dose regimen recommended for children 3 years and over is applied (see 4.2 Posology and method of administration).</w:t>
            </w:r>
          </w:p>
        </w:tc>
      </w:tr>
      <w:tr w:rsidR="00376ADE" w:rsidRPr="009245BF" w14:paraId="73A50991" w14:textId="3DC797B1" w:rsidTr="000D7AB1">
        <w:tc>
          <w:tcPr>
            <w:tcW w:w="11070" w:type="dxa"/>
          </w:tcPr>
          <w:p w14:paraId="525AC02A" w14:textId="058D5690" w:rsidR="00376ADE" w:rsidRPr="009245BF" w:rsidRDefault="00376ADE" w:rsidP="00552A28">
            <w:pPr>
              <w:pStyle w:val="PlainText"/>
              <w:tabs>
                <w:tab w:val="left" w:pos="8280"/>
              </w:tabs>
              <w:spacing w:line="480" w:lineRule="auto"/>
              <w:rPr>
                <w:rFonts w:ascii="Arial" w:hAnsi="Arial" w:cs="Arial"/>
                <w:b/>
                <w:color w:val="000000"/>
                <w:szCs w:val="22"/>
              </w:rPr>
            </w:pPr>
            <w:r w:rsidRPr="009245BF">
              <w:rPr>
                <w:rFonts w:ascii="Arial" w:hAnsi="Arial" w:cs="Arial"/>
                <w:b/>
                <w:color w:val="000000"/>
                <w:szCs w:val="22"/>
              </w:rPr>
              <w:lastRenderedPageBreak/>
              <w:t xml:space="preserve">Advisory statements concerning Intensive Care Unit management </w:t>
            </w:r>
          </w:p>
          <w:p w14:paraId="7E8AF102" w14:textId="08BEFE0B" w:rsidR="00376ADE" w:rsidRPr="009245BF" w:rsidRDefault="00376ADE" w:rsidP="00552A28">
            <w:pPr>
              <w:pStyle w:val="PlainText"/>
              <w:tabs>
                <w:tab w:val="left" w:pos="8280"/>
              </w:tabs>
              <w:spacing w:line="480" w:lineRule="auto"/>
              <w:rPr>
                <w:rFonts w:ascii="Arial" w:hAnsi="Arial" w:cs="Arial"/>
                <w:b/>
                <w:color w:val="000000"/>
                <w:szCs w:val="22"/>
              </w:rPr>
            </w:pPr>
            <w:r w:rsidRPr="009245BF">
              <w:rPr>
                <w:rFonts w:ascii="Arial" w:hAnsi="Arial" w:cs="Arial"/>
                <w:iCs/>
                <w:szCs w:val="22"/>
              </w:rPr>
              <w:t>Use of propofol for ICU sedation has been associated with a constellation of metabolic disturbances and organ system failures that may result in death. Reports have been received of combinations of the following:</w:t>
            </w:r>
            <w:r>
              <w:rPr>
                <w:rFonts w:ascii="Arial" w:hAnsi="Arial" w:cs="Arial"/>
                <w:color w:val="000000"/>
                <w:szCs w:val="22"/>
              </w:rPr>
              <w:t xml:space="preserve"> metabolic acidosis, rhabdomyolysis, hyperkalaemia, hepatomegaly, renal failure, h</w:t>
            </w:r>
            <w:r w:rsidRPr="009245BF">
              <w:rPr>
                <w:rFonts w:ascii="Arial" w:hAnsi="Arial" w:cs="Arial"/>
                <w:color w:val="000000"/>
                <w:szCs w:val="22"/>
              </w:rPr>
              <w:t xml:space="preserve">yperlipidaemia, </w:t>
            </w:r>
            <w:r>
              <w:rPr>
                <w:rFonts w:ascii="Arial" w:hAnsi="Arial" w:cs="Arial"/>
                <w:iCs/>
                <w:szCs w:val="22"/>
              </w:rPr>
              <w:t>c</w:t>
            </w:r>
            <w:r w:rsidRPr="009245BF">
              <w:rPr>
                <w:rFonts w:ascii="Arial" w:hAnsi="Arial" w:cs="Arial"/>
                <w:iCs/>
                <w:szCs w:val="22"/>
              </w:rPr>
              <w:t xml:space="preserve">ardiac </w:t>
            </w:r>
            <w:r w:rsidRPr="00376ADE">
              <w:rPr>
                <w:rFonts w:ascii="Arial" w:hAnsi="Arial" w:cs="Arial"/>
                <w:iCs/>
                <w:szCs w:val="22"/>
              </w:rPr>
              <w:t>dysrhythmia</w:t>
            </w:r>
            <w:r w:rsidRPr="009245BF">
              <w:rPr>
                <w:rFonts w:ascii="Arial" w:hAnsi="Arial" w:cs="Arial"/>
                <w:iCs/>
                <w:szCs w:val="22"/>
              </w:rPr>
              <w:t xml:space="preserve">, Brugada-type ECG (elevated ST-segment and coved T-wave) </w:t>
            </w:r>
            <w:r>
              <w:rPr>
                <w:rFonts w:ascii="Arial" w:hAnsi="Arial" w:cs="Arial"/>
                <w:color w:val="000000"/>
                <w:szCs w:val="22"/>
              </w:rPr>
              <w:t>and rapidly progressive c</w:t>
            </w:r>
            <w:r w:rsidRPr="009245BF">
              <w:rPr>
                <w:rFonts w:ascii="Arial" w:hAnsi="Arial" w:cs="Arial"/>
                <w:color w:val="000000"/>
                <w:szCs w:val="22"/>
              </w:rPr>
              <w:t>ardiac failure usually unresponsive to inotropic supportive treatment.</w:t>
            </w:r>
            <w:r w:rsidRPr="009245BF">
              <w:rPr>
                <w:rFonts w:ascii="Arial" w:hAnsi="Arial" w:cs="Arial"/>
                <w:iCs/>
                <w:szCs w:val="22"/>
              </w:rPr>
              <w:t xml:space="preserve"> Combinations of these events have been referred to as the </w:t>
            </w:r>
            <w:r w:rsidRPr="009245BF">
              <w:rPr>
                <w:rFonts w:ascii="Arial" w:hAnsi="Arial" w:cs="Arial"/>
                <w:b/>
                <w:iCs/>
                <w:szCs w:val="22"/>
              </w:rPr>
              <w:t>Propofol infusion syndrome</w:t>
            </w:r>
            <w:r w:rsidRPr="009245BF">
              <w:rPr>
                <w:rFonts w:ascii="Arial" w:hAnsi="Arial" w:cs="Arial"/>
                <w:iCs/>
                <w:szCs w:val="22"/>
              </w:rPr>
              <w:t>. These events were mostly seen in patients with serious head injuries and children with respiratory tract infections who received dosages in excess of those advised in adults for sedation in the intensive care unit.</w:t>
            </w:r>
          </w:p>
          <w:p w14:paraId="334CCD31" w14:textId="77777777" w:rsidR="00376ADE" w:rsidRPr="009245BF" w:rsidRDefault="00376ADE" w:rsidP="00552A28">
            <w:pPr>
              <w:pStyle w:val="PlainText"/>
              <w:tabs>
                <w:tab w:val="left" w:pos="8280"/>
              </w:tabs>
              <w:spacing w:line="480" w:lineRule="auto"/>
              <w:rPr>
                <w:rFonts w:ascii="Arial" w:hAnsi="Arial" w:cs="Arial"/>
                <w:color w:val="000000"/>
                <w:szCs w:val="22"/>
              </w:rPr>
            </w:pPr>
          </w:p>
          <w:p w14:paraId="2468A732" w14:textId="1BCBA859" w:rsidR="00376ADE" w:rsidRPr="009245BF" w:rsidRDefault="00376ADE" w:rsidP="00552A28">
            <w:pPr>
              <w:pStyle w:val="PlainText"/>
              <w:spacing w:line="480" w:lineRule="auto"/>
              <w:rPr>
                <w:rFonts w:ascii="Arial" w:hAnsi="Arial" w:cs="Arial"/>
                <w:color w:val="000000"/>
                <w:szCs w:val="22"/>
              </w:rPr>
            </w:pPr>
            <w:r w:rsidRPr="009245BF">
              <w:rPr>
                <w:rFonts w:ascii="Arial" w:hAnsi="Arial" w:cs="Arial"/>
                <w:color w:val="000000"/>
                <w:szCs w:val="22"/>
              </w:rPr>
              <w:t xml:space="preserve">The following appear to be the major risk factors for the development of these events: decreased oxygen delivery to tissues; serious neurological injury and/or sepsis; high dosages of one or more of the following </w:t>
            </w:r>
            <w:r w:rsidRPr="001730B4">
              <w:rPr>
                <w:rFonts w:ascii="Arial" w:hAnsi="Arial" w:cs="Arial"/>
                <w:color w:val="000000"/>
                <w:szCs w:val="22"/>
              </w:rPr>
              <w:t>medicine</w:t>
            </w:r>
            <w:r w:rsidRPr="00376ADE">
              <w:rPr>
                <w:rFonts w:ascii="Arial" w:hAnsi="Arial" w:cs="Arial"/>
                <w:color w:val="000000"/>
                <w:szCs w:val="22"/>
              </w:rPr>
              <w:t>s</w:t>
            </w:r>
            <w:r w:rsidRPr="009245BF">
              <w:rPr>
                <w:rFonts w:ascii="Arial" w:hAnsi="Arial" w:cs="Arial"/>
                <w:color w:val="000000"/>
                <w:szCs w:val="22"/>
              </w:rPr>
              <w:t xml:space="preserve"> - vasoconstrictors, steroids, inotropes and/ or propofol (usually at dose rates greater than 4 mg/kg/h for more than 48 hours).</w:t>
            </w:r>
          </w:p>
          <w:p w14:paraId="5DE2ED33" w14:textId="77777777" w:rsidR="00376ADE" w:rsidRPr="009245BF" w:rsidRDefault="00376ADE" w:rsidP="00552A28">
            <w:pPr>
              <w:pStyle w:val="PlainText"/>
              <w:spacing w:line="480" w:lineRule="auto"/>
              <w:rPr>
                <w:rFonts w:ascii="Arial" w:hAnsi="Arial" w:cs="Arial"/>
                <w:color w:val="000000"/>
                <w:szCs w:val="22"/>
              </w:rPr>
            </w:pPr>
          </w:p>
          <w:p w14:paraId="65B294AB" w14:textId="0C9BA5C8" w:rsidR="00376ADE" w:rsidRPr="009245BF" w:rsidRDefault="00376ADE" w:rsidP="00552A28">
            <w:pPr>
              <w:pStyle w:val="PlainText"/>
              <w:spacing w:line="480" w:lineRule="auto"/>
              <w:rPr>
                <w:rFonts w:ascii="Arial" w:hAnsi="Arial" w:cs="Arial"/>
                <w:color w:val="000000"/>
                <w:szCs w:val="22"/>
              </w:rPr>
            </w:pPr>
            <w:r w:rsidRPr="006932F9">
              <w:rPr>
                <w:rFonts w:ascii="Arial" w:hAnsi="Arial" w:cs="Arial"/>
                <w:color w:val="000000"/>
                <w:szCs w:val="22"/>
              </w:rPr>
              <w:t xml:space="preserve">Prescribers should be alert to these events </w:t>
            </w:r>
            <w:r w:rsidRPr="006932F9">
              <w:rPr>
                <w:rFonts w:ascii="Arial" w:hAnsi="Arial" w:cs="Arial"/>
                <w:iCs/>
                <w:color w:val="000000"/>
                <w:szCs w:val="22"/>
                <w:lang w:val="en-US"/>
              </w:rPr>
              <w:t>in patients with the above risk factors</w:t>
            </w:r>
            <w:r w:rsidRPr="006932F9">
              <w:rPr>
                <w:rFonts w:ascii="Arial" w:hAnsi="Arial" w:cs="Arial"/>
                <w:iCs/>
                <w:color w:val="000000"/>
                <w:szCs w:val="22"/>
              </w:rPr>
              <w:t xml:space="preserve"> </w:t>
            </w:r>
            <w:r w:rsidRPr="006932F9">
              <w:rPr>
                <w:rFonts w:ascii="Arial" w:hAnsi="Arial" w:cs="Arial"/>
                <w:color w:val="000000"/>
                <w:szCs w:val="22"/>
              </w:rPr>
              <w:t xml:space="preserve">and immediately discontinue </w:t>
            </w:r>
            <w:r w:rsidR="006932F9" w:rsidRPr="006932F9">
              <w:rPr>
                <w:rFonts w:ascii="Arial" w:hAnsi="Arial" w:cs="Arial"/>
                <w:b/>
                <w:snapToGrid w:val="0"/>
                <w:szCs w:val="22"/>
              </w:rPr>
              <w:t>Propofol B. Braun</w:t>
            </w:r>
            <w:r w:rsidRPr="000D7AB1">
              <w:rPr>
                <w:rFonts w:ascii="Arial" w:hAnsi="Arial" w:cs="Arial"/>
                <w:b/>
                <w:snapToGrid w:val="0"/>
                <w:sz w:val="20"/>
              </w:rPr>
              <w:t xml:space="preserve"> </w:t>
            </w:r>
            <w:r w:rsidRPr="009245BF">
              <w:rPr>
                <w:rFonts w:ascii="Arial" w:hAnsi="Arial" w:cs="Arial"/>
                <w:color w:val="000000"/>
                <w:szCs w:val="22"/>
              </w:rPr>
              <w:t xml:space="preserve">when the above signs develop. All sedative and therapeutic </w:t>
            </w:r>
            <w:r w:rsidRPr="001730B4">
              <w:rPr>
                <w:rFonts w:ascii="Arial" w:hAnsi="Arial" w:cs="Arial"/>
                <w:color w:val="000000"/>
                <w:szCs w:val="22"/>
              </w:rPr>
              <w:t>medicine</w:t>
            </w:r>
            <w:r w:rsidRPr="009245BF">
              <w:rPr>
                <w:rFonts w:ascii="Arial" w:hAnsi="Arial" w:cs="Arial"/>
                <w:color w:val="000000"/>
                <w:szCs w:val="22"/>
              </w:rPr>
              <w:t xml:space="preserve"> used in the intensive care unit (ICU) should be titrated to maintain optimal oxygen delivery and haemodynamic parameters. Patients with raised intra-cranial pressure (ICP) should be given appropriate treatment to support the cerebral perfusion pressure during these treatment modifications. </w:t>
            </w:r>
            <w:r w:rsidRPr="001730B4">
              <w:rPr>
                <w:rFonts w:ascii="Arial" w:hAnsi="Arial" w:cs="Arial"/>
                <w:color w:val="000000"/>
                <w:szCs w:val="22"/>
              </w:rPr>
              <w:t>Medicinal practitioners</w:t>
            </w:r>
            <w:r>
              <w:rPr>
                <w:rFonts w:ascii="Arial" w:hAnsi="Arial" w:cs="Arial"/>
                <w:color w:val="000000"/>
                <w:szCs w:val="22"/>
              </w:rPr>
              <w:t xml:space="preserve"> </w:t>
            </w:r>
            <w:r w:rsidRPr="009245BF">
              <w:rPr>
                <w:rFonts w:ascii="Arial" w:hAnsi="Arial" w:cs="Arial"/>
                <w:color w:val="000000"/>
                <w:szCs w:val="22"/>
              </w:rPr>
              <w:t>are reminded if possible not to exceed the dosage of 4 mg/kg/h.</w:t>
            </w:r>
          </w:p>
          <w:p w14:paraId="4C08E79D" w14:textId="2F660E91" w:rsidR="00376ADE" w:rsidRDefault="00376ADE" w:rsidP="00552A28">
            <w:pPr>
              <w:spacing w:line="480" w:lineRule="auto"/>
              <w:rPr>
                <w:color w:val="000000"/>
                <w:szCs w:val="22"/>
              </w:rPr>
            </w:pPr>
            <w:r w:rsidRPr="009245BF">
              <w:rPr>
                <w:color w:val="000000"/>
                <w:szCs w:val="22"/>
              </w:rPr>
              <w:t>Appropriate care should be applied in patients with disorders of fat metabolism</w:t>
            </w:r>
            <w:r>
              <w:rPr>
                <w:color w:val="000000"/>
                <w:szCs w:val="22"/>
              </w:rPr>
              <w:t xml:space="preserve">, </w:t>
            </w:r>
            <w:r w:rsidRPr="001730B4">
              <w:rPr>
                <w:color w:val="000000"/>
                <w:szCs w:val="22"/>
              </w:rPr>
              <w:t>patient predisposed to fat embolism</w:t>
            </w:r>
            <w:r w:rsidRPr="009245BF">
              <w:rPr>
                <w:color w:val="000000"/>
                <w:szCs w:val="22"/>
              </w:rPr>
              <w:t xml:space="preserve"> and in other conditions where lipid emulsions must be used cautiously.</w:t>
            </w:r>
          </w:p>
          <w:p w14:paraId="79499E86" w14:textId="77777777" w:rsidR="00376ADE" w:rsidRPr="008E7879" w:rsidRDefault="00376ADE" w:rsidP="00552A28">
            <w:pPr>
              <w:spacing w:line="480" w:lineRule="auto"/>
              <w:rPr>
                <w:color w:val="000000"/>
                <w:szCs w:val="22"/>
                <w:u w:val="single"/>
              </w:rPr>
            </w:pPr>
          </w:p>
          <w:p w14:paraId="18537052" w14:textId="2529C5CD" w:rsidR="00376ADE" w:rsidRPr="001730B4" w:rsidRDefault="00376ADE" w:rsidP="00552A28">
            <w:pPr>
              <w:spacing w:line="480" w:lineRule="auto"/>
              <w:rPr>
                <w:color w:val="000000"/>
                <w:szCs w:val="22"/>
              </w:rPr>
            </w:pPr>
            <w:r w:rsidRPr="001730B4">
              <w:rPr>
                <w:color w:val="000000"/>
                <w:szCs w:val="22"/>
              </w:rPr>
              <w:lastRenderedPageBreak/>
              <w:t>Fat metabolism may be disturbed in conditions such as renal insufficiency, uncompensated diabetes mellitus, certain forms of liver insufficiency, metabolic disorders, severe trauma including long-bone and multiple fractures, and sepsis</w:t>
            </w:r>
          </w:p>
          <w:p w14:paraId="2E7211BE" w14:textId="77777777" w:rsidR="00376ADE" w:rsidRPr="009245BF" w:rsidRDefault="00376ADE" w:rsidP="00552A28">
            <w:pPr>
              <w:spacing w:line="480" w:lineRule="auto"/>
              <w:rPr>
                <w:color w:val="000000"/>
                <w:szCs w:val="22"/>
              </w:rPr>
            </w:pPr>
          </w:p>
          <w:p w14:paraId="1659DEA0" w14:textId="3A50A551" w:rsidR="00376ADE" w:rsidRPr="009245BF" w:rsidRDefault="00376ADE" w:rsidP="00552A28">
            <w:pPr>
              <w:spacing w:line="480" w:lineRule="auto"/>
              <w:rPr>
                <w:szCs w:val="22"/>
              </w:rPr>
            </w:pPr>
            <w:r w:rsidRPr="009245BF">
              <w:rPr>
                <w:szCs w:val="22"/>
              </w:rPr>
              <w:t>It is recommended that blood lipid levels should be monitored if propofol is administered to patients thought to be at particular risk of fat overload. Administration of propofol should be adjusted appropriately if the monitoring indicates that fat is being inadequately cleared from the body. If the patient is receiving other intravenous lipid concurrently, a reduction in quantity should be made in order to take account of the amount of lipid infused as part</w:t>
            </w:r>
            <w:r>
              <w:rPr>
                <w:szCs w:val="22"/>
              </w:rPr>
              <w:t xml:space="preserve"> of the propofol formulation; 1,0 mL </w:t>
            </w:r>
            <w:r w:rsidRPr="009245BF">
              <w:rPr>
                <w:szCs w:val="22"/>
              </w:rPr>
              <w:t xml:space="preserve">of </w:t>
            </w:r>
            <w:r w:rsidR="006932F9">
              <w:rPr>
                <w:b/>
                <w:szCs w:val="22"/>
              </w:rPr>
              <w:t>Propofol B. Braun</w:t>
            </w:r>
            <w:r w:rsidRPr="009245BF">
              <w:rPr>
                <w:b/>
                <w:szCs w:val="22"/>
              </w:rPr>
              <w:t xml:space="preserve"> </w:t>
            </w:r>
            <w:r>
              <w:rPr>
                <w:szCs w:val="22"/>
              </w:rPr>
              <w:t>contains 0,</w:t>
            </w:r>
            <w:r w:rsidRPr="009245BF">
              <w:rPr>
                <w:szCs w:val="22"/>
              </w:rPr>
              <w:t>1 g of fat.</w:t>
            </w:r>
          </w:p>
        </w:tc>
      </w:tr>
      <w:tr w:rsidR="00376ADE" w:rsidRPr="009245BF" w14:paraId="33E1465F" w14:textId="574EF48C" w:rsidTr="000D7AB1">
        <w:tc>
          <w:tcPr>
            <w:tcW w:w="11070" w:type="dxa"/>
          </w:tcPr>
          <w:p w14:paraId="3EAFA954" w14:textId="6955026F" w:rsidR="00376ADE" w:rsidRPr="009245BF" w:rsidRDefault="00376ADE" w:rsidP="00552A28">
            <w:pPr>
              <w:spacing w:line="480" w:lineRule="auto"/>
              <w:rPr>
                <w:b/>
                <w:color w:val="000000"/>
                <w:szCs w:val="22"/>
              </w:rPr>
            </w:pPr>
            <w:r w:rsidRPr="009245BF">
              <w:rPr>
                <w:b/>
                <w:color w:val="000000"/>
                <w:szCs w:val="22"/>
              </w:rPr>
              <w:lastRenderedPageBreak/>
              <w:t>Additional precautions</w:t>
            </w:r>
          </w:p>
          <w:p w14:paraId="73FFD08E" w14:textId="77777777" w:rsidR="00376ADE" w:rsidRPr="009245BF" w:rsidRDefault="00376ADE" w:rsidP="00552A28">
            <w:pPr>
              <w:suppressAutoHyphens/>
              <w:spacing w:line="480" w:lineRule="auto"/>
              <w:rPr>
                <w:szCs w:val="22"/>
              </w:rPr>
            </w:pPr>
            <w:r w:rsidRPr="009245BF">
              <w:rPr>
                <w:szCs w:val="22"/>
              </w:rPr>
              <w:t xml:space="preserve">Caution should be taken when treating patients with mitochondrial disease. These patients may be susceptible to exacerbations of their disorder when undergoing anaesthesia, surgery and ICU care. Maintenance of normothermia, provision of carbohydrates and good hydration are recommended for such patients. The early presentations of mitochondrial disease exacerbation and of the ‘propofol infusion syndrome’ may be similar. </w:t>
            </w:r>
          </w:p>
          <w:p w14:paraId="37F0DE02" w14:textId="77777777" w:rsidR="00376ADE" w:rsidRPr="009245BF" w:rsidRDefault="00376ADE" w:rsidP="00552A28">
            <w:pPr>
              <w:spacing w:line="480" w:lineRule="auto"/>
              <w:rPr>
                <w:szCs w:val="22"/>
              </w:rPr>
            </w:pPr>
          </w:p>
          <w:p w14:paraId="2E81C779" w14:textId="149112C3" w:rsidR="00376ADE" w:rsidRPr="009245BF" w:rsidRDefault="006932F9" w:rsidP="00552A28">
            <w:pPr>
              <w:spacing w:line="480" w:lineRule="auto"/>
              <w:rPr>
                <w:szCs w:val="22"/>
              </w:rPr>
            </w:pPr>
            <w:r>
              <w:rPr>
                <w:b/>
                <w:szCs w:val="22"/>
              </w:rPr>
              <w:t>Propofol B. Braun</w:t>
            </w:r>
            <w:r w:rsidR="00376ADE" w:rsidRPr="009245BF">
              <w:rPr>
                <w:b/>
                <w:szCs w:val="22"/>
              </w:rPr>
              <w:t xml:space="preserve"> </w:t>
            </w:r>
            <w:r w:rsidR="00376ADE" w:rsidRPr="009245BF">
              <w:rPr>
                <w:szCs w:val="22"/>
              </w:rPr>
              <w:t>contains no antimicrobial preservatives and supports growth of micro-organisms.</w:t>
            </w:r>
          </w:p>
          <w:p w14:paraId="43CE3124" w14:textId="77777777" w:rsidR="00376ADE" w:rsidRPr="009245BF" w:rsidRDefault="00376ADE" w:rsidP="00552A28">
            <w:pPr>
              <w:spacing w:line="480" w:lineRule="auto"/>
              <w:rPr>
                <w:szCs w:val="22"/>
              </w:rPr>
            </w:pPr>
          </w:p>
          <w:p w14:paraId="58401728" w14:textId="5FFD1990" w:rsidR="00376ADE" w:rsidRPr="009245BF" w:rsidRDefault="00376ADE" w:rsidP="00552A28">
            <w:pPr>
              <w:spacing w:line="480" w:lineRule="auto"/>
              <w:rPr>
                <w:szCs w:val="22"/>
              </w:rPr>
            </w:pPr>
            <w:r w:rsidRPr="009245BF">
              <w:rPr>
                <w:szCs w:val="22"/>
              </w:rPr>
              <w:t xml:space="preserve">When propofol is to be aspirated, it must be drawn aseptically into a sterile syringe or giving set immediately breaking the vial seal. Administration must commence without delay. Asepsis must be maintained for both propofol and infusion equipment throughout the infusion period. Any infusion fluids added to the propofol line must be administered close to the cannula site. </w:t>
            </w:r>
            <w:r w:rsidR="006932F9">
              <w:rPr>
                <w:b/>
                <w:szCs w:val="22"/>
              </w:rPr>
              <w:t>Propofol B. Braun</w:t>
            </w:r>
            <w:r w:rsidRPr="001730B4">
              <w:rPr>
                <w:b/>
                <w:szCs w:val="22"/>
              </w:rPr>
              <w:t xml:space="preserve"> </w:t>
            </w:r>
            <w:r w:rsidRPr="001730B4">
              <w:rPr>
                <w:szCs w:val="22"/>
              </w:rPr>
              <w:t>must not be administered via a microbiological filter.</w:t>
            </w:r>
            <w:r>
              <w:rPr>
                <w:szCs w:val="22"/>
              </w:rPr>
              <w:t xml:space="preserve"> </w:t>
            </w:r>
            <w:r w:rsidRPr="009245BF">
              <w:rPr>
                <w:iCs/>
                <w:szCs w:val="22"/>
              </w:rPr>
              <w:t>If infusion sets with filters are to be used, these must be lipid-permeable.</w:t>
            </w:r>
          </w:p>
          <w:p w14:paraId="2DC534A5" w14:textId="77777777" w:rsidR="00376ADE" w:rsidRPr="009245BF" w:rsidRDefault="00376ADE" w:rsidP="00552A28">
            <w:pPr>
              <w:spacing w:line="480" w:lineRule="auto"/>
              <w:rPr>
                <w:szCs w:val="22"/>
              </w:rPr>
            </w:pPr>
          </w:p>
          <w:p w14:paraId="78EC148E" w14:textId="2AAA8610" w:rsidR="00376ADE" w:rsidRPr="009245BF" w:rsidRDefault="00376ADE" w:rsidP="00552A28">
            <w:pPr>
              <w:spacing w:line="480" w:lineRule="auto"/>
              <w:rPr>
                <w:szCs w:val="22"/>
              </w:rPr>
            </w:pPr>
            <w:r w:rsidRPr="009245BF">
              <w:rPr>
                <w:szCs w:val="22"/>
              </w:rPr>
              <w:t xml:space="preserve">Propofol and any syringe containing propofol are for single use in an individual patient. In accordance with established guidelines for other lipid emulsions, a single infusion of propofol must not exceed 12 hours. At the </w:t>
            </w:r>
            <w:r w:rsidRPr="009245BF">
              <w:rPr>
                <w:szCs w:val="22"/>
              </w:rPr>
              <w:lastRenderedPageBreak/>
              <w:t>end of the procedure or at 12 hours, whichever is the sooner, both the reservoir of propofol and the infusion line must be discarded and replaced as appropriate.</w:t>
            </w:r>
          </w:p>
        </w:tc>
      </w:tr>
      <w:tr w:rsidR="00376ADE" w:rsidRPr="009245BF" w14:paraId="52B6246A" w14:textId="63132E45" w:rsidTr="000D7AB1">
        <w:tc>
          <w:tcPr>
            <w:tcW w:w="11070" w:type="dxa"/>
          </w:tcPr>
          <w:p w14:paraId="08762C1C" w14:textId="4E99BF2E" w:rsidR="00376ADE" w:rsidRPr="009245BF" w:rsidRDefault="00376ADE" w:rsidP="00552A28">
            <w:pPr>
              <w:keepNext/>
              <w:spacing w:line="480" w:lineRule="auto"/>
              <w:rPr>
                <w:b/>
                <w:szCs w:val="22"/>
              </w:rPr>
            </w:pPr>
            <w:r w:rsidRPr="009245BF">
              <w:rPr>
                <w:b/>
                <w:szCs w:val="22"/>
              </w:rPr>
              <w:lastRenderedPageBreak/>
              <w:t xml:space="preserve">Special warnings/precautions regarding excipients       </w:t>
            </w:r>
          </w:p>
          <w:p w14:paraId="6AE5D60C" w14:textId="5F66EDB1" w:rsidR="00376ADE" w:rsidRDefault="00376ADE" w:rsidP="00552A28">
            <w:pPr>
              <w:spacing w:line="480" w:lineRule="auto"/>
              <w:rPr>
                <w:szCs w:val="22"/>
              </w:rPr>
            </w:pPr>
            <w:r w:rsidRPr="009245BF">
              <w:rPr>
                <w:szCs w:val="22"/>
              </w:rPr>
              <w:t>This me</w:t>
            </w:r>
            <w:r>
              <w:rPr>
                <w:szCs w:val="22"/>
              </w:rPr>
              <w:t>dicine contains less than 1 mmoL</w:t>
            </w:r>
            <w:r w:rsidRPr="009245BF">
              <w:rPr>
                <w:szCs w:val="22"/>
              </w:rPr>
              <w:t xml:space="preserve"> sodium (23 mg) in 1</w:t>
            </w:r>
            <w:r>
              <w:rPr>
                <w:szCs w:val="22"/>
              </w:rPr>
              <w:t xml:space="preserve">00 mL </w:t>
            </w:r>
            <w:r w:rsidRPr="009245BF">
              <w:rPr>
                <w:szCs w:val="22"/>
              </w:rPr>
              <w:t>that is to say essentially ‘sodium free’.</w:t>
            </w:r>
          </w:p>
          <w:p w14:paraId="0AB9994A" w14:textId="77777777" w:rsidR="00376ADE" w:rsidRDefault="00376ADE" w:rsidP="00552A28">
            <w:pPr>
              <w:spacing w:line="480" w:lineRule="auto"/>
              <w:rPr>
                <w:b/>
                <w:color w:val="000000"/>
                <w:szCs w:val="22"/>
              </w:rPr>
            </w:pPr>
          </w:p>
          <w:p w14:paraId="2C565901" w14:textId="1396E8C0" w:rsidR="00376ADE" w:rsidRPr="008E7879" w:rsidRDefault="006932F9" w:rsidP="00552A28">
            <w:pPr>
              <w:spacing w:line="480" w:lineRule="auto"/>
              <w:rPr>
                <w:color w:val="000000"/>
                <w:szCs w:val="22"/>
              </w:rPr>
            </w:pPr>
            <w:r>
              <w:rPr>
                <w:b/>
                <w:szCs w:val="22"/>
              </w:rPr>
              <w:t>Propofol B. Braun</w:t>
            </w:r>
            <w:r w:rsidR="00376ADE" w:rsidRPr="009245BF">
              <w:rPr>
                <w:b/>
                <w:szCs w:val="22"/>
              </w:rPr>
              <w:t xml:space="preserve"> </w:t>
            </w:r>
            <w:r w:rsidR="00376ADE" w:rsidRPr="008E7879">
              <w:rPr>
                <w:color w:val="000000"/>
                <w:szCs w:val="22"/>
              </w:rPr>
              <w:t>contains soybean oil, which may cause severe allergic reaction in</w:t>
            </w:r>
            <w:r w:rsidR="00376ADE">
              <w:rPr>
                <w:color w:val="000000"/>
                <w:szCs w:val="22"/>
              </w:rPr>
              <w:t xml:space="preserve"> </w:t>
            </w:r>
            <w:r w:rsidR="00376ADE" w:rsidRPr="008E7879">
              <w:rPr>
                <w:color w:val="000000"/>
                <w:szCs w:val="22"/>
              </w:rPr>
              <w:t xml:space="preserve">some cases. </w:t>
            </w:r>
            <w:r>
              <w:rPr>
                <w:b/>
                <w:szCs w:val="22"/>
              </w:rPr>
              <w:t>Propofol B. Braun</w:t>
            </w:r>
            <w:r w:rsidR="00376ADE" w:rsidRPr="009245BF">
              <w:rPr>
                <w:b/>
                <w:szCs w:val="22"/>
              </w:rPr>
              <w:t xml:space="preserve"> </w:t>
            </w:r>
            <w:r w:rsidR="00376ADE" w:rsidRPr="008E7879">
              <w:rPr>
                <w:color w:val="000000"/>
                <w:szCs w:val="22"/>
              </w:rPr>
              <w:t>should not be used in patients with an allergy to</w:t>
            </w:r>
            <w:r w:rsidR="00376ADE">
              <w:rPr>
                <w:color w:val="000000"/>
                <w:szCs w:val="22"/>
              </w:rPr>
              <w:t xml:space="preserve"> </w:t>
            </w:r>
            <w:r w:rsidR="00376ADE" w:rsidRPr="008E7879">
              <w:rPr>
                <w:color w:val="000000"/>
                <w:szCs w:val="22"/>
              </w:rPr>
              <w:t>peanuts, eggs, or soya protein (see section 4.3)</w:t>
            </w:r>
            <w:r w:rsidR="00376ADE">
              <w:rPr>
                <w:color w:val="000000"/>
                <w:szCs w:val="22"/>
              </w:rPr>
              <w:t>.</w:t>
            </w:r>
          </w:p>
        </w:tc>
      </w:tr>
      <w:tr w:rsidR="00376ADE" w:rsidRPr="009245BF" w14:paraId="01A6062E" w14:textId="2B30E7E4" w:rsidTr="000D7AB1">
        <w:tc>
          <w:tcPr>
            <w:tcW w:w="11070" w:type="dxa"/>
          </w:tcPr>
          <w:p w14:paraId="6CB695CF" w14:textId="1B4CD81A" w:rsidR="00376ADE" w:rsidRPr="009245BF" w:rsidRDefault="00376ADE" w:rsidP="00552A28">
            <w:pPr>
              <w:spacing w:line="480" w:lineRule="auto"/>
              <w:rPr>
                <w:b/>
                <w:szCs w:val="22"/>
              </w:rPr>
            </w:pPr>
            <w:r>
              <w:rPr>
                <w:b/>
                <w:szCs w:val="22"/>
              </w:rPr>
              <w:t>4.5.</w:t>
            </w:r>
            <w:r w:rsidRPr="009245BF">
              <w:rPr>
                <w:b/>
                <w:szCs w:val="22"/>
              </w:rPr>
              <w:t xml:space="preserve"> Interaction with other medicines and other forms of interaction</w:t>
            </w:r>
          </w:p>
          <w:p w14:paraId="339E1219" w14:textId="037364A9" w:rsidR="00376ADE" w:rsidRPr="009245BF" w:rsidRDefault="00376ADE" w:rsidP="00552A28">
            <w:pPr>
              <w:spacing w:line="480" w:lineRule="auto"/>
              <w:rPr>
                <w:szCs w:val="22"/>
              </w:rPr>
            </w:pPr>
            <w:r w:rsidRPr="009245BF">
              <w:rPr>
                <w:b/>
                <w:szCs w:val="22"/>
              </w:rPr>
              <w:t xml:space="preserve"> </w:t>
            </w:r>
            <w:r>
              <w:rPr>
                <w:szCs w:val="22"/>
              </w:rPr>
              <w:t xml:space="preserve">Propofol </w:t>
            </w:r>
            <w:r w:rsidRPr="009245BF">
              <w:rPr>
                <w:szCs w:val="22"/>
              </w:rPr>
              <w:t>has been used in associ</w:t>
            </w:r>
            <w:r>
              <w:rPr>
                <w:szCs w:val="22"/>
              </w:rPr>
              <w:t xml:space="preserve">ation with spinal and epidural </w:t>
            </w:r>
            <w:r w:rsidRPr="009245BF">
              <w:rPr>
                <w:szCs w:val="22"/>
              </w:rPr>
              <w:t>anaesthesia and with commonly used premedicants, neuromuscular blocking</w:t>
            </w:r>
            <w:r>
              <w:rPr>
                <w:szCs w:val="22"/>
              </w:rPr>
              <w:t xml:space="preserve"> </w:t>
            </w:r>
            <w:r w:rsidRPr="001730B4">
              <w:rPr>
                <w:szCs w:val="22"/>
              </w:rPr>
              <w:t>medicines</w:t>
            </w:r>
            <w:r w:rsidRPr="009245BF">
              <w:rPr>
                <w:szCs w:val="22"/>
              </w:rPr>
              <w:t xml:space="preserve">, inhalational </w:t>
            </w:r>
            <w:r w:rsidRPr="001730B4">
              <w:rPr>
                <w:szCs w:val="22"/>
              </w:rPr>
              <w:t xml:space="preserve">medicines </w:t>
            </w:r>
            <w:r w:rsidRPr="009245BF">
              <w:rPr>
                <w:szCs w:val="22"/>
              </w:rPr>
              <w:t xml:space="preserve">and analgesic </w:t>
            </w:r>
            <w:r w:rsidRPr="001730B4">
              <w:rPr>
                <w:szCs w:val="22"/>
              </w:rPr>
              <w:t>medicines</w:t>
            </w:r>
            <w:r w:rsidRPr="009245BF">
              <w:rPr>
                <w:szCs w:val="22"/>
              </w:rPr>
              <w:t xml:space="preserve">; no pharmacological incompatibility has been encountered. Lower doses of </w:t>
            </w:r>
            <w:r w:rsidR="006932F9">
              <w:rPr>
                <w:b/>
                <w:szCs w:val="22"/>
              </w:rPr>
              <w:t>Propofol B. Braun</w:t>
            </w:r>
            <w:r w:rsidRPr="009245BF">
              <w:rPr>
                <w:b/>
                <w:szCs w:val="22"/>
              </w:rPr>
              <w:t xml:space="preserve"> </w:t>
            </w:r>
            <w:r w:rsidRPr="009245BF">
              <w:rPr>
                <w:szCs w:val="22"/>
              </w:rPr>
              <w:t xml:space="preserve">may be required where general anaesthesia or sedation is used as an adjunct to regional anaesthetic techniques. </w:t>
            </w:r>
          </w:p>
          <w:p w14:paraId="52291223" w14:textId="77777777" w:rsidR="00376ADE" w:rsidRPr="009245BF" w:rsidRDefault="00376ADE" w:rsidP="00552A28">
            <w:pPr>
              <w:spacing w:line="480" w:lineRule="auto"/>
              <w:rPr>
                <w:szCs w:val="22"/>
              </w:rPr>
            </w:pPr>
          </w:p>
          <w:p w14:paraId="0CA9A661" w14:textId="61A049D1" w:rsidR="00376ADE" w:rsidRDefault="00376ADE" w:rsidP="00552A28">
            <w:pPr>
              <w:spacing w:line="480" w:lineRule="auto"/>
              <w:rPr>
                <w:szCs w:val="22"/>
              </w:rPr>
            </w:pPr>
            <w:r w:rsidRPr="009245BF">
              <w:rPr>
                <w:szCs w:val="22"/>
              </w:rPr>
              <w:t>The concurrent administration of other</w:t>
            </w:r>
            <w:r>
              <w:rPr>
                <w:szCs w:val="22"/>
              </w:rPr>
              <w:t xml:space="preserve"> CNS depressants such as pre-</w:t>
            </w:r>
            <w:r w:rsidRPr="009245BF">
              <w:rPr>
                <w:szCs w:val="22"/>
              </w:rPr>
              <w:t xml:space="preserve">medication </w:t>
            </w:r>
            <w:r w:rsidRPr="001730B4">
              <w:rPr>
                <w:szCs w:val="22"/>
              </w:rPr>
              <w:t>medicine</w:t>
            </w:r>
            <w:r w:rsidRPr="00376ADE">
              <w:rPr>
                <w:szCs w:val="22"/>
              </w:rPr>
              <w:t>s</w:t>
            </w:r>
            <w:r w:rsidRPr="009245BF">
              <w:rPr>
                <w:szCs w:val="22"/>
              </w:rPr>
              <w:t xml:space="preserve">, inhalation </w:t>
            </w:r>
            <w:r w:rsidRPr="001730B4">
              <w:rPr>
                <w:szCs w:val="22"/>
              </w:rPr>
              <w:t>medicine</w:t>
            </w:r>
            <w:r w:rsidRPr="009245BF">
              <w:rPr>
                <w:szCs w:val="22"/>
              </w:rPr>
              <w:t xml:space="preserve">, and analgesic </w:t>
            </w:r>
            <w:r w:rsidRPr="001730B4">
              <w:rPr>
                <w:szCs w:val="22"/>
              </w:rPr>
              <w:t xml:space="preserve">medicine </w:t>
            </w:r>
            <w:r w:rsidRPr="009245BF">
              <w:rPr>
                <w:szCs w:val="22"/>
              </w:rPr>
              <w:t xml:space="preserve">may add to the sedative, anaesthetic and cardiorespiratory depressant effects of </w:t>
            </w:r>
            <w:r w:rsidR="006932F9">
              <w:rPr>
                <w:b/>
                <w:szCs w:val="22"/>
              </w:rPr>
              <w:t>Propofol B. Braun</w:t>
            </w:r>
            <w:r w:rsidRPr="009245BF">
              <w:rPr>
                <w:b/>
                <w:szCs w:val="22"/>
              </w:rPr>
              <w:t>.</w:t>
            </w:r>
            <w:r w:rsidRPr="009245BF">
              <w:rPr>
                <w:szCs w:val="22"/>
              </w:rPr>
              <w:t xml:space="preserve"> It is recommended that </w:t>
            </w:r>
            <w:r w:rsidR="006932F9">
              <w:rPr>
                <w:b/>
                <w:szCs w:val="22"/>
              </w:rPr>
              <w:t>Propofol B. Braun</w:t>
            </w:r>
            <w:r w:rsidRPr="009245BF">
              <w:rPr>
                <w:b/>
                <w:szCs w:val="22"/>
              </w:rPr>
              <w:t xml:space="preserve"> </w:t>
            </w:r>
            <w:r w:rsidRPr="009245BF">
              <w:rPr>
                <w:szCs w:val="22"/>
              </w:rPr>
              <w:t xml:space="preserve">is given after the administration of opioids so that the dose of </w:t>
            </w:r>
            <w:r w:rsidR="006932F9">
              <w:rPr>
                <w:b/>
                <w:szCs w:val="22"/>
              </w:rPr>
              <w:t>Propofol B. Braun</w:t>
            </w:r>
            <w:r w:rsidRPr="009245BF">
              <w:rPr>
                <w:b/>
                <w:szCs w:val="22"/>
              </w:rPr>
              <w:t xml:space="preserve"> </w:t>
            </w:r>
            <w:r w:rsidRPr="009245BF">
              <w:rPr>
                <w:szCs w:val="22"/>
              </w:rPr>
              <w:t xml:space="preserve">can be carefully titrated against the response. The dosage </w:t>
            </w:r>
            <w:r w:rsidR="006932F9">
              <w:rPr>
                <w:b/>
                <w:szCs w:val="22"/>
              </w:rPr>
              <w:t>Propofol B. Braun</w:t>
            </w:r>
            <w:r w:rsidRPr="009245BF">
              <w:rPr>
                <w:b/>
                <w:szCs w:val="22"/>
              </w:rPr>
              <w:t xml:space="preserve"> </w:t>
            </w:r>
            <w:r w:rsidRPr="009245BF">
              <w:rPr>
                <w:szCs w:val="22"/>
              </w:rPr>
              <w:t>should be reduced if used with nitrous oxide or halogenated anaesthetics. Although</w:t>
            </w:r>
            <w:r w:rsidRPr="00373ACF">
              <w:rPr>
                <w:szCs w:val="22"/>
              </w:rPr>
              <w:t xml:space="preserve"> propofol</w:t>
            </w:r>
            <w:r w:rsidRPr="009245BF">
              <w:rPr>
                <w:b/>
                <w:szCs w:val="22"/>
              </w:rPr>
              <w:t xml:space="preserve"> </w:t>
            </w:r>
            <w:r w:rsidRPr="009245BF">
              <w:rPr>
                <w:szCs w:val="22"/>
              </w:rPr>
              <w:t>does</w:t>
            </w:r>
            <w:r w:rsidRPr="009245BF">
              <w:rPr>
                <w:b/>
                <w:szCs w:val="22"/>
              </w:rPr>
              <w:t xml:space="preserve"> </w:t>
            </w:r>
            <w:r w:rsidRPr="009245BF">
              <w:rPr>
                <w:szCs w:val="22"/>
              </w:rPr>
              <w:t>not potentiate the effects of neuromuscular blockers, bradycardia and asystole have occurred after use of</w:t>
            </w:r>
            <w:r w:rsidRPr="009245BF">
              <w:rPr>
                <w:b/>
                <w:szCs w:val="22"/>
              </w:rPr>
              <w:t xml:space="preserve"> </w:t>
            </w:r>
            <w:r w:rsidRPr="00BF4BED">
              <w:rPr>
                <w:szCs w:val="22"/>
              </w:rPr>
              <w:t>propofol</w:t>
            </w:r>
            <w:r w:rsidRPr="009245BF">
              <w:rPr>
                <w:b/>
                <w:szCs w:val="22"/>
              </w:rPr>
              <w:t xml:space="preserve"> </w:t>
            </w:r>
            <w:r w:rsidRPr="009245BF">
              <w:rPr>
                <w:szCs w:val="22"/>
              </w:rPr>
              <w:t>with atracurium or suxamethonium.</w:t>
            </w:r>
          </w:p>
          <w:p w14:paraId="6703BF83" w14:textId="77777777" w:rsidR="00376ADE" w:rsidRDefault="00376ADE" w:rsidP="00552A28">
            <w:pPr>
              <w:spacing w:line="480" w:lineRule="auto"/>
              <w:rPr>
                <w:szCs w:val="22"/>
              </w:rPr>
            </w:pPr>
          </w:p>
          <w:p w14:paraId="15D6E1A7" w14:textId="7F27A069" w:rsidR="00376ADE" w:rsidRPr="001730B4" w:rsidRDefault="00376ADE" w:rsidP="00552A28">
            <w:pPr>
              <w:spacing w:line="480" w:lineRule="auto"/>
              <w:rPr>
                <w:szCs w:val="22"/>
              </w:rPr>
            </w:pPr>
            <w:r w:rsidRPr="001730B4">
              <w:rPr>
                <w:szCs w:val="22"/>
              </w:rPr>
              <w:t xml:space="preserve">Neuromuscular blocking medicines, atracurium and mivacurium should not be given through the same intravenous line as </w:t>
            </w:r>
            <w:r w:rsidR="006932F9">
              <w:rPr>
                <w:b/>
                <w:szCs w:val="22"/>
              </w:rPr>
              <w:t>Propofol B. Braun</w:t>
            </w:r>
            <w:r w:rsidRPr="001730B4">
              <w:rPr>
                <w:b/>
                <w:szCs w:val="22"/>
              </w:rPr>
              <w:t xml:space="preserve"> </w:t>
            </w:r>
            <w:r w:rsidRPr="001730B4">
              <w:rPr>
                <w:szCs w:val="22"/>
              </w:rPr>
              <w:t>without prior flushing (see section 6.2).</w:t>
            </w:r>
          </w:p>
          <w:p w14:paraId="6F9B8E12" w14:textId="77777777" w:rsidR="00376ADE" w:rsidRPr="009245BF" w:rsidRDefault="00376ADE" w:rsidP="00552A28">
            <w:pPr>
              <w:spacing w:line="480" w:lineRule="auto"/>
              <w:rPr>
                <w:szCs w:val="22"/>
              </w:rPr>
            </w:pPr>
          </w:p>
          <w:p w14:paraId="63608CA9" w14:textId="77777777" w:rsidR="00376ADE" w:rsidRPr="009245BF" w:rsidRDefault="00376ADE" w:rsidP="00552A28">
            <w:pPr>
              <w:spacing w:line="480" w:lineRule="auto"/>
              <w:rPr>
                <w:szCs w:val="22"/>
              </w:rPr>
            </w:pPr>
            <w:r w:rsidRPr="009245BF">
              <w:rPr>
                <w:szCs w:val="22"/>
              </w:rPr>
              <w:t>Profound hypotension has been reported following anaesthetic induction with propofol in patients treated with rifampicin.</w:t>
            </w:r>
          </w:p>
          <w:p w14:paraId="0A011CCB" w14:textId="77777777" w:rsidR="00376ADE" w:rsidRPr="009245BF" w:rsidRDefault="00376ADE" w:rsidP="00552A28">
            <w:pPr>
              <w:spacing w:line="480" w:lineRule="auto"/>
              <w:rPr>
                <w:szCs w:val="22"/>
              </w:rPr>
            </w:pPr>
          </w:p>
          <w:p w14:paraId="67BA52B6" w14:textId="77777777" w:rsidR="00376ADE" w:rsidRPr="009245BF" w:rsidRDefault="00376ADE" w:rsidP="00552A28">
            <w:pPr>
              <w:spacing w:line="480" w:lineRule="auto"/>
              <w:rPr>
                <w:szCs w:val="22"/>
              </w:rPr>
            </w:pPr>
            <w:r w:rsidRPr="009245BF">
              <w:rPr>
                <w:szCs w:val="22"/>
              </w:rPr>
              <w:t>A need for lower propofol doses has been observed in patients taking valproate. When used concomitantly, a dose reduction of propofol may be considered.</w:t>
            </w:r>
          </w:p>
          <w:p w14:paraId="72040E72" w14:textId="77777777" w:rsidR="00376ADE" w:rsidRPr="009245BF" w:rsidRDefault="00376ADE" w:rsidP="00552A28">
            <w:pPr>
              <w:spacing w:line="480" w:lineRule="auto"/>
              <w:rPr>
                <w:szCs w:val="22"/>
              </w:rPr>
            </w:pPr>
          </w:p>
          <w:p w14:paraId="20AB0EB2" w14:textId="2B8C8730" w:rsidR="00376ADE" w:rsidRDefault="00376ADE" w:rsidP="00552A28">
            <w:pPr>
              <w:spacing w:line="480" w:lineRule="auto"/>
              <w:rPr>
                <w:szCs w:val="22"/>
              </w:rPr>
            </w:pPr>
            <w:r w:rsidRPr="009245BF">
              <w:rPr>
                <w:i/>
                <w:szCs w:val="22"/>
              </w:rPr>
              <w:t>Benzodiazepines</w:t>
            </w:r>
            <w:r w:rsidRPr="009245BF">
              <w:rPr>
                <w:szCs w:val="22"/>
              </w:rPr>
              <w:t xml:space="preserve">: </w:t>
            </w:r>
            <w:r w:rsidRPr="00BF4BED">
              <w:rPr>
                <w:szCs w:val="22"/>
              </w:rPr>
              <w:t>Propofol</w:t>
            </w:r>
            <w:r w:rsidRPr="009245BF">
              <w:rPr>
                <w:b/>
                <w:szCs w:val="22"/>
              </w:rPr>
              <w:t xml:space="preserve"> </w:t>
            </w:r>
            <w:r w:rsidRPr="009245BF">
              <w:rPr>
                <w:szCs w:val="22"/>
              </w:rPr>
              <w:t>and midazolam have been reported to act synergistically (see section 4.4).</w:t>
            </w:r>
          </w:p>
          <w:p w14:paraId="044B24B8" w14:textId="77777777" w:rsidR="00376ADE" w:rsidRPr="009245BF" w:rsidRDefault="00376ADE" w:rsidP="00552A28">
            <w:pPr>
              <w:spacing w:line="480" w:lineRule="auto"/>
              <w:rPr>
                <w:b/>
                <w:szCs w:val="22"/>
              </w:rPr>
            </w:pPr>
          </w:p>
          <w:p w14:paraId="3626A801" w14:textId="01273A92" w:rsidR="00376ADE" w:rsidRDefault="00376ADE" w:rsidP="00552A28">
            <w:pPr>
              <w:spacing w:line="480" w:lineRule="auto"/>
              <w:rPr>
                <w:szCs w:val="22"/>
              </w:rPr>
            </w:pPr>
            <w:r w:rsidRPr="009245BF">
              <w:rPr>
                <w:i/>
                <w:szCs w:val="22"/>
              </w:rPr>
              <w:t xml:space="preserve">Gastrointestinal </w:t>
            </w:r>
            <w:r>
              <w:rPr>
                <w:i/>
                <w:szCs w:val="22"/>
              </w:rPr>
              <w:t>medicines</w:t>
            </w:r>
            <w:r w:rsidRPr="009245BF">
              <w:rPr>
                <w:i/>
                <w:szCs w:val="22"/>
              </w:rPr>
              <w:t xml:space="preserve">: </w:t>
            </w:r>
            <w:r>
              <w:rPr>
                <w:i/>
                <w:szCs w:val="22"/>
              </w:rPr>
              <w:t xml:space="preserve"> </w:t>
            </w:r>
            <w:r w:rsidRPr="009245BF">
              <w:rPr>
                <w:szCs w:val="22"/>
              </w:rPr>
              <w:t xml:space="preserve">The dose of </w:t>
            </w:r>
            <w:r w:rsidRPr="00BF4BED">
              <w:rPr>
                <w:szCs w:val="22"/>
              </w:rPr>
              <w:t>propofol</w:t>
            </w:r>
            <w:r w:rsidRPr="009245BF">
              <w:rPr>
                <w:b/>
                <w:szCs w:val="22"/>
              </w:rPr>
              <w:t xml:space="preserve"> </w:t>
            </w:r>
            <w:r w:rsidRPr="009245BF">
              <w:rPr>
                <w:szCs w:val="22"/>
              </w:rPr>
              <w:t>required for induction, is reduced in patients given metoclopramide.</w:t>
            </w:r>
          </w:p>
          <w:p w14:paraId="7D5A0BCA" w14:textId="77777777" w:rsidR="00376ADE" w:rsidRPr="009245BF" w:rsidRDefault="00376ADE" w:rsidP="00552A28">
            <w:pPr>
              <w:spacing w:line="480" w:lineRule="auto"/>
              <w:rPr>
                <w:szCs w:val="22"/>
              </w:rPr>
            </w:pPr>
          </w:p>
          <w:p w14:paraId="04080150" w14:textId="1A48AEDB" w:rsidR="00376ADE" w:rsidRDefault="00376ADE" w:rsidP="00552A28">
            <w:pPr>
              <w:spacing w:line="480" w:lineRule="auto"/>
              <w:rPr>
                <w:szCs w:val="22"/>
              </w:rPr>
            </w:pPr>
            <w:r w:rsidRPr="009245BF">
              <w:rPr>
                <w:i/>
                <w:szCs w:val="22"/>
              </w:rPr>
              <w:t xml:space="preserve">General anaesthetics: </w:t>
            </w:r>
            <w:r w:rsidRPr="009245BF">
              <w:rPr>
                <w:szCs w:val="22"/>
              </w:rPr>
              <w:t>The use of halothane or isoflurane has been reported to increase serum concentratio</w:t>
            </w:r>
            <w:r w:rsidRPr="00BF4BED">
              <w:rPr>
                <w:szCs w:val="22"/>
              </w:rPr>
              <w:t>ns of</w:t>
            </w:r>
            <w:r w:rsidRPr="00BF4BED">
              <w:rPr>
                <w:i/>
                <w:szCs w:val="22"/>
              </w:rPr>
              <w:t xml:space="preserve"> </w:t>
            </w:r>
            <w:r w:rsidRPr="00BF4BED">
              <w:rPr>
                <w:szCs w:val="22"/>
              </w:rPr>
              <w:t>prop</w:t>
            </w:r>
            <w:r>
              <w:rPr>
                <w:szCs w:val="22"/>
              </w:rPr>
              <w:t>o</w:t>
            </w:r>
            <w:r w:rsidRPr="00BF4BED">
              <w:rPr>
                <w:szCs w:val="22"/>
              </w:rPr>
              <w:t>fol. Synergy has been reported between propofol and etomidate.</w:t>
            </w:r>
            <w:r w:rsidRPr="009245BF">
              <w:rPr>
                <w:szCs w:val="22"/>
              </w:rPr>
              <w:t xml:space="preserve">      </w:t>
            </w:r>
          </w:p>
          <w:p w14:paraId="42271076" w14:textId="265E8E79" w:rsidR="00376ADE" w:rsidRDefault="00376ADE" w:rsidP="00552A28">
            <w:pPr>
              <w:spacing w:line="480" w:lineRule="auto"/>
              <w:rPr>
                <w:b/>
                <w:szCs w:val="22"/>
              </w:rPr>
            </w:pPr>
            <w:r w:rsidRPr="009245BF">
              <w:rPr>
                <w:i/>
                <w:szCs w:val="22"/>
              </w:rPr>
              <w:t xml:space="preserve">Local anaesthetics: </w:t>
            </w:r>
            <w:r w:rsidRPr="009245BF">
              <w:rPr>
                <w:szCs w:val="22"/>
              </w:rPr>
              <w:t xml:space="preserve">A reduction in the amount of </w:t>
            </w:r>
            <w:r w:rsidRPr="00BF4BED">
              <w:rPr>
                <w:szCs w:val="22"/>
              </w:rPr>
              <w:t>propofol required</w:t>
            </w:r>
            <w:r w:rsidRPr="009245BF">
              <w:rPr>
                <w:szCs w:val="22"/>
              </w:rPr>
              <w:t xml:space="preserve"> to provide adequate hypnosis or sedation has been reported after bupivacaine or lidocaine. However, lidocaine is often added to</w:t>
            </w:r>
            <w:r>
              <w:rPr>
                <w:b/>
                <w:szCs w:val="22"/>
              </w:rPr>
              <w:t xml:space="preserve"> </w:t>
            </w:r>
            <w:r w:rsidRPr="00BF4BED">
              <w:rPr>
                <w:szCs w:val="22"/>
              </w:rPr>
              <w:t>propofol</w:t>
            </w:r>
            <w:r>
              <w:rPr>
                <w:b/>
                <w:szCs w:val="22"/>
              </w:rPr>
              <w:t xml:space="preserve"> </w:t>
            </w:r>
            <w:r w:rsidRPr="009245BF">
              <w:rPr>
                <w:szCs w:val="22"/>
              </w:rPr>
              <w:t>emulsions to reduce pain at the site of injection</w:t>
            </w:r>
            <w:r w:rsidRPr="009245BF">
              <w:rPr>
                <w:b/>
                <w:szCs w:val="22"/>
              </w:rPr>
              <w:t>.</w:t>
            </w:r>
          </w:p>
          <w:p w14:paraId="4A36C246" w14:textId="77777777" w:rsidR="00376ADE" w:rsidRPr="009245BF" w:rsidRDefault="00376ADE" w:rsidP="00552A28">
            <w:pPr>
              <w:spacing w:line="480" w:lineRule="auto"/>
              <w:rPr>
                <w:b/>
                <w:szCs w:val="22"/>
              </w:rPr>
            </w:pPr>
          </w:p>
          <w:p w14:paraId="5BA6BAD7" w14:textId="7168BF3A" w:rsidR="00376ADE" w:rsidRPr="009245BF" w:rsidRDefault="00376ADE" w:rsidP="00552A28">
            <w:pPr>
              <w:spacing w:line="480" w:lineRule="auto"/>
              <w:rPr>
                <w:szCs w:val="22"/>
              </w:rPr>
            </w:pPr>
            <w:r w:rsidRPr="009245BF">
              <w:rPr>
                <w:i/>
                <w:szCs w:val="22"/>
              </w:rPr>
              <w:t xml:space="preserve">Opioids: </w:t>
            </w:r>
            <w:r w:rsidRPr="009245BF">
              <w:rPr>
                <w:szCs w:val="22"/>
              </w:rPr>
              <w:t xml:space="preserve">Concentrations of </w:t>
            </w:r>
            <w:r w:rsidRPr="00BF4BED">
              <w:rPr>
                <w:szCs w:val="22"/>
              </w:rPr>
              <w:t>propofol</w:t>
            </w:r>
            <w:r w:rsidRPr="009245BF">
              <w:rPr>
                <w:b/>
                <w:szCs w:val="22"/>
              </w:rPr>
              <w:t xml:space="preserve"> </w:t>
            </w:r>
            <w:r w:rsidRPr="009245BF">
              <w:rPr>
                <w:szCs w:val="22"/>
              </w:rPr>
              <w:t>were higher in patients pre-treated with fentanyl compared to patients maintained only on nitrous oxide (see section 4.4)</w:t>
            </w:r>
          </w:p>
        </w:tc>
      </w:tr>
      <w:tr w:rsidR="00376ADE" w:rsidRPr="009245BF" w14:paraId="1A550353" w14:textId="50EBDA00" w:rsidTr="000D7AB1">
        <w:tc>
          <w:tcPr>
            <w:tcW w:w="11070" w:type="dxa"/>
          </w:tcPr>
          <w:p w14:paraId="126C187E" w14:textId="3AE27068" w:rsidR="00376ADE" w:rsidRPr="009245BF" w:rsidRDefault="00376ADE" w:rsidP="00552A28">
            <w:pPr>
              <w:spacing w:line="480" w:lineRule="auto"/>
              <w:rPr>
                <w:b/>
                <w:szCs w:val="22"/>
              </w:rPr>
            </w:pPr>
            <w:r w:rsidRPr="009245BF">
              <w:rPr>
                <w:b/>
                <w:szCs w:val="22"/>
              </w:rPr>
              <w:lastRenderedPageBreak/>
              <w:t>4.6.  Fertility, pregnancy and lactation</w:t>
            </w:r>
          </w:p>
          <w:p w14:paraId="57F462C1" w14:textId="77777777" w:rsidR="00376ADE" w:rsidRPr="009245BF" w:rsidRDefault="00376ADE" w:rsidP="00552A28">
            <w:pPr>
              <w:spacing w:after="160" w:line="480" w:lineRule="auto"/>
              <w:contextualSpacing/>
              <w:rPr>
                <w:b/>
              </w:rPr>
            </w:pPr>
            <w:r w:rsidRPr="009245BF">
              <w:rPr>
                <w:b/>
              </w:rPr>
              <w:t xml:space="preserve">Pregnancy </w:t>
            </w:r>
          </w:p>
          <w:p w14:paraId="557D5CCE" w14:textId="2FD47253" w:rsidR="00376ADE" w:rsidRDefault="00376ADE" w:rsidP="00552A28">
            <w:pPr>
              <w:spacing w:line="480" w:lineRule="auto"/>
              <w:rPr>
                <w:szCs w:val="22"/>
              </w:rPr>
            </w:pPr>
            <w:r w:rsidRPr="009245BF">
              <w:rPr>
                <w:szCs w:val="22"/>
              </w:rPr>
              <w:t xml:space="preserve">The safety of </w:t>
            </w:r>
            <w:r w:rsidR="006932F9">
              <w:rPr>
                <w:b/>
                <w:szCs w:val="22"/>
              </w:rPr>
              <w:t>Propofol B. Braun</w:t>
            </w:r>
            <w:r w:rsidRPr="009245BF">
              <w:rPr>
                <w:b/>
                <w:szCs w:val="22"/>
              </w:rPr>
              <w:t xml:space="preserve"> </w:t>
            </w:r>
            <w:r w:rsidRPr="009245BF">
              <w:rPr>
                <w:szCs w:val="22"/>
              </w:rPr>
              <w:t>during pregnancy has not been established. Studies in animals have shown reproductive toxicity.</w:t>
            </w:r>
          </w:p>
          <w:p w14:paraId="47FB7884" w14:textId="77777777" w:rsidR="00376ADE" w:rsidRPr="009245BF" w:rsidRDefault="00376ADE" w:rsidP="00552A28">
            <w:pPr>
              <w:spacing w:line="480" w:lineRule="auto"/>
              <w:rPr>
                <w:szCs w:val="22"/>
              </w:rPr>
            </w:pPr>
          </w:p>
          <w:p w14:paraId="455E2ABF" w14:textId="4D4D2F2D" w:rsidR="00376ADE" w:rsidRDefault="006932F9" w:rsidP="00552A28">
            <w:pPr>
              <w:spacing w:line="480" w:lineRule="auto"/>
              <w:rPr>
                <w:szCs w:val="22"/>
              </w:rPr>
            </w:pPr>
            <w:r>
              <w:rPr>
                <w:b/>
                <w:szCs w:val="22"/>
              </w:rPr>
              <w:t>Propofol B. Braun</w:t>
            </w:r>
            <w:r w:rsidR="00376ADE" w:rsidRPr="009245BF">
              <w:rPr>
                <w:b/>
                <w:szCs w:val="22"/>
              </w:rPr>
              <w:t xml:space="preserve"> </w:t>
            </w:r>
            <w:r w:rsidR="00376ADE" w:rsidRPr="009245BF">
              <w:rPr>
                <w:szCs w:val="22"/>
              </w:rPr>
              <w:t>should not be given to pregnant women</w:t>
            </w:r>
            <w:r w:rsidR="00376ADE" w:rsidRPr="001730B4">
              <w:rPr>
                <w:b/>
                <w:szCs w:val="22"/>
              </w:rPr>
              <w:t xml:space="preserve">. </w:t>
            </w:r>
            <w:r w:rsidR="00376ADE" w:rsidRPr="00BF4BED">
              <w:rPr>
                <w:szCs w:val="22"/>
              </w:rPr>
              <w:t>Propofol</w:t>
            </w:r>
            <w:r w:rsidR="00376ADE" w:rsidRPr="009245BF">
              <w:rPr>
                <w:b/>
                <w:szCs w:val="22"/>
              </w:rPr>
              <w:t xml:space="preserve"> </w:t>
            </w:r>
            <w:r w:rsidR="00376ADE" w:rsidRPr="009245BF">
              <w:rPr>
                <w:szCs w:val="22"/>
              </w:rPr>
              <w:t xml:space="preserve">crosses the placenta and </w:t>
            </w:r>
            <w:r w:rsidRPr="001730B4">
              <w:rPr>
                <w:szCs w:val="22"/>
              </w:rPr>
              <w:t>has</w:t>
            </w:r>
            <w:r w:rsidR="00376ADE" w:rsidRPr="001730B4">
              <w:rPr>
                <w:szCs w:val="22"/>
              </w:rPr>
              <w:t xml:space="preserve"> been associated with</w:t>
            </w:r>
            <w:r w:rsidR="00376ADE" w:rsidRPr="009245BF">
              <w:rPr>
                <w:szCs w:val="22"/>
              </w:rPr>
              <w:t xml:space="preserve"> neonatal depression. </w:t>
            </w:r>
            <w:r>
              <w:rPr>
                <w:b/>
                <w:szCs w:val="22"/>
              </w:rPr>
              <w:t>Propofol B. Braun</w:t>
            </w:r>
            <w:r w:rsidR="00376ADE" w:rsidRPr="009245BF">
              <w:rPr>
                <w:b/>
                <w:szCs w:val="22"/>
              </w:rPr>
              <w:t xml:space="preserve"> </w:t>
            </w:r>
            <w:r w:rsidR="00376ADE" w:rsidRPr="009245BF">
              <w:rPr>
                <w:szCs w:val="22"/>
              </w:rPr>
              <w:t xml:space="preserve">can, however, be used during </w:t>
            </w:r>
            <w:r w:rsidR="00376ADE" w:rsidRPr="00BF4BED">
              <w:rPr>
                <w:szCs w:val="22"/>
              </w:rPr>
              <w:t>termination of pregnancy in the first trimester</w:t>
            </w:r>
            <w:r w:rsidR="00376ADE">
              <w:rPr>
                <w:szCs w:val="22"/>
              </w:rPr>
              <w:t>.</w:t>
            </w:r>
          </w:p>
          <w:p w14:paraId="77446F5E" w14:textId="77777777" w:rsidR="00376ADE" w:rsidRPr="009245BF" w:rsidRDefault="00376ADE" w:rsidP="00552A28">
            <w:pPr>
              <w:spacing w:line="480" w:lineRule="auto"/>
              <w:rPr>
                <w:szCs w:val="22"/>
              </w:rPr>
            </w:pPr>
          </w:p>
          <w:p w14:paraId="489AA80B" w14:textId="77777777" w:rsidR="00376ADE" w:rsidRPr="009245BF" w:rsidRDefault="00376ADE" w:rsidP="00552A28">
            <w:pPr>
              <w:spacing w:after="160" w:line="480" w:lineRule="auto"/>
              <w:contextualSpacing/>
              <w:rPr>
                <w:b/>
              </w:rPr>
            </w:pPr>
            <w:r w:rsidRPr="009245BF">
              <w:rPr>
                <w:b/>
              </w:rPr>
              <w:lastRenderedPageBreak/>
              <w:t xml:space="preserve">Breastfeeding </w:t>
            </w:r>
          </w:p>
          <w:p w14:paraId="702D92D9" w14:textId="35A27FB5" w:rsidR="00376ADE" w:rsidRPr="009245BF" w:rsidRDefault="00376ADE" w:rsidP="00552A28">
            <w:pPr>
              <w:spacing w:line="480" w:lineRule="auto"/>
              <w:rPr>
                <w:szCs w:val="22"/>
              </w:rPr>
            </w:pPr>
            <w:r w:rsidRPr="009245BF">
              <w:rPr>
                <w:szCs w:val="22"/>
              </w:rPr>
              <w:t xml:space="preserve">Studies of breast-feeding mothers showed that small quantities of </w:t>
            </w:r>
            <w:r w:rsidRPr="001730B4">
              <w:rPr>
                <w:szCs w:val="22"/>
              </w:rPr>
              <w:t>propofol</w:t>
            </w:r>
            <w:r w:rsidRPr="001730B4">
              <w:rPr>
                <w:b/>
                <w:szCs w:val="22"/>
              </w:rPr>
              <w:t xml:space="preserve"> </w:t>
            </w:r>
            <w:r w:rsidRPr="001730B4">
              <w:rPr>
                <w:szCs w:val="22"/>
              </w:rPr>
              <w:t>are excreted in human milk. Safety to the neonates has not been established.</w:t>
            </w:r>
            <w:r>
              <w:rPr>
                <w:szCs w:val="22"/>
              </w:rPr>
              <w:t xml:space="preserve"> </w:t>
            </w:r>
            <w:r w:rsidRPr="009245BF">
              <w:rPr>
                <w:szCs w:val="22"/>
              </w:rPr>
              <w:t xml:space="preserve">Women should therefore not breastfeed for 24 hours after administration of </w:t>
            </w:r>
            <w:r w:rsidR="006932F9">
              <w:rPr>
                <w:b/>
                <w:szCs w:val="22"/>
              </w:rPr>
              <w:t>Propofol B. Braun</w:t>
            </w:r>
            <w:r w:rsidRPr="009245BF">
              <w:rPr>
                <w:szCs w:val="22"/>
              </w:rPr>
              <w:t>. Milk produced during this period should be discarded.</w:t>
            </w:r>
          </w:p>
          <w:p w14:paraId="4F80AD2C" w14:textId="77777777" w:rsidR="00376ADE" w:rsidRPr="009245BF" w:rsidRDefault="00376ADE" w:rsidP="00552A28">
            <w:pPr>
              <w:spacing w:line="480" w:lineRule="auto"/>
              <w:rPr>
                <w:szCs w:val="22"/>
              </w:rPr>
            </w:pPr>
          </w:p>
          <w:p w14:paraId="1F677B68" w14:textId="77777777" w:rsidR="00376ADE" w:rsidRPr="009245BF" w:rsidRDefault="00376ADE" w:rsidP="00552A28">
            <w:pPr>
              <w:spacing w:after="160" w:line="480" w:lineRule="auto"/>
              <w:contextualSpacing/>
              <w:rPr>
                <w:b/>
              </w:rPr>
            </w:pPr>
            <w:r w:rsidRPr="009245BF">
              <w:rPr>
                <w:b/>
              </w:rPr>
              <w:t xml:space="preserve">Fertility </w:t>
            </w:r>
          </w:p>
          <w:p w14:paraId="2DA6817B" w14:textId="16804F3F" w:rsidR="00376ADE" w:rsidRPr="009245BF" w:rsidRDefault="00376ADE" w:rsidP="00552A28">
            <w:pPr>
              <w:spacing w:line="480" w:lineRule="auto"/>
              <w:rPr>
                <w:szCs w:val="22"/>
              </w:rPr>
            </w:pPr>
            <w:r w:rsidRPr="009245BF">
              <w:rPr>
                <w:szCs w:val="22"/>
              </w:rPr>
              <w:t>No data available.</w:t>
            </w:r>
          </w:p>
        </w:tc>
      </w:tr>
      <w:tr w:rsidR="00376ADE" w:rsidRPr="009245BF" w14:paraId="5EEA3DDE" w14:textId="29A920B0" w:rsidTr="000D7AB1">
        <w:tc>
          <w:tcPr>
            <w:tcW w:w="11070" w:type="dxa"/>
          </w:tcPr>
          <w:p w14:paraId="621ABEEF" w14:textId="22BB0779" w:rsidR="00376ADE" w:rsidRPr="009245BF" w:rsidRDefault="00376ADE" w:rsidP="00552A28">
            <w:pPr>
              <w:spacing w:line="480" w:lineRule="auto"/>
              <w:rPr>
                <w:b/>
                <w:szCs w:val="22"/>
              </w:rPr>
            </w:pPr>
            <w:r w:rsidRPr="009245BF">
              <w:rPr>
                <w:b/>
                <w:szCs w:val="22"/>
              </w:rPr>
              <w:lastRenderedPageBreak/>
              <w:t xml:space="preserve">4.7.  Effects on ability to drive and use machines </w:t>
            </w:r>
          </w:p>
          <w:p w14:paraId="371BD12F" w14:textId="3CD82650" w:rsidR="00376ADE" w:rsidRDefault="00376ADE" w:rsidP="00552A28">
            <w:pPr>
              <w:spacing w:line="480" w:lineRule="auto"/>
              <w:rPr>
                <w:b/>
                <w:szCs w:val="22"/>
              </w:rPr>
            </w:pPr>
            <w:r w:rsidRPr="009245BF">
              <w:rPr>
                <w:szCs w:val="22"/>
              </w:rPr>
              <w:t xml:space="preserve">Patients should be advised that performance at skilled tasks, such as driving and operating machinery, may be impaired for some time after use of </w:t>
            </w:r>
            <w:r w:rsidR="006932F9">
              <w:rPr>
                <w:b/>
                <w:szCs w:val="22"/>
              </w:rPr>
              <w:t>Propofol B. Braun</w:t>
            </w:r>
            <w:r w:rsidRPr="009245BF">
              <w:rPr>
                <w:b/>
                <w:szCs w:val="22"/>
              </w:rPr>
              <w:t>.</w:t>
            </w:r>
          </w:p>
          <w:p w14:paraId="4134C34D" w14:textId="57B71856" w:rsidR="00376ADE" w:rsidRPr="001730B4" w:rsidRDefault="00376ADE" w:rsidP="00552A28">
            <w:pPr>
              <w:spacing w:line="480" w:lineRule="auto"/>
              <w:rPr>
                <w:szCs w:val="22"/>
              </w:rPr>
            </w:pPr>
            <w:r w:rsidRPr="001730B4">
              <w:rPr>
                <w:szCs w:val="22"/>
              </w:rPr>
              <w:t xml:space="preserve">After administration of </w:t>
            </w:r>
            <w:r w:rsidR="006932F9">
              <w:rPr>
                <w:b/>
                <w:szCs w:val="22"/>
              </w:rPr>
              <w:t>Propofol B. Braun</w:t>
            </w:r>
            <w:r w:rsidRPr="001730B4">
              <w:rPr>
                <w:szCs w:val="22"/>
              </w:rPr>
              <w:t>, the patient should be kept under observation for an appropriate period of time. The patient should not be allowed to go home unaccompanied and should be instructed to avoid consumption of alcohol.</w:t>
            </w:r>
          </w:p>
          <w:p w14:paraId="12F93BB1" w14:textId="77777777" w:rsidR="00376ADE" w:rsidRPr="009245BF" w:rsidRDefault="00376ADE" w:rsidP="00552A28">
            <w:pPr>
              <w:spacing w:line="480" w:lineRule="auto"/>
              <w:rPr>
                <w:szCs w:val="22"/>
              </w:rPr>
            </w:pPr>
          </w:p>
          <w:p w14:paraId="5E602246" w14:textId="3CA32DC1" w:rsidR="00376ADE" w:rsidRPr="009245BF" w:rsidRDefault="006932F9" w:rsidP="00552A28">
            <w:pPr>
              <w:spacing w:line="480" w:lineRule="auto"/>
              <w:rPr>
                <w:szCs w:val="22"/>
              </w:rPr>
            </w:pPr>
            <w:r>
              <w:rPr>
                <w:b/>
                <w:szCs w:val="22"/>
              </w:rPr>
              <w:t>Propofol B. Braun</w:t>
            </w:r>
            <w:r w:rsidR="00376ADE" w:rsidRPr="009245BF">
              <w:rPr>
                <w:szCs w:val="22"/>
              </w:rPr>
              <w:t xml:space="preserve"> induced impairment is not generally </w:t>
            </w:r>
            <w:r w:rsidR="00376ADE">
              <w:rPr>
                <w:szCs w:val="22"/>
              </w:rPr>
              <w:t>detectable beyond 12 hours (See section 4.4).</w:t>
            </w:r>
          </w:p>
        </w:tc>
      </w:tr>
      <w:tr w:rsidR="00376ADE" w:rsidRPr="009245BF" w14:paraId="1588A578" w14:textId="3B7EA4A9" w:rsidTr="000D7AB1">
        <w:tc>
          <w:tcPr>
            <w:tcW w:w="11070" w:type="dxa"/>
          </w:tcPr>
          <w:p w14:paraId="51FA5605" w14:textId="1F5EE10B" w:rsidR="00376ADE" w:rsidRPr="009245BF" w:rsidRDefault="00376ADE" w:rsidP="00552A28">
            <w:pPr>
              <w:spacing w:line="480" w:lineRule="auto"/>
              <w:rPr>
                <w:b/>
                <w:szCs w:val="22"/>
              </w:rPr>
            </w:pPr>
            <w:r>
              <w:rPr>
                <w:b/>
                <w:szCs w:val="22"/>
              </w:rPr>
              <w:t>4.8.</w:t>
            </w:r>
            <w:r w:rsidRPr="009245BF">
              <w:rPr>
                <w:b/>
                <w:szCs w:val="22"/>
              </w:rPr>
              <w:t xml:space="preserve"> Undesirable effects</w:t>
            </w:r>
          </w:p>
          <w:p w14:paraId="0B09DF41" w14:textId="243B0F74" w:rsidR="00376ADE" w:rsidRDefault="00376ADE" w:rsidP="00552A28">
            <w:pPr>
              <w:spacing w:line="480" w:lineRule="auto"/>
              <w:rPr>
                <w:szCs w:val="22"/>
              </w:rPr>
            </w:pPr>
            <w:r w:rsidRPr="009245BF">
              <w:rPr>
                <w:szCs w:val="22"/>
              </w:rPr>
              <w:t xml:space="preserve">Induction and maintenance of </w:t>
            </w:r>
            <w:r w:rsidRPr="001730B4">
              <w:rPr>
                <w:szCs w:val="22"/>
              </w:rPr>
              <w:t>anaesthesia or sedation with propofol is generally smooth with minimal evidence of excitation. The most commonly reported adverse reactions are pharmacologically predictable side effects of an anaesthetic/sedative medicine, such as hypotension and apnoea. These effects depend on the propofol dose administered but also on the type of premedication</w:t>
            </w:r>
            <w:r w:rsidRPr="009245BF">
              <w:rPr>
                <w:szCs w:val="22"/>
              </w:rPr>
              <w:t xml:space="preserve"> and other concomitant medication. </w:t>
            </w:r>
          </w:p>
          <w:p w14:paraId="1C0D0BC8" w14:textId="77777777" w:rsidR="00376ADE" w:rsidRDefault="00376ADE" w:rsidP="00552A28">
            <w:pPr>
              <w:spacing w:line="480" w:lineRule="auto"/>
              <w:rPr>
                <w:szCs w:val="22"/>
              </w:rPr>
            </w:pPr>
          </w:p>
          <w:p w14:paraId="4E9FF18B" w14:textId="6D3FDC82" w:rsidR="00376ADE" w:rsidRPr="009245BF" w:rsidRDefault="00376ADE" w:rsidP="006932F9">
            <w:pPr>
              <w:spacing w:line="480" w:lineRule="auto"/>
              <w:rPr>
                <w:szCs w:val="22"/>
              </w:rPr>
            </w:pPr>
            <w:r w:rsidRPr="009245BF">
              <w:rPr>
                <w:szCs w:val="22"/>
              </w:rPr>
              <w:t xml:space="preserve">The nature, severity and incidence of adverse events observed in patients receiving </w:t>
            </w:r>
            <w:r w:rsidRPr="009245BF">
              <w:rPr>
                <w:b/>
                <w:szCs w:val="22"/>
              </w:rPr>
              <w:t>Propofol</w:t>
            </w:r>
            <w:r w:rsidRPr="009245BF">
              <w:rPr>
                <w:szCs w:val="22"/>
              </w:rPr>
              <w:t xml:space="preserve"> </w:t>
            </w:r>
            <w:r w:rsidR="006932F9" w:rsidRPr="006932F9">
              <w:rPr>
                <w:b/>
                <w:szCs w:val="22"/>
              </w:rPr>
              <w:t>B. Braun</w:t>
            </w:r>
            <w:r w:rsidR="006932F9" w:rsidRPr="006932F9">
              <w:rPr>
                <w:szCs w:val="22"/>
              </w:rPr>
              <w:t xml:space="preserve"> </w:t>
            </w:r>
            <w:r w:rsidRPr="009245BF">
              <w:rPr>
                <w:szCs w:val="22"/>
              </w:rPr>
              <w:t>may be related to the condition of the recipients and the operative or therapeutic procedures being undertaken.</w:t>
            </w:r>
          </w:p>
        </w:tc>
      </w:tr>
      <w:tr w:rsidR="00376ADE" w:rsidRPr="009245BF" w14:paraId="7DA8E8BE" w14:textId="33CBD07B" w:rsidTr="000D7AB1">
        <w:tc>
          <w:tcPr>
            <w:tcW w:w="11070" w:type="dxa"/>
          </w:tcPr>
          <w:p w14:paraId="2C49D4DF" w14:textId="20F845A9" w:rsidR="00376ADE" w:rsidRPr="009245BF" w:rsidRDefault="00376ADE" w:rsidP="00552A28">
            <w:pPr>
              <w:spacing w:line="480" w:lineRule="auto"/>
              <w:rPr>
                <w:b/>
                <w:szCs w:val="22"/>
              </w:rPr>
            </w:pPr>
            <w:r w:rsidRPr="009245BF">
              <w:rPr>
                <w:b/>
                <w:szCs w:val="22"/>
              </w:rPr>
              <w:t>Table of Adverse Drug Reactions</w:t>
            </w:r>
          </w:p>
          <w:p w14:paraId="277843AF" w14:textId="77777777" w:rsidR="00376ADE" w:rsidRPr="009245BF" w:rsidRDefault="00376ADE" w:rsidP="00552A28">
            <w:pPr>
              <w:spacing w:line="480" w:lineRule="auto"/>
              <w:rPr>
                <w:szCs w:val="22"/>
              </w:rPr>
            </w:pPr>
            <w:r w:rsidRPr="009245BF">
              <w:rPr>
                <w:szCs w:val="22"/>
              </w:rPr>
              <w:t>Undesirable effects are listed according to their frequencies as follows: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4"/>
              <w:gridCol w:w="2835"/>
              <w:gridCol w:w="4252"/>
            </w:tblGrid>
            <w:tr w:rsidR="00376ADE" w:rsidRPr="006932F9" w14:paraId="092307D5" w14:textId="77777777" w:rsidTr="006932F9">
              <w:trPr>
                <w:cantSplit/>
              </w:trPr>
              <w:tc>
                <w:tcPr>
                  <w:tcW w:w="3614" w:type="dxa"/>
                </w:tcPr>
                <w:p w14:paraId="79FF4821" w14:textId="77777777" w:rsidR="00376ADE" w:rsidRPr="006932F9" w:rsidRDefault="00376ADE" w:rsidP="00552A28">
                  <w:pPr>
                    <w:pStyle w:val="A-TableText"/>
                    <w:spacing w:before="0" w:after="0" w:line="480" w:lineRule="auto"/>
                    <w:rPr>
                      <w:rFonts w:ascii="Arial" w:hAnsi="Arial" w:cs="Arial"/>
                      <w:b/>
                      <w:iCs/>
                      <w:szCs w:val="22"/>
                    </w:rPr>
                  </w:pPr>
                  <w:r w:rsidRPr="006932F9">
                    <w:rPr>
                      <w:rFonts w:ascii="Arial" w:hAnsi="Arial" w:cs="Arial"/>
                      <w:b/>
                      <w:iCs/>
                      <w:szCs w:val="22"/>
                    </w:rPr>
                    <w:t>System Organ Class</w:t>
                  </w:r>
                </w:p>
              </w:tc>
              <w:tc>
                <w:tcPr>
                  <w:tcW w:w="2835" w:type="dxa"/>
                </w:tcPr>
                <w:p w14:paraId="517F01FE" w14:textId="77777777" w:rsidR="00376ADE" w:rsidRPr="006932F9" w:rsidRDefault="00376ADE" w:rsidP="00552A28">
                  <w:pPr>
                    <w:pStyle w:val="A-TableText"/>
                    <w:spacing w:before="0" w:after="0" w:line="480" w:lineRule="auto"/>
                    <w:rPr>
                      <w:rFonts w:ascii="Arial" w:hAnsi="Arial" w:cs="Arial"/>
                      <w:b/>
                      <w:szCs w:val="22"/>
                    </w:rPr>
                  </w:pPr>
                  <w:r w:rsidRPr="006932F9">
                    <w:rPr>
                      <w:rFonts w:ascii="Arial" w:hAnsi="Arial" w:cs="Arial"/>
                      <w:b/>
                      <w:szCs w:val="22"/>
                    </w:rPr>
                    <w:t>Frequency</w:t>
                  </w:r>
                </w:p>
              </w:tc>
              <w:tc>
                <w:tcPr>
                  <w:tcW w:w="4252" w:type="dxa"/>
                </w:tcPr>
                <w:p w14:paraId="107C3C53" w14:textId="77777777" w:rsidR="00376ADE" w:rsidRPr="006932F9" w:rsidRDefault="00376ADE" w:rsidP="00552A28">
                  <w:pPr>
                    <w:pStyle w:val="A-TableText"/>
                    <w:spacing w:before="0" w:after="0" w:line="480" w:lineRule="auto"/>
                    <w:rPr>
                      <w:rFonts w:ascii="Arial" w:hAnsi="Arial" w:cs="Arial"/>
                      <w:b/>
                      <w:szCs w:val="22"/>
                    </w:rPr>
                  </w:pPr>
                  <w:r w:rsidRPr="006932F9">
                    <w:rPr>
                      <w:rFonts w:ascii="Arial" w:hAnsi="Arial" w:cs="Arial"/>
                      <w:b/>
                      <w:szCs w:val="22"/>
                    </w:rPr>
                    <w:t>Undesirable Effects</w:t>
                  </w:r>
                </w:p>
              </w:tc>
            </w:tr>
            <w:tr w:rsidR="00376ADE" w:rsidRPr="006932F9" w14:paraId="5DD37453" w14:textId="77777777" w:rsidTr="006932F9">
              <w:trPr>
                <w:cantSplit/>
              </w:trPr>
              <w:tc>
                <w:tcPr>
                  <w:tcW w:w="3614" w:type="dxa"/>
                </w:tcPr>
                <w:p w14:paraId="1FF03B64"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lastRenderedPageBreak/>
                    <w:t>Immune system disorders:</w:t>
                  </w:r>
                </w:p>
              </w:tc>
              <w:tc>
                <w:tcPr>
                  <w:tcW w:w="2835" w:type="dxa"/>
                </w:tcPr>
                <w:p w14:paraId="5E2329F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Pr>
                <w:p w14:paraId="060DE33E" w14:textId="73FFB13D"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Anaphylaxis</w:t>
                  </w:r>
                  <w:r w:rsidR="007A42FB" w:rsidRPr="006932F9">
                    <w:rPr>
                      <w:rFonts w:ascii="Arial" w:hAnsi="Arial" w:cs="Arial"/>
                      <w:szCs w:val="22"/>
                    </w:rPr>
                    <w:t xml:space="preserve"> </w:t>
                  </w:r>
                  <w:r w:rsidRPr="006932F9">
                    <w:rPr>
                      <w:rFonts w:ascii="Arial" w:hAnsi="Arial" w:cs="Arial"/>
                      <w:szCs w:val="22"/>
                    </w:rPr>
                    <w:t>– may include angioedema, bronchospasm, erythema and hypotension</w:t>
                  </w:r>
                </w:p>
              </w:tc>
            </w:tr>
            <w:tr w:rsidR="00376ADE" w:rsidRPr="006932F9" w14:paraId="32624161" w14:textId="77777777" w:rsidTr="006932F9">
              <w:trPr>
                <w:cantSplit/>
              </w:trPr>
              <w:tc>
                <w:tcPr>
                  <w:tcW w:w="3614" w:type="dxa"/>
                  <w:tcBorders>
                    <w:bottom w:val="single" w:sz="4" w:space="0" w:color="auto"/>
                  </w:tcBorders>
                </w:tcPr>
                <w:p w14:paraId="142273D7"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Metabolism and nutritional disorders:</w:t>
                  </w:r>
                </w:p>
              </w:tc>
              <w:tc>
                <w:tcPr>
                  <w:tcW w:w="2835" w:type="dxa"/>
                  <w:tcBorders>
                    <w:bottom w:val="single" w:sz="4" w:space="0" w:color="auto"/>
                  </w:tcBorders>
                </w:tcPr>
                <w:p w14:paraId="08C2B0DD"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Borders>
                    <w:bottom w:val="single" w:sz="4" w:space="0" w:color="auto"/>
                  </w:tcBorders>
                </w:tcPr>
                <w:p w14:paraId="3007B2C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Metabolic acidosis (5), hyperkalaemia (5), hyperlipidaemia (5)</w:t>
                  </w:r>
                </w:p>
              </w:tc>
            </w:tr>
            <w:tr w:rsidR="00376ADE" w:rsidRPr="006932F9" w14:paraId="5E5019D4" w14:textId="77777777" w:rsidTr="006932F9">
              <w:trPr>
                <w:cantSplit/>
              </w:trPr>
              <w:tc>
                <w:tcPr>
                  <w:tcW w:w="3614" w:type="dxa"/>
                  <w:vMerge w:val="restart"/>
                </w:tcPr>
                <w:p w14:paraId="67EF2356" w14:textId="4DCCECB6"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Psychiatric disorders:</w:t>
                  </w:r>
                </w:p>
              </w:tc>
              <w:tc>
                <w:tcPr>
                  <w:tcW w:w="2835" w:type="dxa"/>
                  <w:tcBorders>
                    <w:bottom w:val="single" w:sz="4" w:space="0" w:color="auto"/>
                  </w:tcBorders>
                </w:tcPr>
                <w:p w14:paraId="5C2B913A" w14:textId="7309C961"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Less frequent</w:t>
                  </w:r>
                </w:p>
              </w:tc>
              <w:tc>
                <w:tcPr>
                  <w:tcW w:w="4252" w:type="dxa"/>
                  <w:tcBorders>
                    <w:bottom w:val="single" w:sz="4" w:space="0" w:color="auto"/>
                  </w:tcBorders>
                </w:tcPr>
                <w:p w14:paraId="0E6F48FF" w14:textId="41FBC6E3"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Sexual disinhibition</w:t>
                  </w:r>
                </w:p>
              </w:tc>
            </w:tr>
            <w:tr w:rsidR="00376ADE" w:rsidRPr="006932F9" w14:paraId="2C7B453F" w14:textId="77777777" w:rsidTr="006932F9">
              <w:trPr>
                <w:cantSplit/>
              </w:trPr>
              <w:tc>
                <w:tcPr>
                  <w:tcW w:w="3614" w:type="dxa"/>
                  <w:vMerge/>
                  <w:tcBorders>
                    <w:bottom w:val="single" w:sz="4" w:space="0" w:color="auto"/>
                  </w:tcBorders>
                </w:tcPr>
                <w:p w14:paraId="7E72EBD8" w14:textId="70C4ED35" w:rsidR="00376ADE" w:rsidRPr="006932F9" w:rsidRDefault="00376ADE" w:rsidP="00552A28">
                  <w:pPr>
                    <w:pStyle w:val="A-TableText"/>
                    <w:spacing w:before="0" w:after="0" w:line="480" w:lineRule="auto"/>
                    <w:rPr>
                      <w:rFonts w:ascii="Arial" w:hAnsi="Arial" w:cs="Arial"/>
                      <w:i/>
                      <w:iCs/>
                      <w:szCs w:val="22"/>
                    </w:rPr>
                  </w:pPr>
                </w:p>
              </w:tc>
              <w:tc>
                <w:tcPr>
                  <w:tcW w:w="2835" w:type="dxa"/>
                  <w:tcBorders>
                    <w:bottom w:val="single" w:sz="4" w:space="0" w:color="auto"/>
                  </w:tcBorders>
                </w:tcPr>
                <w:p w14:paraId="19CEB3DC"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Borders>
                    <w:bottom w:val="single" w:sz="4" w:space="0" w:color="auto"/>
                  </w:tcBorders>
                </w:tcPr>
                <w:p w14:paraId="29D6B21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Euphoric mood, drug abuse and drug dependence (8)</w:t>
                  </w:r>
                </w:p>
              </w:tc>
            </w:tr>
            <w:tr w:rsidR="00376ADE" w:rsidRPr="006932F9" w14:paraId="49DCF9CF" w14:textId="77777777" w:rsidTr="006932F9">
              <w:trPr>
                <w:cantSplit/>
              </w:trPr>
              <w:tc>
                <w:tcPr>
                  <w:tcW w:w="3614" w:type="dxa"/>
                  <w:tcBorders>
                    <w:top w:val="single" w:sz="4" w:space="0" w:color="auto"/>
                    <w:bottom w:val="single" w:sz="4" w:space="0" w:color="auto"/>
                  </w:tcBorders>
                </w:tcPr>
                <w:p w14:paraId="101C4566"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Nervous system disorders:</w:t>
                  </w:r>
                </w:p>
              </w:tc>
              <w:tc>
                <w:tcPr>
                  <w:tcW w:w="2835" w:type="dxa"/>
                  <w:tcBorders>
                    <w:top w:val="single" w:sz="4" w:space="0" w:color="auto"/>
                    <w:bottom w:val="single" w:sz="4" w:space="0" w:color="auto"/>
                  </w:tcBorders>
                </w:tcPr>
                <w:p w14:paraId="279F26C8"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Frequent</w:t>
                  </w:r>
                </w:p>
              </w:tc>
              <w:tc>
                <w:tcPr>
                  <w:tcW w:w="4252" w:type="dxa"/>
                  <w:tcBorders>
                    <w:top w:val="single" w:sz="4" w:space="0" w:color="auto"/>
                    <w:bottom w:val="single" w:sz="4" w:space="0" w:color="auto"/>
                  </w:tcBorders>
                </w:tcPr>
                <w:p w14:paraId="1F9FA07F"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Headache during recovery phase</w:t>
                  </w:r>
                </w:p>
              </w:tc>
            </w:tr>
            <w:tr w:rsidR="00376ADE" w:rsidRPr="006932F9" w14:paraId="3352CE94" w14:textId="77777777" w:rsidTr="006932F9">
              <w:trPr>
                <w:cantSplit/>
              </w:trPr>
              <w:tc>
                <w:tcPr>
                  <w:tcW w:w="3614" w:type="dxa"/>
                  <w:vMerge w:val="restart"/>
                  <w:tcBorders>
                    <w:top w:val="single" w:sz="4" w:space="0" w:color="auto"/>
                  </w:tcBorders>
                </w:tcPr>
                <w:p w14:paraId="3D685397"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Borders>
                    <w:top w:val="single" w:sz="4" w:space="0" w:color="auto"/>
                    <w:bottom w:val="single" w:sz="4" w:space="0" w:color="auto"/>
                  </w:tcBorders>
                </w:tcPr>
                <w:p w14:paraId="665B9614"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Borders>
                    <w:top w:val="single" w:sz="4" w:space="0" w:color="auto"/>
                    <w:bottom w:val="single" w:sz="4" w:space="0" w:color="auto"/>
                  </w:tcBorders>
                </w:tcPr>
                <w:p w14:paraId="406B4334"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Epileptiform movements, including convulsions and opisthotonus during induction, maintenance and recovery.</w:t>
                  </w:r>
                </w:p>
                <w:p w14:paraId="62996F61" w14:textId="429B1305"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Postoperative unconsciousness, syncope</w:t>
                  </w:r>
                </w:p>
              </w:tc>
            </w:tr>
            <w:tr w:rsidR="00376ADE" w:rsidRPr="006932F9" w14:paraId="4496F8A7" w14:textId="77777777" w:rsidTr="006932F9">
              <w:trPr>
                <w:cantSplit/>
                <w:trHeight w:val="280"/>
              </w:trPr>
              <w:tc>
                <w:tcPr>
                  <w:tcW w:w="3614" w:type="dxa"/>
                  <w:vMerge/>
                  <w:tcBorders>
                    <w:bottom w:val="single" w:sz="4" w:space="0" w:color="auto"/>
                  </w:tcBorders>
                </w:tcPr>
                <w:p w14:paraId="6EDCABED"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Borders>
                    <w:bottom w:val="single" w:sz="4" w:space="0" w:color="auto"/>
                  </w:tcBorders>
                </w:tcPr>
                <w:p w14:paraId="22BC82C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Borders>
                    <w:bottom w:val="single" w:sz="4" w:space="0" w:color="auto"/>
                  </w:tcBorders>
                </w:tcPr>
                <w:p w14:paraId="34F20AD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Involuntary movements</w:t>
                  </w:r>
                </w:p>
              </w:tc>
            </w:tr>
            <w:tr w:rsidR="00376ADE" w:rsidRPr="006932F9" w14:paraId="272CCA75" w14:textId="77777777" w:rsidTr="006932F9">
              <w:trPr>
                <w:cantSplit/>
              </w:trPr>
              <w:tc>
                <w:tcPr>
                  <w:tcW w:w="3614" w:type="dxa"/>
                  <w:tcBorders>
                    <w:top w:val="single" w:sz="4" w:space="0" w:color="auto"/>
                    <w:bottom w:val="single" w:sz="4" w:space="0" w:color="auto"/>
                  </w:tcBorders>
                </w:tcPr>
                <w:p w14:paraId="6ECE05FE"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Cardiac disorders:</w:t>
                  </w:r>
                </w:p>
              </w:tc>
              <w:tc>
                <w:tcPr>
                  <w:tcW w:w="2835" w:type="dxa"/>
                  <w:tcBorders>
                    <w:top w:val="single" w:sz="4" w:space="0" w:color="auto"/>
                    <w:bottom w:val="single" w:sz="4" w:space="0" w:color="auto"/>
                  </w:tcBorders>
                </w:tcPr>
                <w:p w14:paraId="70C8CD9E"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Frequent </w:t>
                  </w:r>
                </w:p>
              </w:tc>
              <w:tc>
                <w:tcPr>
                  <w:tcW w:w="4252" w:type="dxa"/>
                  <w:tcBorders>
                    <w:top w:val="single" w:sz="4" w:space="0" w:color="auto"/>
                    <w:bottom w:val="single" w:sz="4" w:space="0" w:color="auto"/>
                  </w:tcBorders>
                </w:tcPr>
                <w:p w14:paraId="6285196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Bradycardia (1)</w:t>
                  </w:r>
                </w:p>
              </w:tc>
            </w:tr>
            <w:tr w:rsidR="00376ADE" w:rsidRPr="006932F9" w14:paraId="71FB815A" w14:textId="77777777" w:rsidTr="006932F9">
              <w:trPr>
                <w:cantSplit/>
                <w:trHeight w:val="482"/>
              </w:trPr>
              <w:tc>
                <w:tcPr>
                  <w:tcW w:w="3614" w:type="dxa"/>
                  <w:vMerge w:val="restart"/>
                  <w:tcBorders>
                    <w:top w:val="single" w:sz="4" w:space="0" w:color="auto"/>
                  </w:tcBorders>
                </w:tcPr>
                <w:p w14:paraId="7C5FA0E6"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Borders>
                    <w:top w:val="single" w:sz="4" w:space="0" w:color="auto"/>
                  </w:tcBorders>
                </w:tcPr>
                <w:p w14:paraId="7BAC92CF"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Borders>
                    <w:top w:val="single" w:sz="4" w:space="0" w:color="auto"/>
                  </w:tcBorders>
                </w:tcPr>
                <w:p w14:paraId="6ECEFD5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Pulmonary oedema, excitation.</w:t>
                  </w:r>
                </w:p>
                <w:p w14:paraId="268907C3" w14:textId="4A3E0DEC" w:rsidR="00376ADE" w:rsidRPr="006932F9" w:rsidRDefault="00376ADE" w:rsidP="00552A28">
                  <w:pPr>
                    <w:pStyle w:val="A-TableText"/>
                    <w:spacing w:before="0" w:after="0" w:line="480" w:lineRule="auto"/>
                    <w:rPr>
                      <w:rFonts w:ascii="Arial" w:hAnsi="Arial" w:cs="Arial"/>
                      <w:strike/>
                      <w:szCs w:val="22"/>
                    </w:rPr>
                  </w:pPr>
                  <w:r w:rsidRPr="006932F9">
                    <w:rPr>
                      <w:rFonts w:ascii="Arial" w:hAnsi="Arial" w:cs="Arial"/>
                      <w:szCs w:val="22"/>
                    </w:rPr>
                    <w:t>Tachycardia, premature ventricular contractions, premature atrial contractions, abnormal ECG and segment depression.</w:t>
                  </w:r>
                </w:p>
              </w:tc>
            </w:tr>
            <w:tr w:rsidR="00376ADE" w:rsidRPr="006932F9" w14:paraId="7E730A45" w14:textId="77777777" w:rsidTr="006932F9">
              <w:trPr>
                <w:cantSplit/>
                <w:trHeight w:val="482"/>
              </w:trPr>
              <w:tc>
                <w:tcPr>
                  <w:tcW w:w="3614" w:type="dxa"/>
                  <w:vMerge/>
                  <w:tcBorders>
                    <w:bottom w:val="single" w:sz="4" w:space="0" w:color="auto"/>
                  </w:tcBorders>
                </w:tcPr>
                <w:p w14:paraId="589E5EC4" w14:textId="15D92FC6" w:rsidR="00376ADE" w:rsidRPr="006932F9" w:rsidRDefault="00376ADE" w:rsidP="00552A28">
                  <w:pPr>
                    <w:pStyle w:val="A-TableText"/>
                    <w:spacing w:before="0" w:after="0" w:line="480" w:lineRule="auto"/>
                    <w:rPr>
                      <w:rFonts w:ascii="Arial" w:hAnsi="Arial" w:cs="Arial"/>
                      <w:i/>
                      <w:iCs/>
                      <w:szCs w:val="22"/>
                    </w:rPr>
                  </w:pPr>
                </w:p>
              </w:tc>
              <w:tc>
                <w:tcPr>
                  <w:tcW w:w="2835" w:type="dxa"/>
                </w:tcPr>
                <w:p w14:paraId="4EA675D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6302D35A" w14:textId="3AFDAA05"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Cardiac dysrhythmia (5), cardiac failure (5), (7)</w:t>
                  </w:r>
                </w:p>
              </w:tc>
            </w:tr>
            <w:tr w:rsidR="00376ADE" w:rsidRPr="006932F9" w14:paraId="54A66F46" w14:textId="77777777" w:rsidTr="006932F9">
              <w:trPr>
                <w:cantSplit/>
              </w:trPr>
              <w:tc>
                <w:tcPr>
                  <w:tcW w:w="3614" w:type="dxa"/>
                  <w:tcBorders>
                    <w:bottom w:val="nil"/>
                  </w:tcBorders>
                </w:tcPr>
                <w:p w14:paraId="1E5DEC75"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Vascular disorders:</w:t>
                  </w:r>
                </w:p>
              </w:tc>
              <w:tc>
                <w:tcPr>
                  <w:tcW w:w="2835" w:type="dxa"/>
                </w:tcPr>
                <w:p w14:paraId="144513DB"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Frequent </w:t>
                  </w:r>
                </w:p>
              </w:tc>
              <w:tc>
                <w:tcPr>
                  <w:tcW w:w="4252" w:type="dxa"/>
                </w:tcPr>
                <w:p w14:paraId="391779BF" w14:textId="5A131FB9"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Hypotension (2), hypertension</w:t>
                  </w:r>
                </w:p>
              </w:tc>
            </w:tr>
            <w:tr w:rsidR="00376ADE" w:rsidRPr="006932F9" w14:paraId="63996937" w14:textId="77777777" w:rsidTr="006932F9">
              <w:trPr>
                <w:cantSplit/>
              </w:trPr>
              <w:tc>
                <w:tcPr>
                  <w:tcW w:w="3614" w:type="dxa"/>
                  <w:tcBorders>
                    <w:top w:val="single" w:sz="4" w:space="0" w:color="auto"/>
                    <w:bottom w:val="nil"/>
                  </w:tcBorders>
                </w:tcPr>
                <w:p w14:paraId="1007B6EF"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Respiratory, thoracic and mediastinal disorders:</w:t>
                  </w:r>
                </w:p>
              </w:tc>
              <w:tc>
                <w:tcPr>
                  <w:tcW w:w="2835" w:type="dxa"/>
                </w:tcPr>
                <w:p w14:paraId="1301B4E3"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Frequent </w:t>
                  </w:r>
                </w:p>
              </w:tc>
              <w:tc>
                <w:tcPr>
                  <w:tcW w:w="4252" w:type="dxa"/>
                </w:tcPr>
                <w:p w14:paraId="4385159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Transient apnoea during induction</w:t>
                  </w:r>
                </w:p>
              </w:tc>
            </w:tr>
            <w:tr w:rsidR="00376ADE" w:rsidRPr="006932F9" w14:paraId="44F59812" w14:textId="77777777" w:rsidTr="006932F9">
              <w:trPr>
                <w:cantSplit/>
              </w:trPr>
              <w:tc>
                <w:tcPr>
                  <w:tcW w:w="3614" w:type="dxa"/>
                  <w:tcBorders>
                    <w:top w:val="nil"/>
                    <w:bottom w:val="single" w:sz="4" w:space="0" w:color="auto"/>
                  </w:tcBorders>
                </w:tcPr>
                <w:p w14:paraId="0F664165"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Pr>
                <w:p w14:paraId="60E76E1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2976931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Respiratory depression (dose-dependent)</w:t>
                  </w:r>
                </w:p>
              </w:tc>
            </w:tr>
            <w:tr w:rsidR="00376ADE" w:rsidRPr="006932F9" w14:paraId="17D42CF2" w14:textId="77777777" w:rsidTr="006932F9">
              <w:trPr>
                <w:cantSplit/>
              </w:trPr>
              <w:tc>
                <w:tcPr>
                  <w:tcW w:w="3614" w:type="dxa"/>
                  <w:tcBorders>
                    <w:top w:val="single" w:sz="4" w:space="0" w:color="auto"/>
                    <w:bottom w:val="nil"/>
                  </w:tcBorders>
                </w:tcPr>
                <w:p w14:paraId="1CD7C5A8"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Gastrointestinal disorders:</w:t>
                  </w:r>
                </w:p>
              </w:tc>
              <w:tc>
                <w:tcPr>
                  <w:tcW w:w="2835" w:type="dxa"/>
                </w:tcPr>
                <w:p w14:paraId="1CC66CB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Frequent </w:t>
                  </w:r>
                </w:p>
              </w:tc>
              <w:tc>
                <w:tcPr>
                  <w:tcW w:w="4252" w:type="dxa"/>
                </w:tcPr>
                <w:p w14:paraId="0345622E"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Nausea and vomiting during recovery phase</w:t>
                  </w:r>
                </w:p>
              </w:tc>
            </w:tr>
            <w:tr w:rsidR="00376ADE" w:rsidRPr="006932F9" w14:paraId="4138B090" w14:textId="77777777" w:rsidTr="006932F9">
              <w:trPr>
                <w:cantSplit/>
              </w:trPr>
              <w:tc>
                <w:tcPr>
                  <w:tcW w:w="3614" w:type="dxa"/>
                  <w:tcBorders>
                    <w:top w:val="nil"/>
                    <w:bottom w:val="single" w:sz="4" w:space="0" w:color="auto"/>
                  </w:tcBorders>
                </w:tcPr>
                <w:p w14:paraId="41CCF62A"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Pr>
                <w:p w14:paraId="6F0C873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Pr>
                <w:p w14:paraId="4EAC40A4"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Pancreatitis</w:t>
                  </w:r>
                </w:p>
              </w:tc>
            </w:tr>
            <w:tr w:rsidR="00376ADE" w:rsidRPr="006932F9" w14:paraId="48B5CEE0" w14:textId="77777777" w:rsidTr="006932F9">
              <w:trPr>
                <w:cantSplit/>
              </w:trPr>
              <w:tc>
                <w:tcPr>
                  <w:tcW w:w="3614" w:type="dxa"/>
                  <w:tcBorders>
                    <w:top w:val="single" w:sz="4" w:space="0" w:color="auto"/>
                    <w:bottom w:val="single" w:sz="4" w:space="0" w:color="auto"/>
                  </w:tcBorders>
                </w:tcPr>
                <w:p w14:paraId="36DA6E1D"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Hepatobiliary disorders</w:t>
                  </w:r>
                </w:p>
              </w:tc>
              <w:tc>
                <w:tcPr>
                  <w:tcW w:w="2835" w:type="dxa"/>
                </w:tcPr>
                <w:p w14:paraId="74BF144A"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617A5F34"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Hepatomegaly (5)</w:t>
                  </w:r>
                </w:p>
                <w:p w14:paraId="2EA345B4" w14:textId="77777777" w:rsidR="00376ADE" w:rsidRPr="006932F9" w:rsidRDefault="00376ADE" w:rsidP="00552A28">
                  <w:pPr>
                    <w:pStyle w:val="A-TableText"/>
                    <w:spacing w:before="0" w:after="0" w:line="480" w:lineRule="auto"/>
                    <w:rPr>
                      <w:rFonts w:ascii="Arial" w:hAnsi="Arial" w:cs="Arial"/>
                      <w:szCs w:val="22"/>
                      <w:u w:val="double"/>
                    </w:rPr>
                  </w:pPr>
                </w:p>
              </w:tc>
            </w:tr>
            <w:tr w:rsidR="00376ADE" w:rsidRPr="006932F9" w14:paraId="7777B2B4" w14:textId="77777777" w:rsidTr="006932F9">
              <w:trPr>
                <w:cantSplit/>
              </w:trPr>
              <w:tc>
                <w:tcPr>
                  <w:tcW w:w="3614" w:type="dxa"/>
                  <w:tcBorders>
                    <w:top w:val="single" w:sz="4" w:space="0" w:color="auto"/>
                    <w:bottom w:val="single" w:sz="4" w:space="0" w:color="auto"/>
                  </w:tcBorders>
                </w:tcPr>
                <w:p w14:paraId="01CE41F8"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Musculoskeletal and connective tissue disorders:</w:t>
                  </w:r>
                </w:p>
              </w:tc>
              <w:tc>
                <w:tcPr>
                  <w:tcW w:w="2835" w:type="dxa"/>
                </w:tcPr>
                <w:p w14:paraId="60C56B5B"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10B47EF8"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Rhabdomyolysis (3), (5)</w:t>
                  </w:r>
                </w:p>
              </w:tc>
            </w:tr>
            <w:tr w:rsidR="00376ADE" w:rsidRPr="006932F9" w14:paraId="71FA876D" w14:textId="77777777" w:rsidTr="006932F9">
              <w:trPr>
                <w:cantSplit/>
                <w:trHeight w:val="482"/>
              </w:trPr>
              <w:tc>
                <w:tcPr>
                  <w:tcW w:w="3614" w:type="dxa"/>
                  <w:vMerge w:val="restart"/>
                  <w:tcBorders>
                    <w:top w:val="single" w:sz="4" w:space="0" w:color="auto"/>
                  </w:tcBorders>
                </w:tcPr>
                <w:p w14:paraId="460F8F96"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Renal and urinary disorders</w:t>
                  </w:r>
                </w:p>
              </w:tc>
              <w:tc>
                <w:tcPr>
                  <w:tcW w:w="2835" w:type="dxa"/>
                </w:tcPr>
                <w:p w14:paraId="5E04526B"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Pr>
                <w:p w14:paraId="66DAC66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Discolouration of urine following prolonged administration</w:t>
                  </w:r>
                </w:p>
              </w:tc>
            </w:tr>
            <w:tr w:rsidR="00376ADE" w:rsidRPr="006932F9" w14:paraId="475B268E" w14:textId="77777777" w:rsidTr="006932F9">
              <w:trPr>
                <w:cantSplit/>
                <w:trHeight w:val="482"/>
              </w:trPr>
              <w:tc>
                <w:tcPr>
                  <w:tcW w:w="3614" w:type="dxa"/>
                  <w:vMerge/>
                  <w:tcBorders>
                    <w:bottom w:val="single" w:sz="4" w:space="0" w:color="auto"/>
                  </w:tcBorders>
                </w:tcPr>
                <w:p w14:paraId="332A6645"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Pr>
                <w:p w14:paraId="7CA240B3"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779918D9"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Renal failure (5)</w:t>
                  </w:r>
                </w:p>
              </w:tc>
            </w:tr>
            <w:tr w:rsidR="00376ADE" w:rsidRPr="006932F9" w14:paraId="573F20A8" w14:textId="77777777" w:rsidTr="006932F9">
              <w:trPr>
                <w:cantSplit/>
              </w:trPr>
              <w:tc>
                <w:tcPr>
                  <w:tcW w:w="3614" w:type="dxa"/>
                  <w:vMerge w:val="restart"/>
                  <w:tcBorders>
                    <w:top w:val="single" w:sz="4" w:space="0" w:color="auto"/>
                  </w:tcBorders>
                </w:tcPr>
                <w:p w14:paraId="618E81C6"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General disorders and administration site conditions:</w:t>
                  </w:r>
                </w:p>
              </w:tc>
              <w:tc>
                <w:tcPr>
                  <w:tcW w:w="2835" w:type="dxa"/>
                  <w:tcBorders>
                    <w:bottom w:val="single" w:sz="4" w:space="0" w:color="auto"/>
                  </w:tcBorders>
                </w:tcPr>
                <w:p w14:paraId="331562B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Frequent </w:t>
                  </w:r>
                </w:p>
              </w:tc>
              <w:tc>
                <w:tcPr>
                  <w:tcW w:w="4252" w:type="dxa"/>
                </w:tcPr>
                <w:p w14:paraId="5678115E"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Local pain on induction (4)</w:t>
                  </w:r>
                </w:p>
              </w:tc>
            </w:tr>
            <w:tr w:rsidR="00376ADE" w:rsidRPr="006932F9" w14:paraId="5A6DFD54" w14:textId="77777777" w:rsidTr="006932F9">
              <w:trPr>
                <w:cantSplit/>
              </w:trPr>
              <w:tc>
                <w:tcPr>
                  <w:tcW w:w="3614" w:type="dxa"/>
                  <w:vMerge/>
                </w:tcPr>
                <w:p w14:paraId="2BD4C13F"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Borders>
                    <w:top w:val="single" w:sz="4" w:space="0" w:color="auto"/>
                    <w:bottom w:val="single" w:sz="4" w:space="0" w:color="auto"/>
                  </w:tcBorders>
                </w:tcPr>
                <w:p w14:paraId="1C065D2A"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Pr>
                <w:p w14:paraId="5365EC30"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Injection site thrombosis and injection site phlebitis</w:t>
                  </w:r>
                </w:p>
                <w:p w14:paraId="3B30CE7A" w14:textId="0822CEA0"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Tissue necrosis (10) following accidental extravascular administration (11)</w:t>
                  </w:r>
                </w:p>
              </w:tc>
            </w:tr>
            <w:tr w:rsidR="00376ADE" w:rsidRPr="006932F9" w14:paraId="532AA805" w14:textId="77777777" w:rsidTr="006932F9">
              <w:trPr>
                <w:cantSplit/>
              </w:trPr>
              <w:tc>
                <w:tcPr>
                  <w:tcW w:w="3614" w:type="dxa"/>
                  <w:vMerge/>
                  <w:tcBorders>
                    <w:bottom w:val="single" w:sz="4" w:space="0" w:color="auto"/>
                  </w:tcBorders>
                </w:tcPr>
                <w:p w14:paraId="6FD6D781" w14:textId="77777777" w:rsidR="00376ADE" w:rsidRPr="006932F9" w:rsidRDefault="00376ADE" w:rsidP="00552A28">
                  <w:pPr>
                    <w:pStyle w:val="A-TableText"/>
                    <w:spacing w:before="0" w:after="0" w:line="480" w:lineRule="auto"/>
                    <w:rPr>
                      <w:rFonts w:ascii="Arial" w:hAnsi="Arial" w:cs="Arial"/>
                      <w:i/>
                      <w:iCs/>
                      <w:szCs w:val="22"/>
                    </w:rPr>
                  </w:pPr>
                </w:p>
              </w:tc>
              <w:tc>
                <w:tcPr>
                  <w:tcW w:w="2835" w:type="dxa"/>
                  <w:tcBorders>
                    <w:top w:val="single" w:sz="4" w:space="0" w:color="auto"/>
                  </w:tcBorders>
                </w:tcPr>
                <w:p w14:paraId="20165EFC"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Borders>
                    <w:top w:val="single" w:sz="4" w:space="0" w:color="auto"/>
                  </w:tcBorders>
                </w:tcPr>
                <w:p w14:paraId="1546AB69" w14:textId="25650316"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Local pain</w:t>
                  </w:r>
                  <w:r w:rsidR="007A42FB" w:rsidRPr="006932F9">
                    <w:rPr>
                      <w:rFonts w:ascii="Arial" w:hAnsi="Arial" w:cs="Arial"/>
                      <w:szCs w:val="22"/>
                    </w:rPr>
                    <w:t xml:space="preserve"> and</w:t>
                  </w:r>
                  <w:r w:rsidRPr="006932F9">
                    <w:rPr>
                      <w:rFonts w:ascii="Arial" w:hAnsi="Arial" w:cs="Arial"/>
                      <w:szCs w:val="22"/>
                    </w:rPr>
                    <w:t xml:space="preserve"> swelling, following accidental extravascular administration (11)</w:t>
                  </w:r>
                </w:p>
              </w:tc>
            </w:tr>
            <w:tr w:rsidR="00376ADE" w:rsidRPr="006932F9" w14:paraId="77D1E998" w14:textId="77777777" w:rsidTr="006932F9">
              <w:trPr>
                <w:cantSplit/>
              </w:trPr>
              <w:tc>
                <w:tcPr>
                  <w:tcW w:w="3614" w:type="dxa"/>
                  <w:tcBorders>
                    <w:top w:val="single" w:sz="4" w:space="0" w:color="auto"/>
                    <w:bottom w:val="single" w:sz="4" w:space="0" w:color="auto"/>
                  </w:tcBorders>
                </w:tcPr>
                <w:p w14:paraId="267CAF98"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Investigations</w:t>
                  </w:r>
                </w:p>
              </w:tc>
              <w:tc>
                <w:tcPr>
                  <w:tcW w:w="2835" w:type="dxa"/>
                </w:tcPr>
                <w:p w14:paraId="186923A7"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Frequency not known (9)</w:t>
                  </w:r>
                </w:p>
              </w:tc>
              <w:tc>
                <w:tcPr>
                  <w:tcW w:w="4252" w:type="dxa"/>
                </w:tcPr>
                <w:p w14:paraId="14897172"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Brugada type ECG (5), (6)</w:t>
                  </w:r>
                </w:p>
              </w:tc>
            </w:tr>
            <w:tr w:rsidR="00376ADE" w:rsidRPr="006932F9" w14:paraId="2BB655C7" w14:textId="77777777" w:rsidTr="006932F9">
              <w:trPr>
                <w:cantSplit/>
              </w:trPr>
              <w:tc>
                <w:tcPr>
                  <w:tcW w:w="3614" w:type="dxa"/>
                  <w:tcBorders>
                    <w:top w:val="single" w:sz="4" w:space="0" w:color="auto"/>
                  </w:tcBorders>
                </w:tcPr>
                <w:p w14:paraId="4AFB5B7D" w14:textId="77777777" w:rsidR="00376ADE" w:rsidRPr="006932F9" w:rsidRDefault="00376ADE" w:rsidP="00552A28">
                  <w:pPr>
                    <w:pStyle w:val="A-TableText"/>
                    <w:spacing w:before="0" w:after="0" w:line="480" w:lineRule="auto"/>
                    <w:rPr>
                      <w:rFonts w:ascii="Arial" w:hAnsi="Arial" w:cs="Arial"/>
                      <w:i/>
                      <w:iCs/>
                      <w:szCs w:val="22"/>
                    </w:rPr>
                  </w:pPr>
                  <w:r w:rsidRPr="006932F9">
                    <w:rPr>
                      <w:rFonts w:ascii="Arial" w:hAnsi="Arial" w:cs="Arial"/>
                      <w:i/>
                      <w:iCs/>
                      <w:szCs w:val="22"/>
                    </w:rPr>
                    <w:t>Injury, poisoning and procedural complications:</w:t>
                  </w:r>
                </w:p>
              </w:tc>
              <w:tc>
                <w:tcPr>
                  <w:tcW w:w="2835" w:type="dxa"/>
                </w:tcPr>
                <w:p w14:paraId="27F19A36"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 xml:space="preserve">Less frequent </w:t>
                  </w:r>
                </w:p>
              </w:tc>
              <w:tc>
                <w:tcPr>
                  <w:tcW w:w="4252" w:type="dxa"/>
                </w:tcPr>
                <w:p w14:paraId="7AB5CE40" w14:textId="77777777" w:rsidR="00376ADE" w:rsidRPr="006932F9" w:rsidRDefault="00376ADE" w:rsidP="00552A28">
                  <w:pPr>
                    <w:pStyle w:val="A-TableText"/>
                    <w:spacing w:before="0" w:after="0" w:line="480" w:lineRule="auto"/>
                    <w:rPr>
                      <w:rFonts w:ascii="Arial" w:hAnsi="Arial" w:cs="Arial"/>
                      <w:szCs w:val="22"/>
                    </w:rPr>
                  </w:pPr>
                  <w:r w:rsidRPr="006932F9">
                    <w:rPr>
                      <w:rFonts w:ascii="Arial" w:hAnsi="Arial" w:cs="Arial"/>
                      <w:szCs w:val="22"/>
                    </w:rPr>
                    <w:t>Postoperative fever</w:t>
                  </w:r>
                </w:p>
              </w:tc>
            </w:tr>
          </w:tbl>
          <w:p w14:paraId="69E1D1D8" w14:textId="77777777" w:rsidR="00376ADE" w:rsidRPr="009245BF" w:rsidRDefault="00376ADE" w:rsidP="00552A28">
            <w:pPr>
              <w:autoSpaceDE w:val="0"/>
              <w:autoSpaceDN w:val="0"/>
              <w:adjustRightInd w:val="0"/>
              <w:spacing w:line="480" w:lineRule="auto"/>
              <w:rPr>
                <w:bCs/>
                <w:i/>
                <w:szCs w:val="22"/>
                <w:lang w:eastAsia="en-ZA"/>
              </w:rPr>
            </w:pPr>
          </w:p>
        </w:tc>
      </w:tr>
      <w:tr w:rsidR="00376ADE" w:rsidRPr="009245BF" w14:paraId="0F346708" w14:textId="69D92B7C" w:rsidTr="000D7AB1">
        <w:tc>
          <w:tcPr>
            <w:tcW w:w="11070" w:type="dxa"/>
          </w:tcPr>
          <w:p w14:paraId="49F04A6B" w14:textId="486DB8E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lastRenderedPageBreak/>
              <w:t>(1)</w:t>
            </w:r>
            <w:r w:rsidRPr="009245BF">
              <w:rPr>
                <w:rFonts w:ascii="Arial" w:hAnsi="Arial" w:cs="Arial"/>
                <w:sz w:val="22"/>
                <w:szCs w:val="22"/>
              </w:rPr>
              <w:tab/>
              <w:t xml:space="preserve">Serious bradycardias are </w:t>
            </w:r>
            <w:r w:rsidRPr="001730B4">
              <w:rPr>
                <w:rFonts w:ascii="Arial" w:hAnsi="Arial" w:cs="Arial"/>
                <w:sz w:val="22"/>
                <w:szCs w:val="22"/>
              </w:rPr>
              <w:t>less frequent</w:t>
            </w:r>
            <w:r w:rsidRPr="009245BF">
              <w:rPr>
                <w:rFonts w:ascii="Arial" w:hAnsi="Arial" w:cs="Arial"/>
                <w:sz w:val="22"/>
                <w:szCs w:val="22"/>
              </w:rPr>
              <w:t xml:space="preserve">. There have been isolated reports of progression to asystole.  </w:t>
            </w:r>
          </w:p>
          <w:p w14:paraId="2263BE91"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lastRenderedPageBreak/>
              <w:t>(2)</w:t>
            </w:r>
            <w:r w:rsidRPr="009245BF">
              <w:rPr>
                <w:rFonts w:ascii="Arial" w:hAnsi="Arial" w:cs="Arial"/>
                <w:sz w:val="22"/>
                <w:szCs w:val="22"/>
              </w:rPr>
              <w:tab/>
              <w:t>Occasionally, hypotension may require use of intravenous fluids and reduction of the administration rate of propofol.</w:t>
            </w:r>
          </w:p>
          <w:p w14:paraId="67929664" w14:textId="74822692"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(3)</w:t>
            </w:r>
            <w:r w:rsidRPr="009245BF">
              <w:rPr>
                <w:rFonts w:ascii="Arial" w:hAnsi="Arial" w:cs="Arial"/>
                <w:sz w:val="22"/>
                <w:szCs w:val="22"/>
              </w:rPr>
              <w:tab/>
            </w:r>
            <w:r>
              <w:rPr>
                <w:rFonts w:ascii="Arial" w:hAnsi="Arial" w:cs="Arial"/>
                <w:sz w:val="22"/>
                <w:szCs w:val="22"/>
              </w:rPr>
              <w:t>R</w:t>
            </w:r>
            <w:r w:rsidRPr="009245BF">
              <w:rPr>
                <w:rFonts w:ascii="Arial" w:hAnsi="Arial" w:cs="Arial"/>
                <w:sz w:val="22"/>
                <w:szCs w:val="22"/>
              </w:rPr>
              <w:t>eports of rhabdomyolysis have been received where propofol has been given at doses greater than 4 mg/ kg/ hr for ICU sedation.</w:t>
            </w:r>
          </w:p>
          <w:p w14:paraId="7DA072BC" w14:textId="4745F0CF"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(4)</w:t>
            </w:r>
            <w:r w:rsidRPr="009245BF">
              <w:rPr>
                <w:rFonts w:ascii="Arial" w:hAnsi="Arial" w:cs="Arial"/>
                <w:sz w:val="22"/>
                <w:szCs w:val="22"/>
              </w:rPr>
              <w:tab/>
              <w:t xml:space="preserve">May be minimised by using the larger veins of the forearm and antecubital fossa. With </w:t>
            </w:r>
            <w:r w:rsidRPr="001730B4">
              <w:rPr>
                <w:rFonts w:ascii="Arial" w:hAnsi="Arial" w:cs="Arial"/>
                <w:sz w:val="22"/>
                <w:szCs w:val="22"/>
              </w:rPr>
              <w:t>propofol</w:t>
            </w:r>
            <w:r>
              <w:rPr>
                <w:rFonts w:ascii="Arial" w:hAnsi="Arial" w:cs="Arial"/>
                <w:b/>
                <w:sz w:val="22"/>
                <w:szCs w:val="22"/>
              </w:rPr>
              <w:t xml:space="preserve"> </w:t>
            </w:r>
            <w:r w:rsidRPr="009245BF">
              <w:rPr>
                <w:rFonts w:ascii="Arial" w:hAnsi="Arial" w:cs="Arial"/>
                <w:sz w:val="22"/>
                <w:szCs w:val="22"/>
              </w:rPr>
              <w:t>local pain can also be minimised by the</w:t>
            </w:r>
            <w:r>
              <w:rPr>
                <w:rFonts w:ascii="Arial" w:hAnsi="Arial" w:cs="Arial"/>
                <w:sz w:val="22"/>
                <w:szCs w:val="22"/>
              </w:rPr>
              <w:t xml:space="preserve"> co-administration of lidocaine </w:t>
            </w:r>
            <w:r w:rsidRPr="001730B4">
              <w:rPr>
                <w:rFonts w:ascii="Arial" w:hAnsi="Arial" w:cs="Arial"/>
                <w:sz w:val="22"/>
                <w:szCs w:val="22"/>
              </w:rPr>
              <w:t>(lignocaine).</w:t>
            </w:r>
          </w:p>
          <w:p w14:paraId="0F5E9288"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(5)</w:t>
            </w:r>
            <w:r w:rsidRPr="009245BF">
              <w:rPr>
                <w:rFonts w:ascii="Arial" w:hAnsi="Arial" w:cs="Arial"/>
                <w:sz w:val="22"/>
                <w:szCs w:val="22"/>
              </w:rPr>
              <w:tab/>
              <w:t>Combinations of these events, reported as “Propofol infusion syndrome”, may be seen in seriously ill patients who often have multiple risk factors for the development of the events.</w:t>
            </w:r>
          </w:p>
          <w:p w14:paraId="3A28252D"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(6)</w:t>
            </w:r>
            <w:r w:rsidRPr="009245BF">
              <w:rPr>
                <w:rFonts w:ascii="Arial" w:hAnsi="Arial" w:cs="Arial"/>
                <w:sz w:val="22"/>
                <w:szCs w:val="22"/>
              </w:rPr>
              <w:t xml:space="preserve"> </w:t>
            </w:r>
            <w:r w:rsidRPr="009245BF">
              <w:rPr>
                <w:rFonts w:ascii="Arial" w:hAnsi="Arial" w:cs="Arial"/>
                <w:sz w:val="22"/>
                <w:szCs w:val="22"/>
              </w:rPr>
              <w:tab/>
              <w:t>Brugada-type ECG - elevated ST-segment and coved T-wave in ECG.</w:t>
            </w:r>
          </w:p>
          <w:p w14:paraId="31270AE9"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(7)</w:t>
            </w:r>
            <w:r w:rsidRPr="009245BF">
              <w:rPr>
                <w:rFonts w:ascii="Arial" w:hAnsi="Arial" w:cs="Arial"/>
                <w:sz w:val="22"/>
                <w:szCs w:val="22"/>
              </w:rPr>
              <w:tab/>
              <w:t>Rapidly progressive cardiac failure (in some cases with fatal outcome) in adults. The cardiac failure in such cases was usually unresponsive to inotropic supportive treatment.</w:t>
            </w:r>
          </w:p>
          <w:p w14:paraId="41DA6523"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(8)</w:t>
            </w:r>
            <w:r w:rsidRPr="009245BF">
              <w:rPr>
                <w:rFonts w:ascii="Arial" w:hAnsi="Arial" w:cs="Arial"/>
                <w:sz w:val="22"/>
                <w:szCs w:val="22"/>
              </w:rPr>
              <w:tab/>
              <w:t>Abuse of and drug dependence on propofol, predominantly by health care professionals.</w:t>
            </w:r>
          </w:p>
          <w:p w14:paraId="7266B70B"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(9)</w:t>
            </w:r>
            <w:r w:rsidRPr="009245BF">
              <w:rPr>
                <w:rFonts w:ascii="Arial" w:hAnsi="Arial" w:cs="Arial"/>
                <w:sz w:val="22"/>
                <w:szCs w:val="22"/>
              </w:rPr>
              <w:tab/>
              <w:t>Not known as it cannot be estimated from the available clinical trial data.</w:t>
            </w:r>
          </w:p>
          <w:p w14:paraId="69891E33" w14:textId="77777777" w:rsidR="00376ADE" w:rsidRPr="009245BF" w:rsidRDefault="00376ADE" w:rsidP="00552A28">
            <w:pPr>
              <w:pStyle w:val="A-TableFootnoteText"/>
              <w:spacing w:line="480" w:lineRule="auto"/>
              <w:rPr>
                <w:rFonts w:ascii="Arial" w:hAnsi="Arial" w:cs="Arial"/>
                <w:sz w:val="22"/>
                <w:szCs w:val="22"/>
              </w:rPr>
            </w:pPr>
            <w:r w:rsidRPr="009245BF">
              <w:rPr>
                <w:rFonts w:ascii="Arial" w:hAnsi="Arial" w:cs="Arial"/>
                <w:sz w:val="22"/>
                <w:szCs w:val="22"/>
                <w:vertAlign w:val="superscript"/>
              </w:rPr>
              <w:t>(10)</w:t>
            </w:r>
            <w:r w:rsidRPr="009245BF">
              <w:rPr>
                <w:rFonts w:ascii="Arial" w:hAnsi="Arial" w:cs="Arial"/>
                <w:sz w:val="22"/>
                <w:szCs w:val="22"/>
              </w:rPr>
              <w:tab/>
              <w:t>Necrosis has been reported where tissue viability has been impaired.</w:t>
            </w:r>
          </w:p>
          <w:p w14:paraId="65897057" w14:textId="247434C6" w:rsidR="00376ADE" w:rsidRPr="009245BF" w:rsidRDefault="00376ADE" w:rsidP="00552A28">
            <w:pPr>
              <w:pStyle w:val="A-TableFootnoteText"/>
              <w:spacing w:line="480" w:lineRule="auto"/>
              <w:rPr>
                <w:rFonts w:ascii="Arial" w:hAnsi="Arial" w:cs="Arial"/>
                <w:sz w:val="22"/>
                <w:szCs w:val="22"/>
                <w:lang w:val="en-US"/>
              </w:rPr>
            </w:pPr>
            <w:r w:rsidRPr="009245BF">
              <w:rPr>
                <w:rFonts w:ascii="Arial" w:hAnsi="Arial" w:cs="Arial"/>
                <w:sz w:val="22"/>
                <w:szCs w:val="22"/>
                <w:vertAlign w:val="superscript"/>
              </w:rPr>
              <w:t>(11)</w:t>
            </w:r>
            <w:r w:rsidRPr="009245BF">
              <w:rPr>
                <w:rFonts w:ascii="Arial" w:hAnsi="Arial" w:cs="Arial"/>
                <w:sz w:val="22"/>
                <w:szCs w:val="22"/>
              </w:rPr>
              <w:tab/>
            </w:r>
            <w:r w:rsidRPr="009245BF">
              <w:rPr>
                <w:rFonts w:ascii="Arial" w:hAnsi="Arial" w:cs="Arial"/>
                <w:sz w:val="22"/>
                <w:szCs w:val="22"/>
                <w:lang w:val="en-US"/>
              </w:rPr>
              <w:t xml:space="preserve">Treatment is symptomatic and may include immobilisation and, if possible, elevation of affected limb, cooling, close observation, consultation of surgeon if necessary.             </w:t>
            </w:r>
          </w:p>
        </w:tc>
      </w:tr>
      <w:tr w:rsidR="00376ADE" w:rsidRPr="009245BF" w14:paraId="74CF1248" w14:textId="27EFCF74" w:rsidTr="000D7AB1">
        <w:tc>
          <w:tcPr>
            <w:tcW w:w="11070" w:type="dxa"/>
          </w:tcPr>
          <w:p w14:paraId="0BCBEBA7" w14:textId="307C7B37" w:rsidR="00376ADE" w:rsidRPr="009245BF" w:rsidRDefault="00376ADE" w:rsidP="00552A28">
            <w:pPr>
              <w:spacing w:line="480" w:lineRule="auto"/>
              <w:rPr>
                <w:b/>
                <w:szCs w:val="22"/>
              </w:rPr>
            </w:pPr>
            <w:r w:rsidRPr="009245BF">
              <w:rPr>
                <w:b/>
                <w:szCs w:val="22"/>
              </w:rPr>
              <w:lastRenderedPageBreak/>
              <w:t>Reporting of side effects</w:t>
            </w:r>
          </w:p>
          <w:p w14:paraId="47F3DC6D" w14:textId="51EAFFB8" w:rsidR="00376ADE" w:rsidRPr="009245BF" w:rsidRDefault="00376ADE" w:rsidP="00552A28">
            <w:pPr>
              <w:spacing w:line="480" w:lineRule="auto"/>
              <w:rPr>
                <w:b/>
                <w:szCs w:val="22"/>
              </w:rPr>
            </w:pPr>
            <w:r w:rsidRPr="009245BF">
              <w:rPr>
                <w:szCs w:val="22"/>
              </w:rPr>
              <w:t>Reporting suspected adverse reactions after authorization of the medicine is important. It allows continued monitoring of the benefit/risk balance of the medicine. Health care providers are asked to report and suspected adverse reactions to SAHPRA via “</w:t>
            </w:r>
            <w:r w:rsidRPr="009245BF">
              <w:rPr>
                <w:b/>
                <w:szCs w:val="22"/>
              </w:rPr>
              <w:t>6.04 Adverse Drug Reaction Reporting Form</w:t>
            </w:r>
            <w:r w:rsidRPr="009245BF">
              <w:rPr>
                <w:szCs w:val="22"/>
              </w:rPr>
              <w:t xml:space="preserve">”, found online under SAHPRAs publications: </w:t>
            </w:r>
            <w:hyperlink r:id="rId8" w:history="1">
              <w:r w:rsidRPr="00DA7B31">
                <w:rPr>
                  <w:rStyle w:val="Hyperlink"/>
                  <w:szCs w:val="22"/>
                  <w:bdr w:val="single" w:sz="4" w:space="0" w:color="auto"/>
                </w:rPr>
                <w:t>https://www.sahpra.org.za/Publications/index/8</w:t>
              </w:r>
            </w:hyperlink>
            <w:r w:rsidRPr="009245BF">
              <w:rPr>
                <w:szCs w:val="22"/>
              </w:rPr>
              <w:t xml:space="preserve">. By reporting side effects, you can help provide more information on the safety of </w:t>
            </w:r>
            <w:r w:rsidR="006932F9">
              <w:rPr>
                <w:b/>
                <w:szCs w:val="22"/>
              </w:rPr>
              <w:t>Propofol B. Braun</w:t>
            </w:r>
            <w:r w:rsidRPr="001730B4">
              <w:rPr>
                <w:szCs w:val="22"/>
              </w:rPr>
              <w:t>.</w:t>
            </w:r>
          </w:p>
        </w:tc>
      </w:tr>
      <w:tr w:rsidR="00376ADE" w:rsidRPr="009245BF" w14:paraId="77EA4D3D" w14:textId="48269AB6" w:rsidTr="000D7AB1">
        <w:tc>
          <w:tcPr>
            <w:tcW w:w="11070" w:type="dxa"/>
          </w:tcPr>
          <w:p w14:paraId="1D94C974" w14:textId="4F8F0630" w:rsidR="00376ADE" w:rsidRPr="009245BF" w:rsidRDefault="00376ADE" w:rsidP="00552A28">
            <w:pPr>
              <w:spacing w:line="480" w:lineRule="auto"/>
              <w:rPr>
                <w:b/>
                <w:szCs w:val="22"/>
              </w:rPr>
            </w:pPr>
            <w:r w:rsidRPr="009245BF">
              <w:rPr>
                <w:b/>
                <w:szCs w:val="22"/>
              </w:rPr>
              <w:t xml:space="preserve">4.9: Overdose </w:t>
            </w:r>
          </w:p>
          <w:p w14:paraId="70012687" w14:textId="77777777" w:rsidR="00376ADE" w:rsidRPr="009245BF" w:rsidRDefault="00376ADE" w:rsidP="00552A28">
            <w:pPr>
              <w:spacing w:line="480" w:lineRule="auto"/>
              <w:rPr>
                <w:i/>
                <w:szCs w:val="22"/>
              </w:rPr>
            </w:pPr>
            <w:r w:rsidRPr="009245BF">
              <w:rPr>
                <w:i/>
                <w:szCs w:val="22"/>
              </w:rPr>
              <w:t>Symptoms</w:t>
            </w:r>
          </w:p>
          <w:p w14:paraId="772FFC81" w14:textId="77777777" w:rsidR="00376ADE" w:rsidRPr="009245BF" w:rsidRDefault="00376ADE" w:rsidP="00552A28">
            <w:pPr>
              <w:spacing w:line="480" w:lineRule="auto"/>
              <w:rPr>
                <w:szCs w:val="22"/>
              </w:rPr>
            </w:pPr>
            <w:r w:rsidRPr="009245BF">
              <w:rPr>
                <w:szCs w:val="22"/>
              </w:rPr>
              <w:t xml:space="preserve">Accidental overdosage is likely to cause cardiorespiratory depression. </w:t>
            </w:r>
          </w:p>
          <w:p w14:paraId="06F6DD9F" w14:textId="77777777" w:rsidR="00376ADE" w:rsidRPr="009245BF" w:rsidRDefault="00376ADE" w:rsidP="00552A28">
            <w:pPr>
              <w:spacing w:line="480" w:lineRule="auto"/>
              <w:rPr>
                <w:szCs w:val="22"/>
              </w:rPr>
            </w:pPr>
          </w:p>
          <w:p w14:paraId="47A0E0DF" w14:textId="77777777" w:rsidR="00376ADE" w:rsidRPr="009245BF" w:rsidRDefault="00376ADE" w:rsidP="00552A28">
            <w:pPr>
              <w:spacing w:line="480" w:lineRule="auto"/>
              <w:rPr>
                <w:i/>
                <w:szCs w:val="22"/>
              </w:rPr>
            </w:pPr>
            <w:r w:rsidRPr="009245BF">
              <w:rPr>
                <w:i/>
                <w:szCs w:val="22"/>
              </w:rPr>
              <w:lastRenderedPageBreak/>
              <w:t>Treatment</w:t>
            </w:r>
          </w:p>
          <w:p w14:paraId="7C2A86BD" w14:textId="0901A483" w:rsidR="00376ADE" w:rsidRPr="009245BF" w:rsidRDefault="00376ADE" w:rsidP="001730B4">
            <w:pPr>
              <w:spacing w:line="480" w:lineRule="auto"/>
              <w:rPr>
                <w:szCs w:val="22"/>
              </w:rPr>
            </w:pPr>
            <w:r w:rsidRPr="009245BF">
              <w:rPr>
                <w:szCs w:val="22"/>
              </w:rPr>
              <w:t xml:space="preserve">Respiratory depression should be treated by artificial ventilation with oxygen. Cardiovascular depression may require lowering of the patient’s head and, if severe, administering plasma expanders and pressor </w:t>
            </w:r>
            <w:r w:rsidRPr="001730B4">
              <w:rPr>
                <w:szCs w:val="22"/>
              </w:rPr>
              <w:t>medicines.</w:t>
            </w:r>
          </w:p>
        </w:tc>
      </w:tr>
      <w:tr w:rsidR="00376ADE" w:rsidRPr="009245BF" w14:paraId="62A83E4A" w14:textId="7A318C3B" w:rsidTr="000D7AB1">
        <w:tc>
          <w:tcPr>
            <w:tcW w:w="11070" w:type="dxa"/>
          </w:tcPr>
          <w:p w14:paraId="53487995" w14:textId="729BB765" w:rsidR="00376ADE" w:rsidRPr="009245BF" w:rsidRDefault="00376ADE" w:rsidP="00552A28">
            <w:pPr>
              <w:spacing w:line="480" w:lineRule="auto"/>
              <w:rPr>
                <w:b/>
                <w:szCs w:val="22"/>
              </w:rPr>
            </w:pPr>
            <w:r w:rsidRPr="009245BF">
              <w:rPr>
                <w:b/>
                <w:szCs w:val="22"/>
              </w:rPr>
              <w:lastRenderedPageBreak/>
              <w:t>5. PHARMOCOLOGICAL PROPERTIES</w:t>
            </w:r>
          </w:p>
          <w:p w14:paraId="1E6D23DF" w14:textId="3B5503D7" w:rsidR="00376ADE" w:rsidRPr="009245BF" w:rsidRDefault="00376ADE" w:rsidP="00552A28">
            <w:pPr>
              <w:spacing w:line="480" w:lineRule="auto"/>
              <w:rPr>
                <w:b/>
                <w:szCs w:val="22"/>
              </w:rPr>
            </w:pPr>
            <w:r w:rsidRPr="009245BF">
              <w:rPr>
                <w:b/>
                <w:szCs w:val="22"/>
              </w:rPr>
              <w:t>5.1. Pharmacodynamics properties</w:t>
            </w:r>
          </w:p>
          <w:p w14:paraId="5C05D436" w14:textId="1F10E2C6" w:rsidR="00376ADE" w:rsidRPr="001730B4" w:rsidRDefault="00376ADE" w:rsidP="00552A28">
            <w:pPr>
              <w:spacing w:line="480" w:lineRule="auto"/>
              <w:rPr>
                <w:szCs w:val="22"/>
              </w:rPr>
            </w:pPr>
            <w:r w:rsidRPr="001730B4">
              <w:rPr>
                <w:szCs w:val="22"/>
              </w:rPr>
              <w:t xml:space="preserve">Category and pharmacological classification: A.2.1 Anaesthetics. </w:t>
            </w:r>
          </w:p>
          <w:p w14:paraId="66AB1047" w14:textId="77777777" w:rsidR="00376ADE" w:rsidRPr="009245BF" w:rsidRDefault="00376ADE" w:rsidP="00552A28">
            <w:pPr>
              <w:spacing w:line="480" w:lineRule="auto"/>
              <w:rPr>
                <w:szCs w:val="22"/>
              </w:rPr>
            </w:pPr>
            <w:r w:rsidRPr="009245BF">
              <w:rPr>
                <w:szCs w:val="22"/>
              </w:rPr>
              <w:t>Pharmacotherapeutic group: other general anaesthetics, ATC-code N01AX10.</w:t>
            </w:r>
          </w:p>
          <w:p w14:paraId="4781251F" w14:textId="77777777" w:rsidR="00376ADE" w:rsidRPr="009245BF" w:rsidRDefault="00376ADE" w:rsidP="00552A28">
            <w:pPr>
              <w:spacing w:line="480" w:lineRule="auto"/>
              <w:rPr>
                <w:szCs w:val="22"/>
              </w:rPr>
            </w:pPr>
          </w:p>
          <w:p w14:paraId="4B9C6CE0" w14:textId="65D88DB6" w:rsidR="00376ADE" w:rsidRPr="009245BF" w:rsidRDefault="00376ADE" w:rsidP="00552A28">
            <w:pPr>
              <w:spacing w:line="480" w:lineRule="auto"/>
              <w:rPr>
                <w:szCs w:val="22"/>
                <w:u w:val="single"/>
              </w:rPr>
            </w:pPr>
            <w:r w:rsidRPr="009245BF">
              <w:rPr>
                <w:szCs w:val="22"/>
                <w:u w:val="single"/>
              </w:rPr>
              <w:t>Mechanism of action</w:t>
            </w:r>
          </w:p>
          <w:p w14:paraId="4B09BB98" w14:textId="042C41AE" w:rsidR="00376ADE" w:rsidRPr="00552A28" w:rsidRDefault="00376ADE" w:rsidP="00552A28">
            <w:pPr>
              <w:spacing w:line="480" w:lineRule="auto"/>
              <w:rPr>
                <w:strike/>
                <w:szCs w:val="22"/>
              </w:rPr>
            </w:pPr>
            <w:r w:rsidRPr="009245BF">
              <w:rPr>
                <w:szCs w:val="22"/>
              </w:rPr>
              <w:t xml:space="preserve">After intravenous injection of </w:t>
            </w:r>
            <w:r w:rsidRPr="001730B4">
              <w:rPr>
                <w:szCs w:val="22"/>
              </w:rPr>
              <w:t>propofol</w:t>
            </w:r>
            <w:r w:rsidRPr="009245BF">
              <w:rPr>
                <w:szCs w:val="22"/>
              </w:rPr>
              <w:t>, onset of the hypnotic effect is rapid. Depending on the rate of injection, the time to induction of anaesthesi</w:t>
            </w:r>
            <w:r>
              <w:rPr>
                <w:szCs w:val="22"/>
              </w:rPr>
              <w:t>a is between 30 and 40 seconds.</w:t>
            </w:r>
          </w:p>
          <w:p w14:paraId="4F6E977A" w14:textId="77777777" w:rsidR="00376ADE" w:rsidRDefault="00376ADE" w:rsidP="00552A28">
            <w:pPr>
              <w:spacing w:line="480" w:lineRule="auto"/>
              <w:rPr>
                <w:szCs w:val="22"/>
              </w:rPr>
            </w:pPr>
          </w:p>
          <w:p w14:paraId="46ACAF98" w14:textId="69D94763" w:rsidR="00376ADE" w:rsidRPr="000A2A5E" w:rsidRDefault="00376ADE" w:rsidP="00552A28">
            <w:pPr>
              <w:spacing w:line="480" w:lineRule="auto"/>
              <w:rPr>
                <w:szCs w:val="22"/>
                <w:u w:val="single"/>
              </w:rPr>
            </w:pPr>
            <w:r w:rsidRPr="000A2A5E">
              <w:rPr>
                <w:szCs w:val="22"/>
                <w:u w:val="single"/>
              </w:rPr>
              <w:t>Pharmacodynamic effect</w:t>
            </w:r>
          </w:p>
          <w:p w14:paraId="60B5F451" w14:textId="77777777" w:rsidR="00376ADE" w:rsidRPr="009245BF" w:rsidRDefault="00376ADE" w:rsidP="00552A28">
            <w:pPr>
              <w:spacing w:line="480" w:lineRule="auto"/>
              <w:rPr>
                <w:szCs w:val="22"/>
              </w:rPr>
            </w:pPr>
            <w:r w:rsidRPr="009245BF">
              <w:rPr>
                <w:szCs w:val="22"/>
              </w:rPr>
              <w:t xml:space="preserve">With the recommended dosage schedule, clinically relevant accumulation of propofol after repeated bolus injection or after infusion has not been observed. </w:t>
            </w:r>
          </w:p>
          <w:p w14:paraId="3F6AAED4" w14:textId="77777777" w:rsidR="00376ADE" w:rsidRPr="009245BF" w:rsidRDefault="00376ADE" w:rsidP="00552A28">
            <w:pPr>
              <w:spacing w:line="480" w:lineRule="auto"/>
              <w:rPr>
                <w:szCs w:val="22"/>
              </w:rPr>
            </w:pPr>
            <w:r w:rsidRPr="009245BF">
              <w:rPr>
                <w:szCs w:val="22"/>
              </w:rPr>
              <w:t>Patients recover consciousness rapidly.</w:t>
            </w:r>
          </w:p>
          <w:p w14:paraId="7AC1C7F7" w14:textId="77777777" w:rsidR="00376ADE" w:rsidRPr="009245BF" w:rsidRDefault="00376ADE" w:rsidP="00552A28">
            <w:pPr>
              <w:spacing w:line="480" w:lineRule="auto"/>
              <w:rPr>
                <w:szCs w:val="22"/>
              </w:rPr>
            </w:pPr>
            <w:r w:rsidRPr="009245BF">
              <w:rPr>
                <w:szCs w:val="22"/>
              </w:rPr>
              <w:t>Bradycardia and hypotension occasionally occur during induction of anaesthesia probably due to the lack of vagolytic activity. The cardio-circulatory situation usually normalises during maintenance of anaesthesia.</w:t>
            </w:r>
          </w:p>
          <w:p w14:paraId="30E06DCE" w14:textId="77777777" w:rsidR="00376ADE" w:rsidRPr="001730B4" w:rsidRDefault="00376ADE" w:rsidP="00552A28">
            <w:pPr>
              <w:spacing w:line="480" w:lineRule="auto"/>
              <w:rPr>
                <w:szCs w:val="22"/>
              </w:rPr>
            </w:pPr>
          </w:p>
          <w:p w14:paraId="423393EE" w14:textId="6E14AB5B" w:rsidR="00376ADE" w:rsidRPr="001730B4" w:rsidRDefault="00376ADE" w:rsidP="00552A28">
            <w:pPr>
              <w:spacing w:line="480" w:lineRule="auto"/>
              <w:rPr>
                <w:szCs w:val="22"/>
              </w:rPr>
            </w:pPr>
            <w:r w:rsidRPr="001730B4">
              <w:rPr>
                <w:szCs w:val="22"/>
              </w:rPr>
              <w:t>Falls in mean arterial blood pressure and changes in heartrate are observed when propofol is administered.</w:t>
            </w:r>
          </w:p>
          <w:p w14:paraId="29FEB05B" w14:textId="77777777" w:rsidR="00376ADE" w:rsidRPr="001730B4" w:rsidRDefault="00376ADE" w:rsidP="00552A28">
            <w:pPr>
              <w:spacing w:line="480" w:lineRule="auto"/>
              <w:rPr>
                <w:szCs w:val="22"/>
              </w:rPr>
            </w:pPr>
          </w:p>
          <w:p w14:paraId="4FBEF138" w14:textId="2F86AE9D" w:rsidR="00376ADE" w:rsidRPr="001730B4" w:rsidRDefault="00376ADE" w:rsidP="00552A28">
            <w:pPr>
              <w:spacing w:line="480" w:lineRule="auto"/>
              <w:rPr>
                <w:szCs w:val="22"/>
              </w:rPr>
            </w:pPr>
            <w:r w:rsidRPr="001730B4">
              <w:rPr>
                <w:szCs w:val="22"/>
              </w:rPr>
              <w:t>Ventilatory depression can occur following administration of propofol.</w:t>
            </w:r>
          </w:p>
          <w:p w14:paraId="6B30CB34" w14:textId="77777777" w:rsidR="00376ADE" w:rsidRPr="001730B4" w:rsidRDefault="00376ADE" w:rsidP="00552A28">
            <w:pPr>
              <w:spacing w:line="480" w:lineRule="auto"/>
              <w:rPr>
                <w:szCs w:val="22"/>
              </w:rPr>
            </w:pPr>
          </w:p>
          <w:p w14:paraId="7DA0D2B1" w14:textId="12FF5039" w:rsidR="00376ADE" w:rsidRPr="001730B4" w:rsidRDefault="00376ADE" w:rsidP="00552A28">
            <w:pPr>
              <w:spacing w:line="480" w:lineRule="auto"/>
              <w:rPr>
                <w:szCs w:val="22"/>
              </w:rPr>
            </w:pPr>
            <w:r w:rsidRPr="001730B4">
              <w:rPr>
                <w:szCs w:val="22"/>
              </w:rPr>
              <w:t>Propofol reduces cerebral blood flow, intracranial pressure and cerebral metabolism.</w:t>
            </w:r>
          </w:p>
          <w:p w14:paraId="309F3D18" w14:textId="77777777" w:rsidR="00376ADE" w:rsidRPr="001730B4" w:rsidRDefault="00376ADE" w:rsidP="00552A28">
            <w:pPr>
              <w:spacing w:line="480" w:lineRule="auto"/>
              <w:rPr>
                <w:szCs w:val="22"/>
              </w:rPr>
            </w:pPr>
          </w:p>
          <w:p w14:paraId="5FA0D9C9" w14:textId="70EABE8C" w:rsidR="00376ADE" w:rsidRPr="001730B4" w:rsidRDefault="00376ADE" w:rsidP="00552A28">
            <w:pPr>
              <w:spacing w:line="480" w:lineRule="auto"/>
              <w:rPr>
                <w:szCs w:val="22"/>
              </w:rPr>
            </w:pPr>
            <w:r w:rsidRPr="001730B4">
              <w:rPr>
                <w:szCs w:val="22"/>
              </w:rPr>
              <w:t>Recovery from anaesthesia is usually rapid and clear-headed. Propofol has an anti-emetic effect.</w:t>
            </w:r>
          </w:p>
          <w:p w14:paraId="37FCCEA1" w14:textId="77777777" w:rsidR="00376ADE" w:rsidRPr="001730B4" w:rsidRDefault="00376ADE" w:rsidP="00552A28">
            <w:pPr>
              <w:spacing w:line="480" w:lineRule="auto"/>
              <w:rPr>
                <w:szCs w:val="22"/>
              </w:rPr>
            </w:pPr>
          </w:p>
          <w:p w14:paraId="05ED98C2" w14:textId="0DC34ADE" w:rsidR="00376ADE" w:rsidRPr="001730B4" w:rsidRDefault="00376ADE" w:rsidP="00552A28">
            <w:pPr>
              <w:spacing w:line="480" w:lineRule="auto"/>
              <w:rPr>
                <w:szCs w:val="22"/>
              </w:rPr>
            </w:pPr>
            <w:r w:rsidRPr="001730B4">
              <w:rPr>
                <w:szCs w:val="22"/>
              </w:rPr>
              <w:t>Studies have shown that propofol at concentrations likely to occur clinically, does not inhibit the synthesis of adrenocortical hormones.</w:t>
            </w:r>
          </w:p>
          <w:p w14:paraId="0709F590" w14:textId="77777777" w:rsidR="00376ADE" w:rsidRDefault="00376ADE" w:rsidP="00552A28">
            <w:pPr>
              <w:spacing w:line="480" w:lineRule="auto"/>
              <w:rPr>
                <w:szCs w:val="22"/>
              </w:rPr>
            </w:pPr>
          </w:p>
          <w:p w14:paraId="514036C7" w14:textId="570D994D" w:rsidR="00376ADE" w:rsidRPr="000A2A5E" w:rsidRDefault="00376ADE" w:rsidP="00552A28">
            <w:pPr>
              <w:spacing w:line="480" w:lineRule="auto"/>
              <w:rPr>
                <w:strike/>
                <w:szCs w:val="22"/>
              </w:rPr>
            </w:pPr>
            <w:r w:rsidRPr="009245BF">
              <w:rPr>
                <w:szCs w:val="22"/>
              </w:rPr>
              <w:t xml:space="preserve">The formulation of propofol in a mixed medium- and long-chain triglyceride emulsion leads to lower concentrations of free </w:t>
            </w:r>
            <w:r w:rsidRPr="001730B4">
              <w:rPr>
                <w:szCs w:val="22"/>
              </w:rPr>
              <w:t>propofol</w:t>
            </w:r>
            <w:r w:rsidRPr="009245BF">
              <w:rPr>
                <w:szCs w:val="22"/>
              </w:rPr>
              <w:t xml:space="preserve"> in the aqueous phase compared to pure long-chain triglyceride emulsions. </w:t>
            </w:r>
          </w:p>
          <w:p w14:paraId="278258D2" w14:textId="77777777" w:rsidR="00376ADE" w:rsidRPr="009245BF" w:rsidRDefault="00376ADE" w:rsidP="00552A28">
            <w:pPr>
              <w:spacing w:line="480" w:lineRule="auto"/>
              <w:rPr>
                <w:szCs w:val="22"/>
                <w:u w:val="single"/>
              </w:rPr>
            </w:pPr>
          </w:p>
          <w:p w14:paraId="4E9632AD" w14:textId="77777777" w:rsidR="00376ADE" w:rsidRPr="009245BF" w:rsidRDefault="00376ADE" w:rsidP="00552A28">
            <w:pPr>
              <w:spacing w:line="480" w:lineRule="auto"/>
              <w:rPr>
                <w:szCs w:val="22"/>
                <w:u w:val="single"/>
              </w:rPr>
            </w:pPr>
            <w:r w:rsidRPr="009245BF">
              <w:rPr>
                <w:szCs w:val="22"/>
                <w:u w:val="single"/>
              </w:rPr>
              <w:t xml:space="preserve">Paediatric population </w:t>
            </w:r>
          </w:p>
          <w:p w14:paraId="4EC37C53" w14:textId="23FF4476" w:rsidR="00376ADE" w:rsidRPr="009245BF" w:rsidRDefault="00376ADE" w:rsidP="00552A28">
            <w:pPr>
              <w:spacing w:line="480" w:lineRule="auto"/>
              <w:rPr>
                <w:szCs w:val="22"/>
              </w:rPr>
            </w:pPr>
            <w:r w:rsidRPr="009245BF">
              <w:rPr>
                <w:szCs w:val="22"/>
              </w:rPr>
              <w:t>Limited studies on the duration of propofol based anaesthesia in children indicate safety and efficacy is unchanged up to duration of 4 hours. Literature evidence of use in children documents use for prolonged procedures without changes in safety or efficacy.</w:t>
            </w:r>
          </w:p>
        </w:tc>
      </w:tr>
      <w:tr w:rsidR="00376ADE" w:rsidRPr="009245BF" w14:paraId="77C93CF4" w14:textId="2A18DC57" w:rsidTr="000D7AB1">
        <w:tc>
          <w:tcPr>
            <w:tcW w:w="11070" w:type="dxa"/>
          </w:tcPr>
          <w:p w14:paraId="46AB46F3" w14:textId="1B447DCA" w:rsidR="00376ADE" w:rsidRPr="001730B4" w:rsidRDefault="00376ADE" w:rsidP="00552A28">
            <w:pPr>
              <w:spacing w:line="480" w:lineRule="auto"/>
              <w:rPr>
                <w:b/>
                <w:szCs w:val="22"/>
              </w:rPr>
            </w:pPr>
            <w:r w:rsidRPr="009245BF">
              <w:rPr>
                <w:b/>
                <w:szCs w:val="22"/>
              </w:rPr>
              <w:lastRenderedPageBreak/>
              <w:t xml:space="preserve">5.2. Pharmacokinetic properties </w:t>
            </w:r>
          </w:p>
        </w:tc>
      </w:tr>
      <w:tr w:rsidR="00376ADE" w:rsidRPr="009245BF" w14:paraId="3F48E873" w14:textId="531A68C6" w:rsidTr="000D7AB1">
        <w:tc>
          <w:tcPr>
            <w:tcW w:w="11070" w:type="dxa"/>
          </w:tcPr>
          <w:p w14:paraId="1A692BA4" w14:textId="16A066FC" w:rsidR="00376ADE" w:rsidRPr="009245BF" w:rsidRDefault="00376ADE" w:rsidP="00552A28">
            <w:pPr>
              <w:keepNext/>
              <w:spacing w:line="480" w:lineRule="auto"/>
              <w:rPr>
                <w:szCs w:val="22"/>
              </w:rPr>
            </w:pPr>
            <w:r w:rsidRPr="009245BF">
              <w:rPr>
                <w:szCs w:val="22"/>
                <w:u w:val="single"/>
              </w:rPr>
              <w:t>Distribution</w:t>
            </w:r>
          </w:p>
          <w:p w14:paraId="569AE8FC" w14:textId="0FE8E9BC" w:rsidR="00376ADE" w:rsidRPr="000A2A5E" w:rsidRDefault="00376ADE" w:rsidP="00552A28">
            <w:pPr>
              <w:spacing w:line="480" w:lineRule="auto"/>
              <w:rPr>
                <w:szCs w:val="22"/>
              </w:rPr>
            </w:pPr>
            <w:r w:rsidRPr="000A2A5E">
              <w:rPr>
                <w:szCs w:val="22"/>
              </w:rPr>
              <w:t>After intravenous administration about 98 % of propofol is bound to plasma protein.</w:t>
            </w:r>
          </w:p>
          <w:p w14:paraId="4FBBF710" w14:textId="77777777" w:rsidR="00376ADE" w:rsidRPr="009245BF" w:rsidRDefault="00376ADE" w:rsidP="00552A28">
            <w:pPr>
              <w:spacing w:line="480" w:lineRule="auto"/>
              <w:rPr>
                <w:szCs w:val="22"/>
              </w:rPr>
            </w:pPr>
            <w:r w:rsidRPr="009245BF">
              <w:rPr>
                <w:szCs w:val="22"/>
              </w:rPr>
              <w:t>After intravenous</w:t>
            </w:r>
            <w:r w:rsidRPr="009245BF">
              <w:rPr>
                <w:b/>
                <w:bCs/>
                <w:i/>
                <w:iCs/>
                <w:color w:val="0000FF"/>
                <w:szCs w:val="22"/>
              </w:rPr>
              <w:t xml:space="preserve"> </w:t>
            </w:r>
            <w:r w:rsidRPr="009245BF">
              <w:rPr>
                <w:szCs w:val="22"/>
              </w:rPr>
              <w:t>bolus administration the initial blood level of propofol declines rapidly due to rapid distribution into different compartments (</w:t>
            </w:r>
            <w:r w:rsidRPr="009245BF">
              <w:rPr>
                <w:szCs w:val="22"/>
              </w:rPr>
              <w:sym w:font="Symbol" w:char="F061"/>
            </w:r>
            <w:r w:rsidRPr="009245BF">
              <w:rPr>
                <w:szCs w:val="22"/>
              </w:rPr>
              <w:t xml:space="preserve">-phase). The distribution half-life has been calculated as 2 – 4 minutes. </w:t>
            </w:r>
          </w:p>
          <w:p w14:paraId="7901FB66" w14:textId="77777777" w:rsidR="00376ADE" w:rsidRPr="009245BF" w:rsidRDefault="00376ADE" w:rsidP="00552A28">
            <w:pPr>
              <w:spacing w:line="480" w:lineRule="auto"/>
              <w:rPr>
                <w:szCs w:val="22"/>
              </w:rPr>
            </w:pPr>
            <w:r w:rsidRPr="009245BF">
              <w:rPr>
                <w:szCs w:val="22"/>
              </w:rPr>
              <w:t xml:space="preserve">During elimination the decline of blood levels is slower. The elimination half-life during the ß-phase is in the range of 30 to 60 minutes. Subsequently a third deep compartment becomes apparent, representing the re-distribution of propofol from weakly perfused tissue. </w:t>
            </w:r>
          </w:p>
          <w:p w14:paraId="5C16690C" w14:textId="77777777" w:rsidR="00376ADE" w:rsidRPr="009245BF" w:rsidRDefault="00376ADE" w:rsidP="00552A28">
            <w:pPr>
              <w:spacing w:line="480" w:lineRule="auto"/>
              <w:rPr>
                <w:szCs w:val="22"/>
              </w:rPr>
            </w:pPr>
          </w:p>
          <w:p w14:paraId="46E6F4A4" w14:textId="2C5CDC5E" w:rsidR="00376ADE" w:rsidRPr="009245BF" w:rsidRDefault="00376ADE" w:rsidP="00552A28">
            <w:pPr>
              <w:spacing w:line="480" w:lineRule="auto"/>
              <w:rPr>
                <w:szCs w:val="22"/>
              </w:rPr>
            </w:pPr>
            <w:r w:rsidRPr="009245BF">
              <w:rPr>
                <w:szCs w:val="22"/>
              </w:rPr>
              <w:t>The central volume of di</w:t>
            </w:r>
            <w:r>
              <w:rPr>
                <w:szCs w:val="22"/>
              </w:rPr>
              <w:t>stribution is in the range of 0,2 – 0,79 L</w:t>
            </w:r>
            <w:r w:rsidRPr="009245BF">
              <w:rPr>
                <w:szCs w:val="22"/>
              </w:rPr>
              <w:t>/ kg body weight, the steady-state volume of distribu</w:t>
            </w:r>
            <w:r>
              <w:rPr>
                <w:szCs w:val="22"/>
              </w:rPr>
              <w:t>tion in the range of 1,8 – 5,3 L</w:t>
            </w:r>
            <w:r w:rsidRPr="009245BF">
              <w:rPr>
                <w:szCs w:val="22"/>
              </w:rPr>
              <w:t xml:space="preserve">/ kg body weight. </w:t>
            </w:r>
          </w:p>
        </w:tc>
      </w:tr>
      <w:tr w:rsidR="00376ADE" w:rsidRPr="009245BF" w14:paraId="793B78CD" w14:textId="1E883FA1" w:rsidTr="000D7AB1">
        <w:tc>
          <w:tcPr>
            <w:tcW w:w="11070" w:type="dxa"/>
          </w:tcPr>
          <w:p w14:paraId="67ADCCE0" w14:textId="4514144A" w:rsidR="00376ADE" w:rsidRPr="009245BF" w:rsidRDefault="00376ADE" w:rsidP="00552A28">
            <w:pPr>
              <w:spacing w:line="480" w:lineRule="auto"/>
              <w:rPr>
                <w:szCs w:val="22"/>
              </w:rPr>
            </w:pPr>
            <w:r w:rsidRPr="009245BF">
              <w:rPr>
                <w:szCs w:val="22"/>
                <w:u w:val="single"/>
              </w:rPr>
              <w:t>Biotransformation</w:t>
            </w:r>
          </w:p>
          <w:p w14:paraId="6AEE82F9" w14:textId="75C28484" w:rsidR="00376ADE" w:rsidRPr="009245BF" w:rsidRDefault="00376ADE" w:rsidP="00552A28">
            <w:pPr>
              <w:spacing w:line="480" w:lineRule="auto"/>
              <w:rPr>
                <w:szCs w:val="22"/>
              </w:rPr>
            </w:pPr>
            <w:r>
              <w:rPr>
                <w:szCs w:val="22"/>
              </w:rPr>
              <w:t>Propofol is mainly metabolis</w:t>
            </w:r>
            <w:r w:rsidRPr="009245BF">
              <w:rPr>
                <w:szCs w:val="22"/>
              </w:rPr>
              <w:t xml:space="preserve">ed in the liver to form glucuronides of propofol and glucuronides and sulphate conjugates of its corresponding quinol. All metabolites are inactive. </w:t>
            </w:r>
          </w:p>
        </w:tc>
      </w:tr>
      <w:tr w:rsidR="00376ADE" w:rsidRPr="009245BF" w14:paraId="5D065912" w14:textId="03D06053" w:rsidTr="000D7AB1">
        <w:tc>
          <w:tcPr>
            <w:tcW w:w="11070" w:type="dxa"/>
          </w:tcPr>
          <w:p w14:paraId="756274B7" w14:textId="7B7B54F4" w:rsidR="00376ADE" w:rsidRPr="009245BF" w:rsidRDefault="00376ADE" w:rsidP="002F278C">
            <w:pPr>
              <w:spacing w:after="160" w:line="480" w:lineRule="auto"/>
              <w:rPr>
                <w:rFonts w:eastAsia="Calibri"/>
                <w:szCs w:val="22"/>
                <w:lang w:val="en-US"/>
              </w:rPr>
            </w:pPr>
            <w:r w:rsidRPr="009245BF">
              <w:rPr>
                <w:rFonts w:eastAsia="Calibri"/>
                <w:szCs w:val="22"/>
                <w:u w:val="single"/>
                <w:lang w:val="en-US"/>
              </w:rPr>
              <w:lastRenderedPageBreak/>
              <w:t>Elimination</w:t>
            </w:r>
          </w:p>
          <w:p w14:paraId="4E3E175D" w14:textId="4AAF2BCE" w:rsidR="00376ADE" w:rsidRPr="009245BF" w:rsidRDefault="00376ADE" w:rsidP="002F278C">
            <w:pPr>
              <w:spacing w:after="160" w:line="480" w:lineRule="auto"/>
              <w:rPr>
                <w:rFonts w:eastAsia="Calibri"/>
                <w:szCs w:val="22"/>
                <w:lang w:val="en-US"/>
              </w:rPr>
            </w:pPr>
            <w:r w:rsidRPr="009245BF">
              <w:rPr>
                <w:rFonts w:eastAsia="Calibri"/>
                <w:szCs w:val="22"/>
                <w:lang w:val="en-US"/>
              </w:rPr>
              <w:t>Propofol is rapidly cleared from the b</w:t>
            </w:r>
            <w:r>
              <w:rPr>
                <w:rFonts w:eastAsia="Calibri"/>
                <w:szCs w:val="22"/>
                <w:lang w:val="en-US"/>
              </w:rPr>
              <w:t>ody (total clearance approx. 2 L</w:t>
            </w:r>
            <w:r w:rsidRPr="009245BF">
              <w:rPr>
                <w:rFonts w:eastAsia="Calibri"/>
                <w:szCs w:val="22"/>
                <w:lang w:val="en-US"/>
              </w:rPr>
              <w:t>/ min). Clearance occurs by metabolism, mainly in the liver, where it is blood flow dependent. Clearance is higher in paediatric patients compared with adults. About 88</w:t>
            </w:r>
            <w:r>
              <w:rPr>
                <w:rFonts w:eastAsia="Calibri"/>
                <w:szCs w:val="22"/>
                <w:lang w:val="en-US"/>
              </w:rPr>
              <w:t xml:space="preserve"> </w:t>
            </w:r>
            <w:r w:rsidRPr="009245BF">
              <w:rPr>
                <w:rFonts w:eastAsia="Calibri"/>
                <w:szCs w:val="22"/>
                <w:lang w:val="en-US"/>
              </w:rPr>
              <w:t>% of an administered dose is excreted in the form of metabolites in urine. Only 0</w:t>
            </w:r>
            <w:r>
              <w:rPr>
                <w:rFonts w:eastAsia="Calibri"/>
                <w:szCs w:val="22"/>
                <w:lang w:val="en-US"/>
              </w:rPr>
              <w:t>,</w:t>
            </w:r>
            <w:r w:rsidRPr="009245BF">
              <w:rPr>
                <w:rFonts w:eastAsia="Calibri"/>
                <w:szCs w:val="22"/>
                <w:lang w:val="en-US"/>
              </w:rPr>
              <w:t>3</w:t>
            </w:r>
            <w:r>
              <w:rPr>
                <w:rFonts w:eastAsia="Calibri"/>
                <w:szCs w:val="22"/>
                <w:lang w:val="en-US"/>
              </w:rPr>
              <w:t xml:space="preserve"> </w:t>
            </w:r>
            <w:r w:rsidRPr="009245BF">
              <w:rPr>
                <w:rFonts w:eastAsia="Calibri"/>
                <w:szCs w:val="22"/>
                <w:lang w:val="en-US"/>
              </w:rPr>
              <w:t>% is excreted unchanged in the urine.</w:t>
            </w:r>
          </w:p>
        </w:tc>
      </w:tr>
      <w:tr w:rsidR="00376ADE" w:rsidRPr="009245BF" w14:paraId="071F1711" w14:textId="216A6664" w:rsidTr="000D7AB1">
        <w:tc>
          <w:tcPr>
            <w:tcW w:w="11070" w:type="dxa"/>
          </w:tcPr>
          <w:p w14:paraId="6FB67A95" w14:textId="049E11D6" w:rsidR="00376ADE" w:rsidRPr="009245BF" w:rsidRDefault="00376ADE" w:rsidP="00552A28">
            <w:pPr>
              <w:spacing w:line="480" w:lineRule="auto"/>
              <w:rPr>
                <w:szCs w:val="22"/>
                <w:u w:val="single"/>
              </w:rPr>
            </w:pPr>
            <w:r w:rsidRPr="009245BF">
              <w:rPr>
                <w:szCs w:val="22"/>
                <w:u w:val="single"/>
              </w:rPr>
              <w:t>Paediatric population</w:t>
            </w:r>
          </w:p>
          <w:p w14:paraId="4689A7AE" w14:textId="05A8769B" w:rsidR="00376ADE" w:rsidRPr="009245BF" w:rsidRDefault="00376ADE" w:rsidP="00552A28">
            <w:pPr>
              <w:spacing w:line="480" w:lineRule="auto"/>
              <w:rPr>
                <w:szCs w:val="22"/>
              </w:rPr>
            </w:pPr>
            <w:r>
              <w:rPr>
                <w:szCs w:val="22"/>
              </w:rPr>
              <w:t>After a single dose of 3 mg/</w:t>
            </w:r>
            <w:r w:rsidRPr="009245BF">
              <w:rPr>
                <w:szCs w:val="22"/>
              </w:rPr>
              <w:t xml:space="preserve">kg intravenously, propofol clearance/kg body weight increased with age as follows: Median clearance was considerably lower in neonates &lt; 1 month old (n=25) </w:t>
            </w:r>
          </w:p>
          <w:p w14:paraId="29F29A4D" w14:textId="7FFE22D5" w:rsidR="00376ADE" w:rsidRPr="009245BF" w:rsidRDefault="00376ADE" w:rsidP="00552A28">
            <w:pPr>
              <w:spacing w:line="480" w:lineRule="auto"/>
              <w:rPr>
                <w:szCs w:val="22"/>
              </w:rPr>
            </w:pPr>
            <w:r w:rsidRPr="009245BF">
              <w:rPr>
                <w:szCs w:val="22"/>
              </w:rPr>
              <w:t>(20 m</w:t>
            </w:r>
            <w:r>
              <w:rPr>
                <w:szCs w:val="22"/>
              </w:rPr>
              <w:t>L</w:t>
            </w:r>
            <w:r w:rsidRPr="009245BF">
              <w:rPr>
                <w:szCs w:val="22"/>
              </w:rPr>
              <w:t>/ kg/ min) compared to older children (n = 36, age range 4 months – 7 years). Additionally inter-individual variability was considerable in neonates (range 3.7 – 78 m</w:t>
            </w:r>
            <w:r>
              <w:rPr>
                <w:szCs w:val="22"/>
              </w:rPr>
              <w:t>L</w:t>
            </w:r>
            <w:r w:rsidRPr="009245BF">
              <w:rPr>
                <w:szCs w:val="22"/>
              </w:rPr>
              <w:t>/ kg/ min). Due to this limited trial data that indicates a large variability, no dose recommendations can be given for this age group.</w:t>
            </w:r>
          </w:p>
          <w:p w14:paraId="5B163883" w14:textId="77777777" w:rsidR="00376ADE" w:rsidRPr="009245BF" w:rsidRDefault="00376ADE" w:rsidP="00552A28">
            <w:pPr>
              <w:spacing w:line="480" w:lineRule="auto"/>
              <w:rPr>
                <w:szCs w:val="22"/>
              </w:rPr>
            </w:pPr>
          </w:p>
          <w:p w14:paraId="7E82F0CC" w14:textId="2633A7BF" w:rsidR="00376ADE" w:rsidRPr="009245BF" w:rsidRDefault="00376ADE" w:rsidP="00552A28">
            <w:pPr>
              <w:spacing w:line="480" w:lineRule="auto"/>
              <w:rPr>
                <w:szCs w:val="22"/>
              </w:rPr>
            </w:pPr>
            <w:r w:rsidRPr="009245BF">
              <w:rPr>
                <w:szCs w:val="22"/>
              </w:rPr>
              <w:t xml:space="preserve">Median propofol clearance in older aged children after </w:t>
            </w:r>
            <w:r>
              <w:rPr>
                <w:szCs w:val="22"/>
              </w:rPr>
              <w:t>a single 3 mg/kg   bolus was 37,</w:t>
            </w:r>
            <w:r w:rsidRPr="009245BF">
              <w:rPr>
                <w:szCs w:val="22"/>
              </w:rPr>
              <w:t>5 m</w:t>
            </w:r>
            <w:r>
              <w:rPr>
                <w:szCs w:val="22"/>
              </w:rPr>
              <w:t>L</w:t>
            </w:r>
            <w:r w:rsidRPr="009245BF">
              <w:rPr>
                <w:szCs w:val="22"/>
              </w:rPr>
              <w:t>/ min/</w:t>
            </w:r>
            <w:r>
              <w:rPr>
                <w:szCs w:val="22"/>
              </w:rPr>
              <w:t xml:space="preserve"> kg (4 – 24 months) (n = 8), 38,</w:t>
            </w:r>
            <w:r w:rsidRPr="009245BF">
              <w:rPr>
                <w:szCs w:val="22"/>
              </w:rPr>
              <w:t>7 m</w:t>
            </w:r>
            <w:r>
              <w:rPr>
                <w:szCs w:val="22"/>
              </w:rPr>
              <w:t>L</w:t>
            </w:r>
            <w:r w:rsidRPr="009245BF">
              <w:rPr>
                <w:szCs w:val="22"/>
              </w:rPr>
              <w:t>/ min/ kg (11 – 43 months) (n = 6), 48 m</w:t>
            </w:r>
            <w:r>
              <w:rPr>
                <w:szCs w:val="22"/>
              </w:rPr>
              <w:t>L</w:t>
            </w:r>
            <w:r w:rsidRPr="009245BF">
              <w:rPr>
                <w:szCs w:val="22"/>
              </w:rPr>
              <w:t xml:space="preserve">/ min/ kg </w:t>
            </w:r>
          </w:p>
          <w:p w14:paraId="209B9C94" w14:textId="0C0DE6BA" w:rsidR="00376ADE" w:rsidRPr="009245BF" w:rsidRDefault="00376ADE" w:rsidP="00552A28">
            <w:pPr>
              <w:spacing w:line="480" w:lineRule="auto"/>
              <w:rPr>
                <w:szCs w:val="22"/>
              </w:rPr>
            </w:pPr>
            <w:r w:rsidRPr="009245BF">
              <w:rPr>
                <w:szCs w:val="22"/>
              </w:rPr>
              <w:t xml:space="preserve">(1 – 3 years) (n </w:t>
            </w:r>
            <w:r>
              <w:rPr>
                <w:szCs w:val="22"/>
              </w:rPr>
              <w:t>= 12), 28,</w:t>
            </w:r>
            <w:r w:rsidRPr="009245BF">
              <w:rPr>
                <w:szCs w:val="22"/>
              </w:rPr>
              <w:t>2 m</w:t>
            </w:r>
            <w:r>
              <w:rPr>
                <w:szCs w:val="22"/>
              </w:rPr>
              <w:t>L</w:t>
            </w:r>
            <w:r w:rsidRPr="009245BF">
              <w:rPr>
                <w:szCs w:val="22"/>
              </w:rPr>
              <w:t>/ min/ kg (4 – 7 year</w:t>
            </w:r>
            <w:r>
              <w:rPr>
                <w:szCs w:val="22"/>
              </w:rPr>
              <w:t>s) (n = 10) as compared with 23,</w:t>
            </w:r>
            <w:r w:rsidRPr="009245BF">
              <w:rPr>
                <w:szCs w:val="22"/>
              </w:rPr>
              <w:t>6 ml/min/kg in adults (n = 6).</w:t>
            </w:r>
          </w:p>
        </w:tc>
      </w:tr>
      <w:tr w:rsidR="00376ADE" w:rsidRPr="009245BF" w14:paraId="19EF77B0" w14:textId="759347EB" w:rsidTr="000D7AB1">
        <w:tc>
          <w:tcPr>
            <w:tcW w:w="11070" w:type="dxa"/>
          </w:tcPr>
          <w:p w14:paraId="6D736A17" w14:textId="23082B74" w:rsidR="00376ADE" w:rsidRPr="009245BF" w:rsidRDefault="00376ADE" w:rsidP="00552A28">
            <w:pPr>
              <w:spacing w:line="480" w:lineRule="auto"/>
              <w:rPr>
                <w:b/>
                <w:szCs w:val="22"/>
              </w:rPr>
            </w:pPr>
            <w:r w:rsidRPr="009245BF">
              <w:rPr>
                <w:b/>
                <w:szCs w:val="22"/>
              </w:rPr>
              <w:t>5.3. Preclinical safety data</w:t>
            </w:r>
          </w:p>
          <w:p w14:paraId="7FB9E053" w14:textId="77777777" w:rsidR="00376ADE" w:rsidRPr="009245BF" w:rsidRDefault="00376ADE" w:rsidP="00552A28">
            <w:pPr>
              <w:spacing w:line="480" w:lineRule="auto"/>
              <w:rPr>
                <w:szCs w:val="22"/>
              </w:rPr>
            </w:pPr>
            <w:r w:rsidRPr="009245BF">
              <w:rPr>
                <w:szCs w:val="22"/>
              </w:rPr>
              <w:t xml:space="preserve">Preclinical data reveal no specific hazard for humans based on conventional studies on repeated dose toxicity or genotoxicity. Carcinogenicity studies have not been conducted. </w:t>
            </w:r>
          </w:p>
          <w:p w14:paraId="18DFC69E" w14:textId="77777777" w:rsidR="00376ADE" w:rsidRPr="009245BF" w:rsidRDefault="00376ADE" w:rsidP="00552A28">
            <w:pPr>
              <w:spacing w:line="480" w:lineRule="auto"/>
              <w:rPr>
                <w:szCs w:val="22"/>
              </w:rPr>
            </w:pPr>
          </w:p>
          <w:p w14:paraId="5BD3559E" w14:textId="05DAC751" w:rsidR="00376ADE" w:rsidRPr="009245BF" w:rsidRDefault="00376ADE" w:rsidP="00552A28">
            <w:pPr>
              <w:spacing w:line="480" w:lineRule="auto"/>
              <w:rPr>
                <w:szCs w:val="22"/>
              </w:rPr>
            </w:pPr>
            <w:r w:rsidRPr="009245BF">
              <w:rPr>
                <w:szCs w:val="22"/>
              </w:rPr>
              <w:t>Published studies in animals (including primates) at doses resulting in light to moderate anaesthesia demonstrate that the use of anaesthetic</w:t>
            </w:r>
            <w:r w:rsidRPr="001730B4">
              <w:rPr>
                <w:szCs w:val="22"/>
              </w:rPr>
              <w:t xml:space="preserve"> medicine </w:t>
            </w:r>
            <w:r w:rsidRPr="009245BF">
              <w:rPr>
                <w:szCs w:val="22"/>
              </w:rPr>
              <w:t xml:space="preserve">during the period of rapid brain growth or synaptogenesis results in cell loss in the developing brain that can be associated with prolonged cognitive deficiencies. The clinical significance of the nonclinical findings is not known. </w:t>
            </w:r>
          </w:p>
          <w:p w14:paraId="55886D68" w14:textId="77777777" w:rsidR="00376ADE" w:rsidRPr="009245BF" w:rsidRDefault="00376ADE" w:rsidP="00552A28">
            <w:pPr>
              <w:spacing w:line="480" w:lineRule="auto"/>
              <w:rPr>
                <w:szCs w:val="22"/>
              </w:rPr>
            </w:pPr>
          </w:p>
          <w:p w14:paraId="7C21C248" w14:textId="7E21BFB2" w:rsidR="00376ADE" w:rsidRPr="009245BF" w:rsidRDefault="00376ADE" w:rsidP="00552A28">
            <w:pPr>
              <w:autoSpaceDE w:val="0"/>
              <w:autoSpaceDN w:val="0"/>
              <w:adjustRightInd w:val="0"/>
              <w:spacing w:line="480" w:lineRule="auto"/>
              <w:rPr>
                <w:bCs/>
                <w:i/>
                <w:szCs w:val="22"/>
                <w:lang w:eastAsia="en-ZA"/>
              </w:rPr>
            </w:pPr>
            <w:r w:rsidRPr="009245BF">
              <w:rPr>
                <w:szCs w:val="22"/>
              </w:rPr>
              <w:t>In local tolerance studies, intramuscular injection resulted in tissue damage around the injection site.</w:t>
            </w:r>
          </w:p>
        </w:tc>
      </w:tr>
      <w:tr w:rsidR="00376ADE" w:rsidRPr="009245BF" w14:paraId="7D629022" w14:textId="254C7C47" w:rsidTr="000D7AB1">
        <w:tc>
          <w:tcPr>
            <w:tcW w:w="11070" w:type="dxa"/>
          </w:tcPr>
          <w:p w14:paraId="3AF41A75" w14:textId="0F9186F0" w:rsidR="00376ADE" w:rsidRPr="009245BF" w:rsidRDefault="00376ADE" w:rsidP="00552A28">
            <w:pPr>
              <w:spacing w:line="480" w:lineRule="auto"/>
              <w:rPr>
                <w:b/>
                <w:szCs w:val="22"/>
              </w:rPr>
            </w:pPr>
            <w:r w:rsidRPr="009245BF">
              <w:rPr>
                <w:b/>
                <w:szCs w:val="22"/>
              </w:rPr>
              <w:lastRenderedPageBreak/>
              <w:t xml:space="preserve">6. PHARMACEUTICAL PARTICULARS </w:t>
            </w:r>
          </w:p>
          <w:p w14:paraId="41A7E08E" w14:textId="226AD3FC" w:rsidR="00376ADE" w:rsidRPr="009245BF" w:rsidRDefault="00376ADE" w:rsidP="00552A28">
            <w:pPr>
              <w:spacing w:line="480" w:lineRule="auto"/>
              <w:rPr>
                <w:b/>
                <w:szCs w:val="22"/>
              </w:rPr>
            </w:pPr>
            <w:r w:rsidRPr="009245BF">
              <w:rPr>
                <w:b/>
                <w:szCs w:val="22"/>
              </w:rPr>
              <w:t xml:space="preserve">6.1. List of excipients </w:t>
            </w:r>
          </w:p>
          <w:p w14:paraId="605E908F" w14:textId="77777777" w:rsidR="00376ADE" w:rsidRPr="009245BF" w:rsidRDefault="00376ADE" w:rsidP="00552A28">
            <w:pPr>
              <w:spacing w:line="480" w:lineRule="auto"/>
              <w:rPr>
                <w:szCs w:val="22"/>
              </w:rPr>
            </w:pPr>
            <w:r w:rsidRPr="009245BF">
              <w:rPr>
                <w:szCs w:val="22"/>
              </w:rPr>
              <w:t xml:space="preserve">Soya-bean oil, refined, </w:t>
            </w:r>
          </w:p>
          <w:p w14:paraId="26DCAA26" w14:textId="77777777" w:rsidR="00376ADE" w:rsidRPr="009245BF" w:rsidRDefault="00376ADE" w:rsidP="00552A28">
            <w:pPr>
              <w:spacing w:line="480" w:lineRule="auto"/>
              <w:rPr>
                <w:szCs w:val="22"/>
              </w:rPr>
            </w:pPr>
            <w:r w:rsidRPr="009245BF">
              <w:rPr>
                <w:szCs w:val="22"/>
              </w:rPr>
              <w:t xml:space="preserve">Medium-chain triglycerides, </w:t>
            </w:r>
          </w:p>
          <w:p w14:paraId="7A78325E" w14:textId="77777777" w:rsidR="00376ADE" w:rsidRPr="009245BF" w:rsidRDefault="00376ADE" w:rsidP="00552A28">
            <w:pPr>
              <w:spacing w:line="480" w:lineRule="auto"/>
              <w:rPr>
                <w:szCs w:val="22"/>
              </w:rPr>
            </w:pPr>
            <w:r w:rsidRPr="009245BF">
              <w:rPr>
                <w:szCs w:val="22"/>
              </w:rPr>
              <w:t xml:space="preserve">Glycerol, </w:t>
            </w:r>
          </w:p>
          <w:p w14:paraId="703133AF" w14:textId="77777777" w:rsidR="00376ADE" w:rsidRPr="009245BF" w:rsidRDefault="00376ADE" w:rsidP="00552A28">
            <w:pPr>
              <w:spacing w:line="480" w:lineRule="auto"/>
              <w:rPr>
                <w:szCs w:val="22"/>
              </w:rPr>
            </w:pPr>
            <w:r w:rsidRPr="009245BF">
              <w:rPr>
                <w:szCs w:val="22"/>
              </w:rPr>
              <w:t xml:space="preserve">Egg phospholipids for injection, </w:t>
            </w:r>
          </w:p>
          <w:p w14:paraId="2A98C460" w14:textId="77777777" w:rsidR="00376ADE" w:rsidRPr="009245BF" w:rsidRDefault="00376ADE" w:rsidP="00552A28">
            <w:pPr>
              <w:spacing w:line="480" w:lineRule="auto"/>
              <w:rPr>
                <w:szCs w:val="22"/>
              </w:rPr>
            </w:pPr>
            <w:r w:rsidRPr="009245BF">
              <w:rPr>
                <w:szCs w:val="22"/>
              </w:rPr>
              <w:t>Sodium oleate,</w:t>
            </w:r>
          </w:p>
          <w:p w14:paraId="4B0B5A8E" w14:textId="77533FE3" w:rsidR="00376ADE" w:rsidRPr="009245BF" w:rsidRDefault="00376ADE" w:rsidP="00552A28">
            <w:pPr>
              <w:spacing w:line="480" w:lineRule="auto"/>
              <w:rPr>
                <w:szCs w:val="22"/>
              </w:rPr>
            </w:pPr>
            <w:r w:rsidRPr="009245BF">
              <w:rPr>
                <w:szCs w:val="22"/>
              </w:rPr>
              <w:t xml:space="preserve">Water for injections. </w:t>
            </w:r>
          </w:p>
        </w:tc>
      </w:tr>
      <w:tr w:rsidR="00376ADE" w:rsidRPr="009245BF" w14:paraId="2CBBEADF" w14:textId="2FFAE9E2" w:rsidTr="000D7AB1">
        <w:tc>
          <w:tcPr>
            <w:tcW w:w="11070" w:type="dxa"/>
          </w:tcPr>
          <w:p w14:paraId="1A5BAB42" w14:textId="5876E0F9" w:rsidR="00376ADE" w:rsidRPr="009245BF" w:rsidRDefault="00376ADE" w:rsidP="00552A28">
            <w:pPr>
              <w:spacing w:line="480" w:lineRule="auto"/>
              <w:rPr>
                <w:b/>
                <w:szCs w:val="22"/>
              </w:rPr>
            </w:pPr>
            <w:r w:rsidRPr="009245BF">
              <w:rPr>
                <w:b/>
                <w:szCs w:val="22"/>
              </w:rPr>
              <w:t xml:space="preserve">6.2. Incompatibilities </w:t>
            </w:r>
          </w:p>
          <w:p w14:paraId="56B42D33" w14:textId="77777777" w:rsidR="00376ADE" w:rsidRDefault="00376ADE" w:rsidP="00552A28">
            <w:pPr>
              <w:spacing w:line="480" w:lineRule="auto"/>
              <w:rPr>
                <w:szCs w:val="22"/>
              </w:rPr>
            </w:pPr>
            <w:r w:rsidRPr="009245BF">
              <w:rPr>
                <w:szCs w:val="22"/>
              </w:rPr>
              <w:t>This medicinal product must not be mixed with other medicinal products except those mentioned in section 6.6.</w:t>
            </w:r>
          </w:p>
          <w:p w14:paraId="578AEC2D" w14:textId="77777777" w:rsidR="00376ADE" w:rsidRDefault="00376ADE" w:rsidP="00552A28">
            <w:pPr>
              <w:spacing w:line="480" w:lineRule="auto"/>
              <w:rPr>
                <w:szCs w:val="22"/>
              </w:rPr>
            </w:pPr>
          </w:p>
          <w:p w14:paraId="276DAEE7" w14:textId="77777777" w:rsidR="00376ADE" w:rsidRPr="001730B4" w:rsidRDefault="00376ADE" w:rsidP="00552A28">
            <w:pPr>
              <w:spacing w:line="480" w:lineRule="auto"/>
              <w:rPr>
                <w:i/>
                <w:szCs w:val="22"/>
              </w:rPr>
            </w:pPr>
            <w:r w:rsidRPr="001730B4">
              <w:rPr>
                <w:i/>
                <w:szCs w:val="22"/>
              </w:rPr>
              <w:t xml:space="preserve">Incompatibilities: </w:t>
            </w:r>
          </w:p>
          <w:p w14:paraId="35DBA24B" w14:textId="0C1EC1AB" w:rsidR="00376ADE" w:rsidRPr="001730B4" w:rsidRDefault="006932F9" w:rsidP="00552A28">
            <w:pPr>
              <w:spacing w:line="480" w:lineRule="auto"/>
              <w:rPr>
                <w:szCs w:val="22"/>
              </w:rPr>
            </w:pPr>
            <w:r>
              <w:rPr>
                <w:b/>
                <w:szCs w:val="22"/>
              </w:rPr>
              <w:t>Propofol B. Braun</w:t>
            </w:r>
            <w:r w:rsidR="00376ADE" w:rsidRPr="001730B4">
              <w:rPr>
                <w:b/>
                <w:szCs w:val="22"/>
              </w:rPr>
              <w:t xml:space="preserve"> </w:t>
            </w:r>
            <w:r w:rsidR="00376ADE" w:rsidRPr="001730B4">
              <w:rPr>
                <w:szCs w:val="22"/>
              </w:rPr>
              <w:t>should not be mixed prior to administration with injections or infusion fluids.</w:t>
            </w:r>
          </w:p>
          <w:p w14:paraId="363D727E" w14:textId="61717ED4" w:rsidR="00376ADE" w:rsidRPr="009245BF" w:rsidRDefault="00376ADE" w:rsidP="00D6389C">
            <w:pPr>
              <w:spacing w:line="480" w:lineRule="auto"/>
              <w:rPr>
                <w:szCs w:val="22"/>
              </w:rPr>
            </w:pPr>
            <w:r w:rsidRPr="001730B4">
              <w:rPr>
                <w:szCs w:val="22"/>
              </w:rPr>
              <w:t xml:space="preserve">The neuromuscular blocking medicine, atracurium and mivacurium should not be given through the same intravenous line as </w:t>
            </w:r>
            <w:r w:rsidR="006932F9">
              <w:rPr>
                <w:b/>
                <w:szCs w:val="22"/>
              </w:rPr>
              <w:t>Propofol B. Braun</w:t>
            </w:r>
            <w:r w:rsidRPr="001730B4">
              <w:rPr>
                <w:b/>
                <w:szCs w:val="22"/>
              </w:rPr>
              <w:t xml:space="preserve"> </w:t>
            </w:r>
            <w:r w:rsidRPr="001730B4">
              <w:rPr>
                <w:szCs w:val="22"/>
              </w:rPr>
              <w:t>without prior flushing.</w:t>
            </w:r>
          </w:p>
        </w:tc>
      </w:tr>
      <w:tr w:rsidR="00376ADE" w:rsidRPr="009245BF" w14:paraId="109F2724" w14:textId="2A651D38" w:rsidTr="000D7AB1">
        <w:tc>
          <w:tcPr>
            <w:tcW w:w="11070" w:type="dxa"/>
          </w:tcPr>
          <w:p w14:paraId="758E94F2" w14:textId="46F5BAC6" w:rsidR="00376ADE" w:rsidRPr="009245BF" w:rsidRDefault="00376ADE" w:rsidP="00552A28">
            <w:pPr>
              <w:spacing w:line="480" w:lineRule="auto"/>
              <w:rPr>
                <w:b/>
                <w:szCs w:val="22"/>
              </w:rPr>
            </w:pPr>
            <w:r w:rsidRPr="009245BF">
              <w:rPr>
                <w:b/>
                <w:szCs w:val="22"/>
              </w:rPr>
              <w:t xml:space="preserve">6.3. Shelf-life  </w:t>
            </w:r>
          </w:p>
          <w:p w14:paraId="79F4F3BC" w14:textId="77777777" w:rsidR="00376ADE" w:rsidRPr="009245BF" w:rsidRDefault="00376ADE" w:rsidP="00552A28">
            <w:pPr>
              <w:spacing w:line="480" w:lineRule="auto"/>
              <w:rPr>
                <w:i/>
                <w:szCs w:val="22"/>
              </w:rPr>
            </w:pPr>
            <w:r w:rsidRPr="009245BF">
              <w:rPr>
                <w:i/>
                <w:szCs w:val="22"/>
              </w:rPr>
              <w:t xml:space="preserve">Unopened </w:t>
            </w:r>
          </w:p>
          <w:p w14:paraId="45375BD2" w14:textId="77777777" w:rsidR="00376ADE" w:rsidRPr="009245BF" w:rsidRDefault="00376ADE" w:rsidP="00552A28">
            <w:pPr>
              <w:spacing w:line="480" w:lineRule="auto"/>
              <w:rPr>
                <w:szCs w:val="22"/>
              </w:rPr>
            </w:pPr>
            <w:r w:rsidRPr="009245BF">
              <w:rPr>
                <w:szCs w:val="22"/>
              </w:rPr>
              <w:t xml:space="preserve">2 years </w:t>
            </w:r>
          </w:p>
          <w:p w14:paraId="5EF70253" w14:textId="77777777" w:rsidR="00376ADE" w:rsidRPr="009245BF" w:rsidRDefault="00376ADE" w:rsidP="00552A28">
            <w:pPr>
              <w:spacing w:line="480" w:lineRule="auto"/>
              <w:rPr>
                <w:szCs w:val="22"/>
              </w:rPr>
            </w:pPr>
          </w:p>
          <w:p w14:paraId="77CA701C" w14:textId="77777777" w:rsidR="00376ADE" w:rsidRPr="009245BF" w:rsidRDefault="00376ADE" w:rsidP="00552A28">
            <w:pPr>
              <w:spacing w:line="480" w:lineRule="auto"/>
              <w:rPr>
                <w:i/>
                <w:szCs w:val="22"/>
              </w:rPr>
            </w:pPr>
            <w:r w:rsidRPr="009245BF">
              <w:rPr>
                <w:i/>
                <w:szCs w:val="22"/>
              </w:rPr>
              <w:t xml:space="preserve">After first opening: </w:t>
            </w:r>
          </w:p>
          <w:p w14:paraId="43AA3449" w14:textId="3076F739" w:rsidR="00376ADE" w:rsidRPr="009245BF" w:rsidRDefault="00376ADE" w:rsidP="00552A28">
            <w:pPr>
              <w:spacing w:line="480" w:lineRule="auto"/>
              <w:rPr>
                <w:szCs w:val="22"/>
              </w:rPr>
            </w:pPr>
            <w:r w:rsidRPr="009245BF">
              <w:rPr>
                <w:szCs w:val="22"/>
              </w:rPr>
              <w:t>Use immediately.</w:t>
            </w:r>
          </w:p>
        </w:tc>
      </w:tr>
      <w:tr w:rsidR="00376ADE" w:rsidRPr="009245BF" w14:paraId="760F5648" w14:textId="2B1FAF82" w:rsidTr="000D7AB1">
        <w:tc>
          <w:tcPr>
            <w:tcW w:w="11070" w:type="dxa"/>
          </w:tcPr>
          <w:p w14:paraId="2DB620AE" w14:textId="2FF7D99C" w:rsidR="00376ADE" w:rsidRPr="009245BF" w:rsidRDefault="00376ADE" w:rsidP="00552A28">
            <w:pPr>
              <w:spacing w:line="480" w:lineRule="auto"/>
              <w:rPr>
                <w:b/>
                <w:szCs w:val="22"/>
              </w:rPr>
            </w:pPr>
            <w:r w:rsidRPr="009245BF">
              <w:rPr>
                <w:b/>
                <w:szCs w:val="22"/>
              </w:rPr>
              <w:t xml:space="preserve">6.4. Special precautions for storage  </w:t>
            </w:r>
          </w:p>
          <w:p w14:paraId="37A020D8" w14:textId="6C5855CB" w:rsidR="00376ADE" w:rsidRPr="001730B4" w:rsidRDefault="00376ADE" w:rsidP="001730B4">
            <w:pPr>
              <w:spacing w:line="480" w:lineRule="auto"/>
              <w:rPr>
                <w:szCs w:val="22"/>
              </w:rPr>
            </w:pPr>
            <w:r w:rsidRPr="009245BF">
              <w:rPr>
                <w:szCs w:val="22"/>
              </w:rPr>
              <w:t xml:space="preserve">Store at or below 25 ºC. Do not </w:t>
            </w:r>
            <w:r>
              <w:rPr>
                <w:szCs w:val="22"/>
              </w:rPr>
              <w:t>f</w:t>
            </w:r>
            <w:r w:rsidRPr="009245BF">
              <w:rPr>
                <w:szCs w:val="22"/>
              </w:rPr>
              <w:t>reeze.</w:t>
            </w:r>
          </w:p>
        </w:tc>
      </w:tr>
      <w:tr w:rsidR="00376ADE" w:rsidRPr="009245BF" w14:paraId="6D919E5C" w14:textId="103E0B5B" w:rsidTr="000D7AB1">
        <w:tc>
          <w:tcPr>
            <w:tcW w:w="11070" w:type="dxa"/>
          </w:tcPr>
          <w:p w14:paraId="64573812" w14:textId="6457BEE3" w:rsidR="00376ADE" w:rsidRPr="009245BF" w:rsidRDefault="00376ADE" w:rsidP="00552A28">
            <w:pPr>
              <w:spacing w:line="480" w:lineRule="auto"/>
              <w:rPr>
                <w:b/>
                <w:szCs w:val="22"/>
              </w:rPr>
            </w:pPr>
            <w:r w:rsidRPr="009245BF">
              <w:rPr>
                <w:b/>
                <w:szCs w:val="22"/>
              </w:rPr>
              <w:t>6.5. Nature and contents of container</w:t>
            </w:r>
            <w:r w:rsidRPr="009245BF">
              <w:rPr>
                <w:i/>
                <w:szCs w:val="22"/>
              </w:rPr>
              <w:t xml:space="preserve"> </w:t>
            </w:r>
          </w:p>
          <w:p w14:paraId="010EFBD6" w14:textId="77777777" w:rsidR="00376ADE" w:rsidRPr="009245BF" w:rsidRDefault="00376ADE" w:rsidP="00552A28">
            <w:pPr>
              <w:spacing w:line="480" w:lineRule="auto"/>
              <w:rPr>
                <w:szCs w:val="22"/>
              </w:rPr>
            </w:pPr>
            <w:r w:rsidRPr="009245BF">
              <w:rPr>
                <w:szCs w:val="22"/>
              </w:rPr>
              <w:lastRenderedPageBreak/>
              <w:t>The bottles are made of colourless glass (type II Ph. Eur.) sealed with with bromobutyl rubber closure and aluminium caps, containing 50 ml of emulsion. It is milky –white oil- in-water emulsion. It is available in packs of 1 x 50 ml, 10 x 50 ml.</w:t>
            </w:r>
          </w:p>
          <w:p w14:paraId="453CCA75" w14:textId="47360516" w:rsidR="00376ADE" w:rsidRPr="009245BF" w:rsidRDefault="00376ADE" w:rsidP="00552A28">
            <w:pPr>
              <w:pStyle w:val="BodyTextIndent3"/>
              <w:spacing w:line="480" w:lineRule="auto"/>
              <w:ind w:left="0" w:firstLine="0"/>
              <w:rPr>
                <w:sz w:val="22"/>
                <w:szCs w:val="22"/>
              </w:rPr>
            </w:pPr>
            <w:r w:rsidRPr="009245BF">
              <w:rPr>
                <w:sz w:val="22"/>
                <w:szCs w:val="22"/>
              </w:rPr>
              <w:t>Not all pack sizes may be marketed.</w:t>
            </w:r>
          </w:p>
        </w:tc>
      </w:tr>
      <w:tr w:rsidR="00376ADE" w:rsidRPr="009245BF" w14:paraId="1A0D37EB" w14:textId="211B3122" w:rsidTr="000D7AB1">
        <w:tc>
          <w:tcPr>
            <w:tcW w:w="11070" w:type="dxa"/>
          </w:tcPr>
          <w:p w14:paraId="599469F7" w14:textId="4736BCB7" w:rsidR="00376ADE" w:rsidRPr="009245BF" w:rsidRDefault="00376ADE" w:rsidP="00552A28">
            <w:pPr>
              <w:spacing w:line="480" w:lineRule="auto"/>
              <w:rPr>
                <w:b/>
                <w:szCs w:val="22"/>
              </w:rPr>
            </w:pPr>
            <w:r w:rsidRPr="009245BF">
              <w:rPr>
                <w:b/>
                <w:szCs w:val="22"/>
              </w:rPr>
              <w:lastRenderedPageBreak/>
              <w:t xml:space="preserve">6.6. Special precautions for disposal and other handling     </w:t>
            </w:r>
          </w:p>
          <w:p w14:paraId="2DB20737" w14:textId="77777777" w:rsidR="00376ADE" w:rsidRPr="009245BF" w:rsidRDefault="00376ADE" w:rsidP="00552A28">
            <w:pPr>
              <w:spacing w:line="480" w:lineRule="auto"/>
              <w:rPr>
                <w:szCs w:val="22"/>
              </w:rPr>
            </w:pPr>
            <w:r w:rsidRPr="009245BF">
              <w:rPr>
                <w:szCs w:val="22"/>
              </w:rPr>
              <w:t xml:space="preserve">Any unused product or waste material should be disposed of in accordance with local requirements. </w:t>
            </w:r>
          </w:p>
          <w:p w14:paraId="21CBA4B2" w14:textId="77777777" w:rsidR="00376ADE" w:rsidRPr="009245BF" w:rsidRDefault="00376ADE" w:rsidP="00552A28">
            <w:pPr>
              <w:spacing w:line="480" w:lineRule="auto"/>
              <w:rPr>
                <w:szCs w:val="22"/>
              </w:rPr>
            </w:pPr>
            <w:r w:rsidRPr="009245BF">
              <w:rPr>
                <w:szCs w:val="22"/>
              </w:rPr>
              <w:t xml:space="preserve">Containers should be shaken before use. </w:t>
            </w:r>
          </w:p>
          <w:p w14:paraId="1C7A00BB" w14:textId="313ECD12" w:rsidR="00376ADE" w:rsidRPr="009245BF" w:rsidRDefault="00376ADE" w:rsidP="00552A28">
            <w:pPr>
              <w:spacing w:line="480" w:lineRule="auto"/>
              <w:rPr>
                <w:szCs w:val="22"/>
              </w:rPr>
            </w:pPr>
            <w:r w:rsidRPr="009245BF">
              <w:rPr>
                <w:szCs w:val="22"/>
              </w:rPr>
              <w:t xml:space="preserve">For single use </w:t>
            </w:r>
            <w:r w:rsidRPr="001730B4">
              <w:rPr>
                <w:szCs w:val="22"/>
              </w:rPr>
              <w:t>in a single patient</w:t>
            </w:r>
            <w:r w:rsidRPr="00D6389C">
              <w:rPr>
                <w:szCs w:val="22"/>
              </w:rPr>
              <w:t xml:space="preserve"> </w:t>
            </w:r>
            <w:r w:rsidRPr="009245BF">
              <w:rPr>
                <w:szCs w:val="22"/>
              </w:rPr>
              <w:t>only. Any portion of contents remaining after first use must be discarded.</w:t>
            </w:r>
          </w:p>
          <w:p w14:paraId="0F7AC507" w14:textId="77777777" w:rsidR="00376ADE" w:rsidRPr="009245BF" w:rsidRDefault="00376ADE" w:rsidP="00552A28">
            <w:pPr>
              <w:spacing w:line="480" w:lineRule="auto"/>
              <w:rPr>
                <w:szCs w:val="22"/>
              </w:rPr>
            </w:pPr>
            <w:r w:rsidRPr="009245BF">
              <w:rPr>
                <w:szCs w:val="22"/>
              </w:rPr>
              <w:t xml:space="preserve">If two layers can be seen after shaking, the medicinal product should not be used. </w:t>
            </w:r>
          </w:p>
          <w:p w14:paraId="32394BF3" w14:textId="2BC5BFC5" w:rsidR="00376ADE" w:rsidRDefault="006932F9" w:rsidP="00552A28">
            <w:pPr>
              <w:spacing w:line="480" w:lineRule="auto"/>
              <w:rPr>
                <w:szCs w:val="22"/>
              </w:rPr>
            </w:pPr>
            <w:r>
              <w:rPr>
                <w:b/>
                <w:szCs w:val="22"/>
              </w:rPr>
              <w:t>Propofol B. Braun</w:t>
            </w:r>
            <w:r w:rsidR="00376ADE" w:rsidRPr="009245BF">
              <w:rPr>
                <w:b/>
                <w:szCs w:val="22"/>
              </w:rPr>
              <w:t xml:space="preserve"> </w:t>
            </w:r>
            <w:r w:rsidR="00376ADE" w:rsidRPr="009245BF">
              <w:rPr>
                <w:szCs w:val="22"/>
              </w:rPr>
              <w:t xml:space="preserve">must not be mixed with other solutions for injection or infusion. However, co-administration of </w:t>
            </w:r>
            <w:r>
              <w:rPr>
                <w:b/>
                <w:szCs w:val="22"/>
              </w:rPr>
              <w:t>Propofol B. Braun</w:t>
            </w:r>
            <w:r w:rsidR="00376ADE" w:rsidRPr="009245BF">
              <w:rPr>
                <w:b/>
                <w:szCs w:val="22"/>
              </w:rPr>
              <w:t xml:space="preserve"> </w:t>
            </w:r>
            <w:r w:rsidR="00376ADE" w:rsidRPr="009245BF">
              <w:rPr>
                <w:szCs w:val="22"/>
              </w:rPr>
              <w:t>together with glucose 50 mg/ m</w:t>
            </w:r>
            <w:r w:rsidR="00376ADE">
              <w:rPr>
                <w:szCs w:val="22"/>
              </w:rPr>
              <w:t>L</w:t>
            </w:r>
            <w:r w:rsidR="00376ADE" w:rsidRPr="009245BF">
              <w:rPr>
                <w:szCs w:val="22"/>
              </w:rPr>
              <w:t xml:space="preserve"> solution or sodium chloride 9 mg/ m</w:t>
            </w:r>
            <w:r w:rsidR="00376ADE">
              <w:rPr>
                <w:szCs w:val="22"/>
              </w:rPr>
              <w:t>L</w:t>
            </w:r>
            <w:r w:rsidR="00376ADE" w:rsidRPr="009245BF">
              <w:rPr>
                <w:szCs w:val="22"/>
              </w:rPr>
              <w:t xml:space="preserve"> (0,9 % w/v) solution via Y-connector close to the injection site is possible. </w:t>
            </w:r>
          </w:p>
          <w:p w14:paraId="5B237CAC" w14:textId="77777777" w:rsidR="00376ADE" w:rsidRPr="001730B4" w:rsidRDefault="00376ADE" w:rsidP="00552A28">
            <w:pPr>
              <w:spacing w:line="480" w:lineRule="auto"/>
              <w:rPr>
                <w:szCs w:val="22"/>
              </w:rPr>
            </w:pPr>
          </w:p>
          <w:p w14:paraId="54464C03" w14:textId="77777777" w:rsidR="00376ADE" w:rsidRPr="001730B4" w:rsidRDefault="00376ADE" w:rsidP="00552A28">
            <w:pPr>
              <w:spacing w:line="480" w:lineRule="auto"/>
              <w:rPr>
                <w:bCs/>
                <w:i/>
                <w:szCs w:val="22"/>
              </w:rPr>
            </w:pPr>
            <w:r w:rsidRPr="001730B4">
              <w:rPr>
                <w:bCs/>
                <w:i/>
                <w:szCs w:val="22"/>
              </w:rPr>
              <w:t>In-use precautions:</w:t>
            </w:r>
          </w:p>
          <w:p w14:paraId="27DEF6CB" w14:textId="77777777" w:rsidR="00376ADE" w:rsidRPr="001730B4" w:rsidRDefault="00376ADE" w:rsidP="00552A28">
            <w:pPr>
              <w:spacing w:line="480" w:lineRule="auto"/>
              <w:rPr>
                <w:bCs/>
                <w:i/>
                <w:szCs w:val="22"/>
              </w:rPr>
            </w:pPr>
            <w:r w:rsidRPr="001730B4">
              <w:rPr>
                <w:bCs/>
                <w:i/>
                <w:szCs w:val="22"/>
              </w:rPr>
              <w:t>General:</w:t>
            </w:r>
          </w:p>
          <w:p w14:paraId="2FAE8C35" w14:textId="1D576A31" w:rsidR="00376ADE" w:rsidRPr="001730B4" w:rsidRDefault="00376ADE" w:rsidP="00552A28">
            <w:pPr>
              <w:spacing w:line="480" w:lineRule="auto"/>
              <w:rPr>
                <w:bCs/>
                <w:szCs w:val="22"/>
              </w:rPr>
            </w:pPr>
            <w:r w:rsidRPr="001730B4">
              <w:rPr>
                <w:bCs/>
                <w:szCs w:val="22"/>
              </w:rPr>
              <w:t xml:space="preserve">Containers should be gently shaken before use. </w:t>
            </w:r>
            <w:r w:rsidR="006932F9">
              <w:rPr>
                <w:b/>
                <w:bCs/>
                <w:szCs w:val="22"/>
              </w:rPr>
              <w:t>Propofol B. Braun</w:t>
            </w:r>
            <w:r w:rsidRPr="001730B4">
              <w:rPr>
                <w:b/>
                <w:bCs/>
                <w:szCs w:val="22"/>
              </w:rPr>
              <w:t xml:space="preserve"> </w:t>
            </w:r>
            <w:r w:rsidRPr="001730B4">
              <w:rPr>
                <w:bCs/>
                <w:szCs w:val="22"/>
              </w:rPr>
              <w:t>should be inspected for particulate matter and discolouration before administration. Do not use if there is evidence of separation of the phases of the emulsion.</w:t>
            </w:r>
          </w:p>
          <w:p w14:paraId="5645AB83" w14:textId="18A597C3" w:rsidR="00376ADE" w:rsidRPr="001730B4" w:rsidRDefault="006932F9" w:rsidP="00552A28">
            <w:pPr>
              <w:spacing w:line="480" w:lineRule="auto"/>
              <w:rPr>
                <w:bCs/>
                <w:szCs w:val="22"/>
              </w:rPr>
            </w:pPr>
            <w:r>
              <w:rPr>
                <w:b/>
                <w:bCs/>
                <w:szCs w:val="22"/>
              </w:rPr>
              <w:t>Propofol B. Braun</w:t>
            </w:r>
            <w:r w:rsidR="00376ADE" w:rsidRPr="001730B4">
              <w:rPr>
                <w:b/>
                <w:bCs/>
                <w:szCs w:val="22"/>
              </w:rPr>
              <w:t xml:space="preserve"> </w:t>
            </w:r>
            <w:r w:rsidR="00376ADE" w:rsidRPr="001730B4">
              <w:rPr>
                <w:bCs/>
                <w:szCs w:val="22"/>
              </w:rPr>
              <w:t>contains no antimicrobial preservatives and the vehicle supports growth of microorganisms.</w:t>
            </w:r>
          </w:p>
          <w:p w14:paraId="49D1ADC3" w14:textId="77777777" w:rsidR="00376ADE" w:rsidRPr="001730B4" w:rsidRDefault="00376ADE" w:rsidP="00552A28">
            <w:pPr>
              <w:spacing w:line="480" w:lineRule="auto"/>
              <w:rPr>
                <w:bCs/>
                <w:szCs w:val="22"/>
              </w:rPr>
            </w:pPr>
          </w:p>
          <w:p w14:paraId="0C03DE45" w14:textId="2A5CD7F7" w:rsidR="00376ADE" w:rsidRPr="001730B4" w:rsidRDefault="00376ADE" w:rsidP="00552A28">
            <w:pPr>
              <w:spacing w:line="480" w:lineRule="auto"/>
              <w:rPr>
                <w:bCs/>
                <w:szCs w:val="22"/>
              </w:rPr>
            </w:pPr>
            <w:r w:rsidRPr="001730B4">
              <w:rPr>
                <w:bCs/>
                <w:szCs w:val="22"/>
              </w:rPr>
              <w:t xml:space="preserve">When </w:t>
            </w:r>
            <w:r w:rsidR="006932F9">
              <w:rPr>
                <w:b/>
                <w:bCs/>
                <w:szCs w:val="22"/>
              </w:rPr>
              <w:t>Propofol B. Braun</w:t>
            </w:r>
            <w:r w:rsidRPr="001730B4">
              <w:rPr>
                <w:b/>
                <w:bCs/>
                <w:szCs w:val="22"/>
              </w:rPr>
              <w:t xml:space="preserve"> </w:t>
            </w:r>
            <w:r w:rsidRPr="001730B4">
              <w:rPr>
                <w:bCs/>
                <w:szCs w:val="22"/>
              </w:rPr>
              <w:t xml:space="preserve">is to be aspirated, it must be drawn aseptically into a sterile syringe or giving set immediately after opening the vial seal. Administration must commence without delay. Asepsis must be maintained for both </w:t>
            </w:r>
            <w:r w:rsidR="006932F9">
              <w:rPr>
                <w:b/>
                <w:bCs/>
                <w:szCs w:val="22"/>
              </w:rPr>
              <w:t>Propofol B. Braun</w:t>
            </w:r>
            <w:r w:rsidRPr="001730B4">
              <w:rPr>
                <w:b/>
                <w:bCs/>
                <w:szCs w:val="22"/>
              </w:rPr>
              <w:t xml:space="preserve"> </w:t>
            </w:r>
            <w:r w:rsidRPr="001730B4">
              <w:rPr>
                <w:bCs/>
                <w:szCs w:val="22"/>
              </w:rPr>
              <w:t xml:space="preserve">and infusion equipment throughout the infusion period. Any infusion fluids added to the </w:t>
            </w:r>
            <w:r w:rsidR="006932F9">
              <w:rPr>
                <w:b/>
                <w:bCs/>
                <w:szCs w:val="22"/>
              </w:rPr>
              <w:t>Propofol B. Braun</w:t>
            </w:r>
            <w:r w:rsidRPr="001730B4">
              <w:rPr>
                <w:b/>
                <w:bCs/>
                <w:szCs w:val="22"/>
              </w:rPr>
              <w:t xml:space="preserve"> </w:t>
            </w:r>
            <w:r w:rsidRPr="001730B4">
              <w:rPr>
                <w:bCs/>
                <w:szCs w:val="22"/>
              </w:rPr>
              <w:t xml:space="preserve">line must be administered close to the cannula site. </w:t>
            </w:r>
            <w:r w:rsidR="006932F9">
              <w:rPr>
                <w:b/>
                <w:bCs/>
                <w:szCs w:val="22"/>
              </w:rPr>
              <w:t>Propofol B. Braun</w:t>
            </w:r>
            <w:r w:rsidRPr="001730B4">
              <w:rPr>
                <w:b/>
                <w:bCs/>
                <w:szCs w:val="22"/>
              </w:rPr>
              <w:t xml:space="preserve"> </w:t>
            </w:r>
            <w:r w:rsidRPr="001730B4">
              <w:rPr>
                <w:bCs/>
                <w:szCs w:val="22"/>
              </w:rPr>
              <w:t>must not be administered via a microbiological filter.</w:t>
            </w:r>
          </w:p>
          <w:p w14:paraId="2FEAFEE5" w14:textId="13E02DDB" w:rsidR="00376ADE" w:rsidRPr="00552A28" w:rsidRDefault="00376ADE" w:rsidP="00552A28">
            <w:pPr>
              <w:spacing w:line="480" w:lineRule="auto"/>
              <w:rPr>
                <w:strike/>
                <w:szCs w:val="22"/>
              </w:rPr>
            </w:pPr>
          </w:p>
        </w:tc>
      </w:tr>
      <w:tr w:rsidR="00376ADE" w:rsidRPr="009245BF" w14:paraId="3D7A1B34" w14:textId="36C17DE0" w:rsidTr="000D7AB1">
        <w:tc>
          <w:tcPr>
            <w:tcW w:w="11070" w:type="dxa"/>
          </w:tcPr>
          <w:p w14:paraId="28B33D90" w14:textId="0C316AF4" w:rsidR="00376ADE" w:rsidRPr="009245BF" w:rsidRDefault="00376ADE" w:rsidP="00552A28">
            <w:pPr>
              <w:spacing w:line="480" w:lineRule="auto"/>
              <w:rPr>
                <w:b/>
                <w:szCs w:val="22"/>
              </w:rPr>
            </w:pPr>
            <w:r w:rsidRPr="009245BF">
              <w:rPr>
                <w:b/>
                <w:szCs w:val="22"/>
              </w:rPr>
              <w:lastRenderedPageBreak/>
              <w:t>7. HOLDER OF CERTIFICATE OF REGISTRATION</w:t>
            </w:r>
          </w:p>
          <w:p w14:paraId="7F4D8218" w14:textId="77777777" w:rsidR="00376ADE" w:rsidRPr="009245BF" w:rsidRDefault="00376ADE" w:rsidP="00552A28">
            <w:pPr>
              <w:spacing w:line="480" w:lineRule="auto"/>
              <w:rPr>
                <w:szCs w:val="22"/>
              </w:rPr>
            </w:pPr>
            <w:r w:rsidRPr="009245BF">
              <w:rPr>
                <w:szCs w:val="22"/>
              </w:rPr>
              <w:t>B. Braun Medical (Pty) Ltd</w:t>
            </w:r>
          </w:p>
          <w:p w14:paraId="5B84C92E" w14:textId="77777777" w:rsidR="00376ADE" w:rsidRPr="009245BF" w:rsidRDefault="00376ADE" w:rsidP="00552A28">
            <w:pPr>
              <w:spacing w:line="480" w:lineRule="auto"/>
              <w:rPr>
                <w:szCs w:val="22"/>
              </w:rPr>
            </w:pPr>
            <w:r w:rsidRPr="009245BF">
              <w:rPr>
                <w:szCs w:val="22"/>
              </w:rPr>
              <w:t xml:space="preserve">253 Aintree Road, </w:t>
            </w:r>
          </w:p>
          <w:p w14:paraId="1026CA4C" w14:textId="77777777" w:rsidR="00376ADE" w:rsidRPr="009245BF" w:rsidRDefault="00376ADE" w:rsidP="00552A28">
            <w:pPr>
              <w:spacing w:line="480" w:lineRule="auto"/>
              <w:rPr>
                <w:szCs w:val="22"/>
              </w:rPr>
            </w:pPr>
            <w:r w:rsidRPr="009245BF">
              <w:rPr>
                <w:szCs w:val="22"/>
              </w:rPr>
              <w:t>North Riding, Randburg,</w:t>
            </w:r>
          </w:p>
          <w:p w14:paraId="3B2B7E41" w14:textId="77777777" w:rsidR="00376ADE" w:rsidRPr="009245BF" w:rsidRDefault="00376ADE" w:rsidP="00552A28">
            <w:pPr>
              <w:spacing w:line="480" w:lineRule="auto"/>
              <w:rPr>
                <w:color w:val="000000" w:themeColor="text1"/>
                <w:szCs w:val="22"/>
              </w:rPr>
            </w:pPr>
            <w:r w:rsidRPr="009245BF">
              <w:rPr>
                <w:color w:val="000000" w:themeColor="text1"/>
                <w:szCs w:val="22"/>
              </w:rPr>
              <w:t xml:space="preserve">Gauteng, </w:t>
            </w:r>
          </w:p>
          <w:p w14:paraId="0E9769BE" w14:textId="77777777" w:rsidR="00376ADE" w:rsidRPr="009245BF" w:rsidRDefault="00376ADE" w:rsidP="00552A28">
            <w:pPr>
              <w:spacing w:line="480" w:lineRule="auto"/>
              <w:rPr>
                <w:color w:val="000000" w:themeColor="text1"/>
                <w:szCs w:val="22"/>
              </w:rPr>
            </w:pPr>
            <w:r w:rsidRPr="009245BF">
              <w:rPr>
                <w:color w:val="000000" w:themeColor="text1"/>
                <w:szCs w:val="22"/>
              </w:rPr>
              <w:t>South Africa 2194.</w:t>
            </w:r>
          </w:p>
          <w:p w14:paraId="61C0679A" w14:textId="1F3BFF35" w:rsidR="00376ADE" w:rsidRPr="009245BF" w:rsidRDefault="00376ADE" w:rsidP="00552A28">
            <w:pPr>
              <w:spacing w:line="480" w:lineRule="auto"/>
              <w:rPr>
                <w:color w:val="000000" w:themeColor="text1"/>
                <w:szCs w:val="22"/>
              </w:rPr>
            </w:pPr>
            <w:r w:rsidRPr="009245BF">
              <w:rPr>
                <w:color w:val="000000" w:themeColor="text1"/>
                <w:szCs w:val="22"/>
              </w:rPr>
              <w:t>Tel: +27 (010) 222 3000</w:t>
            </w:r>
          </w:p>
          <w:p w14:paraId="3F0BBBA6" w14:textId="62798620" w:rsidR="00376ADE" w:rsidRPr="009245BF" w:rsidRDefault="00376ADE" w:rsidP="00552A28">
            <w:pPr>
              <w:spacing w:line="480" w:lineRule="auto"/>
              <w:rPr>
                <w:szCs w:val="22"/>
              </w:rPr>
            </w:pPr>
            <w:r w:rsidRPr="009245BF">
              <w:rPr>
                <w:color w:val="000000" w:themeColor="text1"/>
                <w:szCs w:val="22"/>
              </w:rPr>
              <w:t>Fax: +27 (010) 222 3133</w:t>
            </w:r>
          </w:p>
        </w:tc>
      </w:tr>
      <w:tr w:rsidR="00376ADE" w:rsidRPr="009245BF" w14:paraId="7C6BF028" w14:textId="792A9219" w:rsidTr="000D7AB1">
        <w:tc>
          <w:tcPr>
            <w:tcW w:w="11070" w:type="dxa"/>
          </w:tcPr>
          <w:p w14:paraId="1F41BB99" w14:textId="6FEC60C4" w:rsidR="00376ADE" w:rsidRPr="009245BF" w:rsidRDefault="00376ADE" w:rsidP="00552A28">
            <w:pPr>
              <w:spacing w:line="480" w:lineRule="auto"/>
              <w:rPr>
                <w:b/>
                <w:szCs w:val="22"/>
              </w:rPr>
            </w:pPr>
            <w:r w:rsidRPr="009245BF">
              <w:rPr>
                <w:b/>
                <w:szCs w:val="22"/>
              </w:rPr>
              <w:t xml:space="preserve">8. REGISTRATION NUMBER(S): </w:t>
            </w:r>
          </w:p>
          <w:p w14:paraId="34FEC52B" w14:textId="0D77AD2A" w:rsidR="00376ADE" w:rsidRPr="009245BF" w:rsidRDefault="001C2C37" w:rsidP="00552A28">
            <w:pPr>
              <w:spacing w:line="480" w:lineRule="auto"/>
              <w:rPr>
                <w:i/>
                <w:szCs w:val="22"/>
              </w:rPr>
            </w:pPr>
            <w:r>
              <w:rPr>
                <w:color w:val="000000" w:themeColor="text1"/>
                <w:szCs w:val="22"/>
              </w:rPr>
              <w:t>47/2.1/1220</w:t>
            </w:r>
          </w:p>
        </w:tc>
      </w:tr>
      <w:tr w:rsidR="00376ADE" w:rsidRPr="009245BF" w14:paraId="4FF3781F" w14:textId="69031B2E" w:rsidTr="000D7AB1">
        <w:tc>
          <w:tcPr>
            <w:tcW w:w="11070" w:type="dxa"/>
          </w:tcPr>
          <w:p w14:paraId="71F7086B" w14:textId="460136BD" w:rsidR="00376ADE" w:rsidRPr="009245BF" w:rsidRDefault="00376ADE" w:rsidP="00552A28">
            <w:pPr>
              <w:spacing w:line="480" w:lineRule="auto"/>
              <w:rPr>
                <w:b/>
                <w:szCs w:val="22"/>
              </w:rPr>
            </w:pPr>
            <w:r w:rsidRPr="009245BF">
              <w:rPr>
                <w:b/>
                <w:szCs w:val="22"/>
              </w:rPr>
              <w:t>9: DATE OF FIRST AUTHORISATION/ RENEWAL OF THE AUTHORISATION</w:t>
            </w:r>
          </w:p>
          <w:p w14:paraId="0103A6B9" w14:textId="5A5D75DF" w:rsidR="00376ADE" w:rsidRPr="001C2C37" w:rsidRDefault="001C2C37" w:rsidP="00552A28">
            <w:pPr>
              <w:spacing w:line="480" w:lineRule="auto"/>
              <w:rPr>
                <w:szCs w:val="22"/>
              </w:rPr>
            </w:pPr>
            <w:r w:rsidRPr="001C2C37">
              <w:rPr>
                <w:szCs w:val="22"/>
              </w:rPr>
              <w:t>12 July 2022</w:t>
            </w:r>
          </w:p>
        </w:tc>
      </w:tr>
      <w:tr w:rsidR="00376ADE" w:rsidRPr="009245BF" w14:paraId="4FD8627B" w14:textId="46FD3C90" w:rsidTr="000D7AB1">
        <w:tc>
          <w:tcPr>
            <w:tcW w:w="11070" w:type="dxa"/>
          </w:tcPr>
          <w:p w14:paraId="20F6AF48" w14:textId="3C8AF55E" w:rsidR="00376ADE" w:rsidRPr="009245BF" w:rsidRDefault="00376ADE" w:rsidP="00552A28">
            <w:pPr>
              <w:spacing w:line="480" w:lineRule="auto"/>
              <w:rPr>
                <w:b/>
                <w:color w:val="000000" w:themeColor="text1"/>
                <w:szCs w:val="22"/>
              </w:rPr>
            </w:pPr>
            <w:r w:rsidRPr="009245BF">
              <w:rPr>
                <w:b/>
                <w:color w:val="000000" w:themeColor="text1"/>
                <w:szCs w:val="22"/>
              </w:rPr>
              <w:t xml:space="preserve">10. DATE OF REVISION OF THE TEXT                           </w:t>
            </w:r>
          </w:p>
          <w:p w14:paraId="10B0C8FC" w14:textId="207CEDE8" w:rsidR="00376ADE" w:rsidRPr="009245BF" w:rsidRDefault="00376ADE" w:rsidP="00552A28">
            <w:pPr>
              <w:spacing w:line="480" w:lineRule="auto"/>
              <w:rPr>
                <w:b/>
                <w:color w:val="000000" w:themeColor="text1"/>
                <w:szCs w:val="22"/>
              </w:rPr>
            </w:pPr>
            <w:r w:rsidRPr="009245BF">
              <w:rPr>
                <w:b/>
                <w:color w:val="000000" w:themeColor="text1"/>
                <w:szCs w:val="22"/>
              </w:rPr>
              <w:t xml:space="preserve">  _______________</w:t>
            </w:r>
          </w:p>
        </w:tc>
      </w:tr>
    </w:tbl>
    <w:p w14:paraId="17B8728E" w14:textId="73BF9D44" w:rsidR="009245BF" w:rsidRDefault="009245BF" w:rsidP="009245BF">
      <w:pPr>
        <w:spacing w:line="480" w:lineRule="auto"/>
        <w:rPr>
          <w:szCs w:val="22"/>
        </w:rPr>
      </w:pPr>
    </w:p>
    <w:p w14:paraId="50B3D11F" w14:textId="77777777" w:rsidR="009245BF" w:rsidRPr="009245BF" w:rsidRDefault="009245BF" w:rsidP="009245BF">
      <w:pPr>
        <w:rPr>
          <w:szCs w:val="22"/>
        </w:rPr>
      </w:pPr>
    </w:p>
    <w:p w14:paraId="17E16630" w14:textId="77777777" w:rsidR="009245BF" w:rsidRPr="009245BF" w:rsidRDefault="009245BF" w:rsidP="009245BF">
      <w:pPr>
        <w:rPr>
          <w:szCs w:val="22"/>
        </w:rPr>
      </w:pPr>
    </w:p>
    <w:p w14:paraId="28F2FC63" w14:textId="77777777" w:rsidR="009245BF" w:rsidRPr="009245BF" w:rsidRDefault="009245BF" w:rsidP="009245BF">
      <w:pPr>
        <w:rPr>
          <w:szCs w:val="22"/>
        </w:rPr>
      </w:pPr>
    </w:p>
    <w:p w14:paraId="1BE343B9" w14:textId="77777777" w:rsidR="009245BF" w:rsidRPr="009245BF" w:rsidRDefault="009245BF" w:rsidP="009245BF">
      <w:pPr>
        <w:rPr>
          <w:szCs w:val="22"/>
        </w:rPr>
      </w:pPr>
    </w:p>
    <w:p w14:paraId="24269DDA" w14:textId="77777777" w:rsidR="009245BF" w:rsidRPr="009245BF" w:rsidRDefault="009245BF" w:rsidP="009245BF">
      <w:pPr>
        <w:rPr>
          <w:szCs w:val="22"/>
        </w:rPr>
      </w:pPr>
    </w:p>
    <w:p w14:paraId="3FBE6CEA" w14:textId="77777777" w:rsidR="009245BF" w:rsidRPr="009245BF" w:rsidRDefault="009245BF" w:rsidP="009245BF">
      <w:pPr>
        <w:rPr>
          <w:szCs w:val="22"/>
        </w:rPr>
      </w:pPr>
    </w:p>
    <w:p w14:paraId="4BC74494" w14:textId="77777777" w:rsidR="009245BF" w:rsidRPr="009245BF" w:rsidRDefault="009245BF" w:rsidP="009245BF">
      <w:pPr>
        <w:rPr>
          <w:szCs w:val="22"/>
        </w:rPr>
      </w:pPr>
    </w:p>
    <w:p w14:paraId="006DD38E" w14:textId="77777777" w:rsidR="009245BF" w:rsidRPr="009245BF" w:rsidRDefault="009245BF" w:rsidP="009245BF">
      <w:pPr>
        <w:rPr>
          <w:szCs w:val="22"/>
        </w:rPr>
      </w:pPr>
    </w:p>
    <w:p w14:paraId="5BF5771A" w14:textId="77777777" w:rsidR="009245BF" w:rsidRPr="009245BF" w:rsidRDefault="009245BF" w:rsidP="009245BF">
      <w:pPr>
        <w:rPr>
          <w:szCs w:val="22"/>
        </w:rPr>
      </w:pPr>
    </w:p>
    <w:p w14:paraId="19013E8E" w14:textId="0AC98243" w:rsidR="009245BF" w:rsidRDefault="009245BF" w:rsidP="009245BF">
      <w:pPr>
        <w:rPr>
          <w:szCs w:val="22"/>
        </w:rPr>
      </w:pPr>
    </w:p>
    <w:p w14:paraId="6F97072C" w14:textId="0FFB2417" w:rsidR="009245BF" w:rsidRDefault="009245BF" w:rsidP="009245BF">
      <w:pPr>
        <w:rPr>
          <w:szCs w:val="22"/>
        </w:rPr>
      </w:pPr>
    </w:p>
    <w:p w14:paraId="30A438A2" w14:textId="271D741F" w:rsidR="00B613FE" w:rsidRPr="009245BF" w:rsidRDefault="009245BF" w:rsidP="009245BF">
      <w:pPr>
        <w:tabs>
          <w:tab w:val="left" w:pos="8620"/>
        </w:tabs>
        <w:rPr>
          <w:szCs w:val="22"/>
        </w:rPr>
      </w:pPr>
      <w:r>
        <w:rPr>
          <w:szCs w:val="22"/>
        </w:rPr>
        <w:tab/>
      </w:r>
    </w:p>
    <w:sectPr w:rsidR="00B613FE" w:rsidRPr="009245BF" w:rsidSect="00DA7033">
      <w:headerReference w:type="default" r:id="rId9"/>
      <w:footerReference w:type="default" r:id="rId10"/>
      <w:pgSz w:w="11907" w:h="16840" w:code="9"/>
      <w:pgMar w:top="1418" w:right="1134" w:bottom="1276" w:left="1418"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8FA8" w14:textId="77777777" w:rsidR="007B4F8D" w:rsidRDefault="007B4F8D">
      <w:r>
        <w:separator/>
      </w:r>
    </w:p>
  </w:endnote>
  <w:endnote w:type="continuationSeparator" w:id="0">
    <w:p w14:paraId="6793FF94" w14:textId="77777777" w:rsidR="007B4F8D" w:rsidRDefault="007B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Braun">
    <w:altName w:val="Calibri"/>
    <w:charset w:val="00"/>
    <w:family w:val="auto"/>
    <w:pitch w:val="variable"/>
    <w:sig w:usb0="8000002F" w:usb1="00000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025786701"/>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087DDA32" w14:textId="3CC72E19" w:rsidR="007B4F8D" w:rsidRPr="009245BF" w:rsidRDefault="00B72B6E">
            <w:pPr>
              <w:pStyle w:val="Footer"/>
              <w:jc w:val="right"/>
              <w:rPr>
                <w:rFonts w:ascii="Arial" w:hAnsi="Arial" w:cs="Arial"/>
                <w:sz w:val="20"/>
              </w:rPr>
            </w:pPr>
            <w:r>
              <w:rPr>
                <w:noProof/>
                <w:lang w:val="en-US"/>
              </w:rPr>
              <w:drawing>
                <wp:anchor distT="0" distB="0" distL="114300" distR="114300" simplePos="0" relativeHeight="251658240" behindDoc="0" locked="0" layoutInCell="1" allowOverlap="1" wp14:anchorId="5803B93E" wp14:editId="2CF01A2A">
                  <wp:simplePos x="0" y="0"/>
                  <wp:positionH relativeFrom="column">
                    <wp:posOffset>5811520</wp:posOffset>
                  </wp:positionH>
                  <wp:positionV relativeFrom="paragraph">
                    <wp:posOffset>-503555</wp:posOffset>
                  </wp:positionV>
                  <wp:extent cx="361950" cy="4749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950" cy="474980"/>
                          </a:xfrm>
                          <a:prstGeom prst="rect">
                            <a:avLst/>
                          </a:prstGeom>
                        </pic:spPr>
                      </pic:pic>
                    </a:graphicData>
                  </a:graphic>
                </wp:anchor>
              </w:drawing>
            </w:r>
            <w:r w:rsidR="007B4F8D" w:rsidRPr="009245BF">
              <w:rPr>
                <w:rFonts w:ascii="Arial" w:hAnsi="Arial" w:cs="Arial"/>
                <w:sz w:val="20"/>
              </w:rPr>
              <w:t xml:space="preserve">Page </w:t>
            </w:r>
            <w:r w:rsidR="007B4F8D" w:rsidRPr="009245BF">
              <w:rPr>
                <w:rFonts w:ascii="Arial" w:hAnsi="Arial" w:cs="Arial"/>
                <w:bCs/>
                <w:sz w:val="20"/>
              </w:rPr>
              <w:fldChar w:fldCharType="begin"/>
            </w:r>
            <w:r w:rsidR="007B4F8D" w:rsidRPr="009245BF">
              <w:rPr>
                <w:rFonts w:ascii="Arial" w:hAnsi="Arial" w:cs="Arial"/>
                <w:bCs/>
                <w:sz w:val="20"/>
              </w:rPr>
              <w:instrText xml:space="preserve"> PAGE </w:instrText>
            </w:r>
            <w:r w:rsidR="007B4F8D" w:rsidRPr="009245BF">
              <w:rPr>
                <w:rFonts w:ascii="Arial" w:hAnsi="Arial" w:cs="Arial"/>
                <w:bCs/>
                <w:sz w:val="20"/>
              </w:rPr>
              <w:fldChar w:fldCharType="separate"/>
            </w:r>
            <w:r w:rsidR="001C2C37">
              <w:rPr>
                <w:rFonts w:ascii="Arial" w:hAnsi="Arial" w:cs="Arial"/>
                <w:bCs/>
                <w:noProof/>
                <w:sz w:val="20"/>
              </w:rPr>
              <w:t>20</w:t>
            </w:r>
            <w:r w:rsidR="007B4F8D" w:rsidRPr="009245BF">
              <w:rPr>
                <w:rFonts w:ascii="Arial" w:hAnsi="Arial" w:cs="Arial"/>
                <w:bCs/>
                <w:sz w:val="20"/>
              </w:rPr>
              <w:fldChar w:fldCharType="end"/>
            </w:r>
            <w:r w:rsidR="007B4F8D" w:rsidRPr="009245BF">
              <w:rPr>
                <w:rFonts w:ascii="Arial" w:hAnsi="Arial" w:cs="Arial"/>
                <w:sz w:val="20"/>
              </w:rPr>
              <w:t xml:space="preserve"> of </w:t>
            </w:r>
            <w:r w:rsidR="007B4F8D" w:rsidRPr="009245BF">
              <w:rPr>
                <w:rFonts w:ascii="Arial" w:hAnsi="Arial" w:cs="Arial"/>
                <w:bCs/>
                <w:sz w:val="20"/>
              </w:rPr>
              <w:fldChar w:fldCharType="begin"/>
            </w:r>
            <w:r w:rsidR="007B4F8D" w:rsidRPr="009245BF">
              <w:rPr>
                <w:rFonts w:ascii="Arial" w:hAnsi="Arial" w:cs="Arial"/>
                <w:bCs/>
                <w:sz w:val="20"/>
              </w:rPr>
              <w:instrText xml:space="preserve"> NUMPAGES  </w:instrText>
            </w:r>
            <w:r w:rsidR="007B4F8D" w:rsidRPr="009245BF">
              <w:rPr>
                <w:rFonts w:ascii="Arial" w:hAnsi="Arial" w:cs="Arial"/>
                <w:bCs/>
                <w:sz w:val="20"/>
              </w:rPr>
              <w:fldChar w:fldCharType="separate"/>
            </w:r>
            <w:r w:rsidR="001C2C37">
              <w:rPr>
                <w:rFonts w:ascii="Arial" w:hAnsi="Arial" w:cs="Arial"/>
                <w:bCs/>
                <w:noProof/>
                <w:sz w:val="20"/>
              </w:rPr>
              <w:t>22</w:t>
            </w:r>
            <w:r w:rsidR="007B4F8D" w:rsidRPr="009245BF">
              <w:rPr>
                <w:rFonts w:ascii="Arial" w:hAnsi="Arial" w:cs="Arial"/>
                <w:bCs/>
                <w:sz w:val="20"/>
              </w:rPr>
              <w:fldChar w:fldCharType="end"/>
            </w:r>
          </w:p>
        </w:sdtContent>
      </w:sdt>
    </w:sdtContent>
  </w:sdt>
  <w:p w14:paraId="5410B049" w14:textId="77777777" w:rsidR="007B4F8D" w:rsidRPr="00D45560" w:rsidRDefault="007B4F8D" w:rsidP="00D45560">
    <w:pPr>
      <w:pStyle w:val="Footer"/>
      <w:tabs>
        <w:tab w:val="left" w:pos="8222"/>
      </w:tabs>
      <w:rPr>
        <w:rFonts w:ascii="Arial" w:hAnsi="Arial" w:cs="Arial"/>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2A42" w14:textId="77777777" w:rsidR="007B4F8D" w:rsidRDefault="007B4F8D">
      <w:r>
        <w:separator/>
      </w:r>
    </w:p>
  </w:footnote>
  <w:footnote w:type="continuationSeparator" w:id="0">
    <w:p w14:paraId="0AB9BE53" w14:textId="77777777" w:rsidR="007B4F8D" w:rsidRDefault="007B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DDC2" w14:textId="7F03ADBD" w:rsidR="007B4F8D" w:rsidRPr="007215D3" w:rsidRDefault="007B4F8D" w:rsidP="00AC2BDA">
    <w:pPr>
      <w:ind w:left="2"/>
      <w:jc w:val="center"/>
      <w:rPr>
        <w:color w:val="05CDB3"/>
        <w:sz w:val="44"/>
        <w:szCs w:val="58"/>
      </w:rPr>
    </w:pPr>
    <w:r w:rsidRPr="007215D3">
      <w:rPr>
        <w:rFonts w:ascii="Braun" w:hAnsi="Braun"/>
        <w:color w:val="05CDB3"/>
        <w:sz w:val="44"/>
        <w:szCs w:val="58"/>
      </w:rPr>
      <w:t>B|BRAUN</w:t>
    </w:r>
  </w:p>
  <w:p w14:paraId="0D558F21" w14:textId="4B2D202C" w:rsidR="007B4F8D" w:rsidRDefault="007B4F8D" w:rsidP="00572262">
    <w:pPr>
      <w:tabs>
        <w:tab w:val="left" w:pos="3581"/>
        <w:tab w:val="center" w:pos="4320"/>
        <w:tab w:val="right" w:pos="8640"/>
      </w:tabs>
      <w:spacing w:after="40"/>
      <w:rPr>
        <w:sz w:val="24"/>
      </w:rPr>
    </w:pPr>
  </w:p>
  <w:tbl>
    <w:tblPr>
      <w:tblW w:w="10099" w:type="dxa"/>
      <w:tblInd w:w="-426" w:type="dxa"/>
      <w:tblLook w:val="01E0" w:firstRow="1" w:lastRow="1" w:firstColumn="1" w:lastColumn="1" w:noHBand="0" w:noVBand="0"/>
    </w:tblPr>
    <w:tblGrid>
      <w:gridCol w:w="7372"/>
      <w:gridCol w:w="2727"/>
    </w:tblGrid>
    <w:tr w:rsidR="007B4F8D" w:rsidRPr="00BC5C00" w14:paraId="1F96AAB8" w14:textId="77777777" w:rsidTr="009362AD">
      <w:trPr>
        <w:trHeight w:val="709"/>
      </w:trPr>
      <w:tc>
        <w:tcPr>
          <w:tcW w:w="7372" w:type="dxa"/>
        </w:tcPr>
        <w:p w14:paraId="317E598E" w14:textId="77777777" w:rsidR="007B4F8D" w:rsidRPr="003D1EC2" w:rsidRDefault="007B4F8D" w:rsidP="003D1EC2">
          <w:pPr>
            <w:pStyle w:val="Header"/>
            <w:keepNext/>
            <w:tabs>
              <w:tab w:val="center" w:pos="3702"/>
            </w:tabs>
            <w:outlineLvl w:val="4"/>
            <w:rPr>
              <w:rFonts w:ascii="Arial" w:hAnsi="Arial" w:cs="Arial"/>
              <w:b/>
              <w:snapToGrid w:val="0"/>
              <w:sz w:val="20"/>
            </w:rPr>
          </w:pPr>
          <w:r w:rsidRPr="003D1EC2">
            <w:rPr>
              <w:rFonts w:ascii="Arial" w:hAnsi="Arial" w:cs="Arial"/>
              <w:b/>
              <w:snapToGrid w:val="0"/>
              <w:sz w:val="20"/>
            </w:rPr>
            <w:t xml:space="preserve">Applicant: </w:t>
          </w:r>
          <w:r w:rsidRPr="003D1EC2">
            <w:rPr>
              <w:rFonts w:ascii="Arial" w:hAnsi="Arial" w:cs="Arial"/>
              <w:snapToGrid w:val="0"/>
              <w:sz w:val="20"/>
            </w:rPr>
            <w:t>B.Braun Medical (Pty) Ltd</w:t>
          </w:r>
          <w:r w:rsidRPr="003D1EC2">
            <w:rPr>
              <w:rFonts w:ascii="Arial" w:hAnsi="Arial" w:cs="Arial"/>
              <w:b/>
              <w:snapToGrid w:val="0"/>
              <w:sz w:val="20"/>
            </w:rPr>
            <w:tab/>
          </w:r>
        </w:p>
        <w:p w14:paraId="573E6065" w14:textId="29AC05EC" w:rsidR="007B4F8D" w:rsidRPr="003D1EC2" w:rsidRDefault="007B4F8D" w:rsidP="003D1EC2">
          <w:pPr>
            <w:pStyle w:val="Header"/>
            <w:keepNext/>
            <w:tabs>
              <w:tab w:val="center" w:pos="3702"/>
            </w:tabs>
            <w:outlineLvl w:val="4"/>
            <w:rPr>
              <w:rFonts w:ascii="Arial" w:hAnsi="Arial" w:cs="Arial"/>
              <w:b/>
              <w:snapToGrid w:val="0"/>
              <w:sz w:val="20"/>
            </w:rPr>
          </w:pPr>
          <w:r w:rsidRPr="003D1EC2">
            <w:rPr>
              <w:rFonts w:ascii="Arial" w:hAnsi="Arial" w:cs="Arial"/>
              <w:b/>
              <w:snapToGrid w:val="0"/>
              <w:sz w:val="20"/>
            </w:rPr>
            <w:t xml:space="preserve">Product Name: </w:t>
          </w:r>
          <w:r w:rsidRPr="006932F9">
            <w:rPr>
              <w:rFonts w:ascii="Arial" w:hAnsi="Arial" w:cs="Arial"/>
              <w:snapToGrid w:val="0"/>
              <w:sz w:val="20"/>
            </w:rPr>
            <w:t>Propofol  2 %</w:t>
          </w:r>
          <w:r w:rsidR="006932F9" w:rsidRPr="006932F9">
            <w:rPr>
              <w:rFonts w:ascii="Arial" w:hAnsi="Arial" w:cs="Arial"/>
              <w:snapToGrid w:val="0"/>
              <w:sz w:val="20"/>
            </w:rPr>
            <w:t xml:space="preserve"> (20 mg/ml) B. Braun</w:t>
          </w:r>
        </w:p>
        <w:p w14:paraId="79BD4EFB" w14:textId="77777777" w:rsidR="007B4F8D" w:rsidRDefault="007B4F8D" w:rsidP="00541E30">
          <w:pPr>
            <w:pStyle w:val="Header"/>
            <w:keepNext/>
            <w:tabs>
              <w:tab w:val="center" w:pos="3702"/>
            </w:tabs>
            <w:outlineLvl w:val="4"/>
            <w:rPr>
              <w:rFonts w:ascii="Arial" w:hAnsi="Arial" w:cs="Arial"/>
              <w:snapToGrid w:val="0"/>
              <w:sz w:val="20"/>
            </w:rPr>
          </w:pPr>
          <w:r w:rsidRPr="003D1EC2">
            <w:rPr>
              <w:rFonts w:ascii="Arial" w:hAnsi="Arial" w:cs="Arial"/>
              <w:b/>
              <w:snapToGrid w:val="0"/>
              <w:sz w:val="20"/>
            </w:rPr>
            <w:t xml:space="preserve">Dosage form and strength: </w:t>
          </w:r>
          <w:r>
            <w:rPr>
              <w:rFonts w:ascii="Arial" w:hAnsi="Arial" w:cs="Arial"/>
              <w:snapToGrid w:val="0"/>
              <w:sz w:val="20"/>
            </w:rPr>
            <w:t xml:space="preserve">Emulsion, Each ml contains </w:t>
          </w:r>
        </w:p>
        <w:p w14:paraId="2660A31B" w14:textId="6E8BFF5F" w:rsidR="007B4F8D" w:rsidRPr="00D45560" w:rsidRDefault="007B4F8D" w:rsidP="00541E30">
          <w:pPr>
            <w:pStyle w:val="Header"/>
            <w:keepNext/>
            <w:tabs>
              <w:tab w:val="center" w:pos="3702"/>
            </w:tabs>
            <w:outlineLvl w:val="4"/>
            <w:rPr>
              <w:b/>
              <w:i/>
              <w:sz w:val="20"/>
            </w:rPr>
          </w:pPr>
          <w:r>
            <w:rPr>
              <w:rFonts w:ascii="Arial" w:hAnsi="Arial" w:cs="Arial"/>
              <w:snapToGrid w:val="0"/>
              <w:sz w:val="20"/>
            </w:rPr>
            <w:t>20 mg propofol</w:t>
          </w:r>
          <w:r w:rsidRPr="003D1EC2">
            <w:rPr>
              <w:rFonts w:ascii="Arial" w:hAnsi="Arial" w:cs="Arial"/>
              <w:b/>
              <w:snapToGrid w:val="0"/>
              <w:sz w:val="20"/>
            </w:rPr>
            <w:t xml:space="preserve"> </w:t>
          </w:r>
          <w:r>
            <w:rPr>
              <w:rFonts w:ascii="Arial" w:hAnsi="Arial" w:cs="Arial"/>
              <w:snapToGrid w:val="0"/>
              <w:sz w:val="20"/>
            </w:rPr>
            <w:t xml:space="preserve"> </w:t>
          </w:r>
        </w:p>
      </w:tc>
      <w:tc>
        <w:tcPr>
          <w:tcW w:w="2727" w:type="dxa"/>
        </w:tcPr>
        <w:p w14:paraId="5AE758C4" w14:textId="77777777" w:rsidR="007B4F8D" w:rsidRDefault="007B4F8D" w:rsidP="002473D7">
          <w:pPr>
            <w:tabs>
              <w:tab w:val="center" w:pos="4320"/>
              <w:tab w:val="right" w:pos="8640"/>
            </w:tabs>
            <w:spacing w:after="40"/>
            <w:rPr>
              <w:b/>
              <w:sz w:val="20"/>
              <w:szCs w:val="20"/>
            </w:rPr>
          </w:pPr>
          <w:r w:rsidRPr="00EF266B">
            <w:rPr>
              <w:b/>
              <w:sz w:val="20"/>
              <w:szCs w:val="20"/>
            </w:rPr>
            <w:t>MODULE 1</w:t>
          </w:r>
        </w:p>
        <w:p w14:paraId="59DA1DB7" w14:textId="4F8C0C07" w:rsidR="007B4F8D" w:rsidRDefault="007B4F8D" w:rsidP="002473D7">
          <w:pPr>
            <w:tabs>
              <w:tab w:val="center" w:pos="4320"/>
              <w:tab w:val="right" w:pos="8640"/>
            </w:tabs>
            <w:spacing w:after="40"/>
            <w:rPr>
              <w:sz w:val="20"/>
              <w:szCs w:val="20"/>
              <w:lang w:val="en-ZA"/>
            </w:rPr>
          </w:pPr>
          <w:r>
            <w:rPr>
              <w:sz w:val="20"/>
              <w:szCs w:val="20"/>
              <w:lang w:val="en-ZA"/>
            </w:rPr>
            <w:t>1.</w:t>
          </w:r>
          <w:r w:rsidR="00376ADE">
            <w:rPr>
              <w:sz w:val="20"/>
              <w:szCs w:val="20"/>
              <w:lang w:val="en-ZA"/>
            </w:rPr>
            <w:t>3.1.1</w:t>
          </w:r>
        </w:p>
        <w:p w14:paraId="0713D9C9" w14:textId="4D095C2E" w:rsidR="007B4F8D" w:rsidRPr="003D1CB3" w:rsidRDefault="007B4F8D" w:rsidP="00376ADE">
          <w:pPr>
            <w:tabs>
              <w:tab w:val="center" w:pos="4320"/>
              <w:tab w:val="right" w:pos="8640"/>
            </w:tabs>
            <w:spacing w:after="40"/>
            <w:rPr>
              <w:sz w:val="20"/>
              <w:szCs w:val="20"/>
              <w:u w:val="single"/>
              <w:lang w:val="en-ZA"/>
            </w:rPr>
          </w:pPr>
          <w:r w:rsidRPr="002473D7">
            <w:rPr>
              <w:b/>
              <w:sz w:val="20"/>
              <w:szCs w:val="20"/>
              <w:lang w:val="en-ZA"/>
            </w:rPr>
            <w:t>Date</w:t>
          </w:r>
          <w:r w:rsidRPr="005F36FC">
            <w:rPr>
              <w:sz w:val="20"/>
              <w:szCs w:val="20"/>
              <w:lang w:val="en-ZA"/>
            </w:rPr>
            <w:t xml:space="preserve">: </w:t>
          </w:r>
          <w:r w:rsidRPr="00376ADE">
            <w:rPr>
              <w:sz w:val="20"/>
              <w:szCs w:val="20"/>
              <w:lang w:val="en-ZA"/>
            </w:rPr>
            <w:t>10 January 2022</w:t>
          </w:r>
        </w:p>
      </w:tc>
    </w:tr>
  </w:tbl>
  <w:p w14:paraId="2CC1DE22" w14:textId="3FAC6FE7" w:rsidR="007B4F8D" w:rsidRPr="00D45560" w:rsidRDefault="007B4F8D" w:rsidP="00BC5C00">
    <w:pPr>
      <w:tabs>
        <w:tab w:val="center" w:pos="4320"/>
        <w:tab w:val="right" w:pos="864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7FA"/>
    <w:multiLevelType w:val="hybridMultilevel"/>
    <w:tmpl w:val="75D867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357865"/>
    <w:multiLevelType w:val="hybridMultilevel"/>
    <w:tmpl w:val="22C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7A6E"/>
    <w:multiLevelType w:val="multilevel"/>
    <w:tmpl w:val="52307060"/>
    <w:lvl w:ilvl="0">
      <w:start w:val="1"/>
      <w:numFmt w:val="decimal"/>
      <w:lvlText w:val="%1."/>
      <w:lvlJc w:val="left"/>
      <w:pPr>
        <w:ind w:left="360" w:hanging="360"/>
      </w:pPr>
      <w:rPr>
        <w:rFonts w:hint="default"/>
      </w:rPr>
    </w:lvl>
    <w:lvl w:ilvl="1">
      <w:start w:val="1"/>
      <w:numFmt w:val="decimal"/>
      <w:isLgl/>
      <w:lvlText w:val="%1.%2."/>
      <w:lvlJc w:val="left"/>
      <w:pPr>
        <w:ind w:left="81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2D0ACC"/>
    <w:multiLevelType w:val="hybridMultilevel"/>
    <w:tmpl w:val="C1FC567E"/>
    <w:lvl w:ilvl="0" w:tplc="0F64BC02">
      <w:start w:val="147"/>
      <w:numFmt w:val="decimal"/>
      <w:lvlText w:val="%1."/>
      <w:lvlJc w:val="left"/>
      <w:pPr>
        <w:ind w:left="751" w:hanging="360"/>
      </w:pPr>
      <w:rPr>
        <w:rFonts w:hint="default"/>
        <w:b w:val="0"/>
      </w:rPr>
    </w:lvl>
    <w:lvl w:ilvl="1" w:tplc="1C090019" w:tentative="1">
      <w:start w:val="1"/>
      <w:numFmt w:val="lowerLetter"/>
      <w:lvlText w:val="%2."/>
      <w:lvlJc w:val="left"/>
      <w:pPr>
        <w:ind w:left="1831" w:hanging="360"/>
      </w:pPr>
    </w:lvl>
    <w:lvl w:ilvl="2" w:tplc="1C09001B" w:tentative="1">
      <w:start w:val="1"/>
      <w:numFmt w:val="lowerRoman"/>
      <w:lvlText w:val="%3."/>
      <w:lvlJc w:val="right"/>
      <w:pPr>
        <w:ind w:left="2551" w:hanging="180"/>
      </w:pPr>
    </w:lvl>
    <w:lvl w:ilvl="3" w:tplc="1C09000F" w:tentative="1">
      <w:start w:val="1"/>
      <w:numFmt w:val="decimal"/>
      <w:lvlText w:val="%4."/>
      <w:lvlJc w:val="left"/>
      <w:pPr>
        <w:ind w:left="3271" w:hanging="360"/>
      </w:pPr>
    </w:lvl>
    <w:lvl w:ilvl="4" w:tplc="1C090019" w:tentative="1">
      <w:start w:val="1"/>
      <w:numFmt w:val="lowerLetter"/>
      <w:lvlText w:val="%5."/>
      <w:lvlJc w:val="left"/>
      <w:pPr>
        <w:ind w:left="3991" w:hanging="360"/>
      </w:pPr>
    </w:lvl>
    <w:lvl w:ilvl="5" w:tplc="1C09001B" w:tentative="1">
      <w:start w:val="1"/>
      <w:numFmt w:val="lowerRoman"/>
      <w:lvlText w:val="%6."/>
      <w:lvlJc w:val="right"/>
      <w:pPr>
        <w:ind w:left="4711" w:hanging="180"/>
      </w:pPr>
    </w:lvl>
    <w:lvl w:ilvl="6" w:tplc="1C09000F" w:tentative="1">
      <w:start w:val="1"/>
      <w:numFmt w:val="decimal"/>
      <w:lvlText w:val="%7."/>
      <w:lvlJc w:val="left"/>
      <w:pPr>
        <w:ind w:left="5431" w:hanging="360"/>
      </w:pPr>
    </w:lvl>
    <w:lvl w:ilvl="7" w:tplc="1C090019" w:tentative="1">
      <w:start w:val="1"/>
      <w:numFmt w:val="lowerLetter"/>
      <w:lvlText w:val="%8."/>
      <w:lvlJc w:val="left"/>
      <w:pPr>
        <w:ind w:left="6151" w:hanging="360"/>
      </w:pPr>
    </w:lvl>
    <w:lvl w:ilvl="8" w:tplc="1C09001B" w:tentative="1">
      <w:start w:val="1"/>
      <w:numFmt w:val="lowerRoman"/>
      <w:lvlText w:val="%9."/>
      <w:lvlJc w:val="right"/>
      <w:pPr>
        <w:ind w:left="6871" w:hanging="180"/>
      </w:pPr>
    </w:lvl>
  </w:abstractNum>
  <w:abstractNum w:abstractNumId="4" w15:restartNumberingAfterBreak="0">
    <w:nsid w:val="189B3448"/>
    <w:multiLevelType w:val="hybridMultilevel"/>
    <w:tmpl w:val="CDB63EFC"/>
    <w:lvl w:ilvl="0" w:tplc="95EE348E">
      <w:start w:val="1"/>
      <w:numFmt w:val="decimal"/>
      <w:lvlText w:val="%1)"/>
      <w:lvlJc w:val="left"/>
      <w:pPr>
        <w:ind w:left="2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ACB2276"/>
    <w:multiLevelType w:val="hybridMultilevel"/>
    <w:tmpl w:val="B540D872"/>
    <w:lvl w:ilvl="0" w:tplc="2070C996">
      <w:start w:val="1"/>
      <w:numFmt w:val="lowerLetter"/>
      <w:lvlText w:val="%1."/>
      <w:lvlJc w:val="left"/>
      <w:pPr>
        <w:ind w:left="720" w:hanging="360"/>
      </w:pPr>
      <w:rPr>
        <w:rFonts w:ascii="Arial" w:hAnsi="Arial" w:cs="Arial" w:hint="default"/>
        <w:i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AE03B7"/>
    <w:multiLevelType w:val="hybridMultilevel"/>
    <w:tmpl w:val="53C2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31B"/>
    <w:multiLevelType w:val="hybridMultilevel"/>
    <w:tmpl w:val="B274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676D4"/>
    <w:multiLevelType w:val="hybridMultilevel"/>
    <w:tmpl w:val="CDCA7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5F7D8B"/>
    <w:multiLevelType w:val="hybridMultilevel"/>
    <w:tmpl w:val="2CC4BD5C"/>
    <w:lvl w:ilvl="0" w:tplc="49909BB8">
      <w:start w:val="127"/>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6B6B6B"/>
    <w:multiLevelType w:val="hybridMultilevel"/>
    <w:tmpl w:val="900EF45A"/>
    <w:lvl w:ilvl="0" w:tplc="889670FE">
      <w:start w:val="193"/>
      <w:numFmt w:val="decimal"/>
      <w:lvlText w:val="%1."/>
      <w:lvlJc w:val="left"/>
      <w:pPr>
        <w:ind w:left="609" w:hanging="360"/>
      </w:pPr>
      <w:rPr>
        <w:rFonts w:hint="default"/>
        <w:b w:val="0"/>
      </w:rPr>
    </w:lvl>
    <w:lvl w:ilvl="1" w:tplc="1C090019" w:tentative="1">
      <w:start w:val="1"/>
      <w:numFmt w:val="lowerLetter"/>
      <w:lvlText w:val="%2."/>
      <w:lvlJc w:val="left"/>
      <w:pPr>
        <w:ind w:left="1263" w:hanging="360"/>
      </w:pPr>
    </w:lvl>
    <w:lvl w:ilvl="2" w:tplc="1C09001B" w:tentative="1">
      <w:start w:val="1"/>
      <w:numFmt w:val="lowerRoman"/>
      <w:lvlText w:val="%3."/>
      <w:lvlJc w:val="right"/>
      <w:pPr>
        <w:ind w:left="1983" w:hanging="180"/>
      </w:pPr>
    </w:lvl>
    <w:lvl w:ilvl="3" w:tplc="1C09000F" w:tentative="1">
      <w:start w:val="1"/>
      <w:numFmt w:val="decimal"/>
      <w:lvlText w:val="%4."/>
      <w:lvlJc w:val="left"/>
      <w:pPr>
        <w:ind w:left="2703" w:hanging="360"/>
      </w:pPr>
    </w:lvl>
    <w:lvl w:ilvl="4" w:tplc="1C090019" w:tentative="1">
      <w:start w:val="1"/>
      <w:numFmt w:val="lowerLetter"/>
      <w:lvlText w:val="%5."/>
      <w:lvlJc w:val="left"/>
      <w:pPr>
        <w:ind w:left="3423" w:hanging="360"/>
      </w:pPr>
    </w:lvl>
    <w:lvl w:ilvl="5" w:tplc="1C09001B" w:tentative="1">
      <w:start w:val="1"/>
      <w:numFmt w:val="lowerRoman"/>
      <w:lvlText w:val="%6."/>
      <w:lvlJc w:val="right"/>
      <w:pPr>
        <w:ind w:left="4143" w:hanging="180"/>
      </w:pPr>
    </w:lvl>
    <w:lvl w:ilvl="6" w:tplc="1C09000F" w:tentative="1">
      <w:start w:val="1"/>
      <w:numFmt w:val="decimal"/>
      <w:lvlText w:val="%7."/>
      <w:lvlJc w:val="left"/>
      <w:pPr>
        <w:ind w:left="4863" w:hanging="360"/>
      </w:pPr>
    </w:lvl>
    <w:lvl w:ilvl="7" w:tplc="1C090019" w:tentative="1">
      <w:start w:val="1"/>
      <w:numFmt w:val="lowerLetter"/>
      <w:lvlText w:val="%8."/>
      <w:lvlJc w:val="left"/>
      <w:pPr>
        <w:ind w:left="5583" w:hanging="360"/>
      </w:pPr>
    </w:lvl>
    <w:lvl w:ilvl="8" w:tplc="1C09001B" w:tentative="1">
      <w:start w:val="1"/>
      <w:numFmt w:val="lowerRoman"/>
      <w:lvlText w:val="%9."/>
      <w:lvlJc w:val="right"/>
      <w:pPr>
        <w:ind w:left="6303" w:hanging="180"/>
      </w:pPr>
    </w:lvl>
  </w:abstractNum>
  <w:abstractNum w:abstractNumId="11" w15:restartNumberingAfterBreak="0">
    <w:nsid w:val="2E052218"/>
    <w:multiLevelType w:val="hybridMultilevel"/>
    <w:tmpl w:val="43EC1AD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06A0672"/>
    <w:multiLevelType w:val="hybridMultilevel"/>
    <w:tmpl w:val="931AEF78"/>
    <w:lvl w:ilvl="0" w:tplc="D04A278A">
      <w:start w:val="50"/>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8F1EC8"/>
    <w:multiLevelType w:val="hybridMultilevel"/>
    <w:tmpl w:val="4896FDF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76D0DE9"/>
    <w:multiLevelType w:val="hybridMultilevel"/>
    <w:tmpl w:val="8D0A1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EF09B7"/>
    <w:multiLevelType w:val="hybridMultilevel"/>
    <w:tmpl w:val="E1809A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216C44"/>
    <w:multiLevelType w:val="hybridMultilevel"/>
    <w:tmpl w:val="CE08B980"/>
    <w:lvl w:ilvl="0" w:tplc="4816C79E">
      <w:start w:val="1"/>
      <w:numFmt w:val="decimal"/>
      <w:lvlText w:val="%1."/>
      <w:lvlJc w:val="left"/>
      <w:pPr>
        <w:ind w:left="360" w:hanging="360"/>
      </w:pPr>
      <w:rPr>
        <w:rFonts w:ascii="Arial" w:hAnsi="Arial" w:cs="Arial" w:hint="default"/>
        <w:b/>
      </w:rPr>
    </w:lvl>
    <w:lvl w:ilvl="1" w:tplc="FC1A38A6">
      <w:numFmt w:val="bullet"/>
      <w:lvlText w:val="•"/>
      <w:lvlJc w:val="left"/>
      <w:pPr>
        <w:ind w:left="1440" w:hanging="72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7265C7"/>
    <w:multiLevelType w:val="hybridMultilevel"/>
    <w:tmpl w:val="7D2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55645"/>
    <w:multiLevelType w:val="hybridMultilevel"/>
    <w:tmpl w:val="A2C60D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1209C"/>
    <w:multiLevelType w:val="hybridMultilevel"/>
    <w:tmpl w:val="6F0A64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4B17894"/>
    <w:multiLevelType w:val="multilevel"/>
    <w:tmpl w:val="52307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A0762C"/>
    <w:multiLevelType w:val="hybridMultilevel"/>
    <w:tmpl w:val="72244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DA5703E"/>
    <w:multiLevelType w:val="hybridMultilevel"/>
    <w:tmpl w:val="A20C1D2E"/>
    <w:lvl w:ilvl="0" w:tplc="95EE348E">
      <w:start w:val="1"/>
      <w:numFmt w:val="decimal"/>
      <w:lvlText w:val="%1)"/>
      <w:lvlJc w:val="left"/>
      <w:pPr>
        <w:ind w:left="280" w:hanging="360"/>
      </w:pPr>
      <w:rPr>
        <w:rFonts w:hint="default"/>
      </w:rPr>
    </w:lvl>
    <w:lvl w:ilvl="1" w:tplc="1C090019" w:tentative="1">
      <w:start w:val="1"/>
      <w:numFmt w:val="lowerLetter"/>
      <w:lvlText w:val="%2."/>
      <w:lvlJc w:val="left"/>
      <w:pPr>
        <w:ind w:left="1000" w:hanging="360"/>
      </w:pPr>
    </w:lvl>
    <w:lvl w:ilvl="2" w:tplc="1C09001B" w:tentative="1">
      <w:start w:val="1"/>
      <w:numFmt w:val="lowerRoman"/>
      <w:lvlText w:val="%3."/>
      <w:lvlJc w:val="right"/>
      <w:pPr>
        <w:ind w:left="1720" w:hanging="180"/>
      </w:pPr>
    </w:lvl>
    <w:lvl w:ilvl="3" w:tplc="1C09000F" w:tentative="1">
      <w:start w:val="1"/>
      <w:numFmt w:val="decimal"/>
      <w:lvlText w:val="%4."/>
      <w:lvlJc w:val="left"/>
      <w:pPr>
        <w:ind w:left="2440" w:hanging="360"/>
      </w:pPr>
    </w:lvl>
    <w:lvl w:ilvl="4" w:tplc="1C090019" w:tentative="1">
      <w:start w:val="1"/>
      <w:numFmt w:val="lowerLetter"/>
      <w:lvlText w:val="%5."/>
      <w:lvlJc w:val="left"/>
      <w:pPr>
        <w:ind w:left="3160" w:hanging="360"/>
      </w:pPr>
    </w:lvl>
    <w:lvl w:ilvl="5" w:tplc="1C09001B" w:tentative="1">
      <w:start w:val="1"/>
      <w:numFmt w:val="lowerRoman"/>
      <w:lvlText w:val="%6."/>
      <w:lvlJc w:val="right"/>
      <w:pPr>
        <w:ind w:left="3880" w:hanging="180"/>
      </w:pPr>
    </w:lvl>
    <w:lvl w:ilvl="6" w:tplc="1C09000F" w:tentative="1">
      <w:start w:val="1"/>
      <w:numFmt w:val="decimal"/>
      <w:lvlText w:val="%7."/>
      <w:lvlJc w:val="left"/>
      <w:pPr>
        <w:ind w:left="4600" w:hanging="360"/>
      </w:pPr>
    </w:lvl>
    <w:lvl w:ilvl="7" w:tplc="1C090019" w:tentative="1">
      <w:start w:val="1"/>
      <w:numFmt w:val="lowerLetter"/>
      <w:lvlText w:val="%8."/>
      <w:lvlJc w:val="left"/>
      <w:pPr>
        <w:ind w:left="5320" w:hanging="360"/>
      </w:pPr>
    </w:lvl>
    <w:lvl w:ilvl="8" w:tplc="1C09001B" w:tentative="1">
      <w:start w:val="1"/>
      <w:numFmt w:val="lowerRoman"/>
      <w:lvlText w:val="%9."/>
      <w:lvlJc w:val="right"/>
      <w:pPr>
        <w:ind w:left="6040" w:hanging="180"/>
      </w:pPr>
    </w:lvl>
  </w:abstractNum>
  <w:abstractNum w:abstractNumId="23" w15:restartNumberingAfterBreak="0">
    <w:nsid w:val="505C1ECF"/>
    <w:multiLevelType w:val="hybridMultilevel"/>
    <w:tmpl w:val="654A4CDC"/>
    <w:lvl w:ilvl="0" w:tplc="C53AD9D6">
      <w:start w:val="99"/>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C3729E"/>
    <w:multiLevelType w:val="hybridMultilevel"/>
    <w:tmpl w:val="A06605F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66B2150"/>
    <w:multiLevelType w:val="hybridMultilevel"/>
    <w:tmpl w:val="C636934C"/>
    <w:lvl w:ilvl="0" w:tplc="EF005300">
      <w:start w:val="1"/>
      <w:numFmt w:val="decimal"/>
      <w:lvlText w:val="%1."/>
      <w:lvlJc w:val="left"/>
      <w:pPr>
        <w:ind w:left="360" w:hanging="360"/>
      </w:pPr>
      <w:rPr>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594450CB"/>
    <w:multiLevelType w:val="hybridMultilevel"/>
    <w:tmpl w:val="60BC8920"/>
    <w:lvl w:ilvl="0" w:tplc="D12ABE72">
      <w:start w:val="73"/>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58483A"/>
    <w:multiLevelType w:val="hybridMultilevel"/>
    <w:tmpl w:val="4EB62984"/>
    <w:lvl w:ilvl="0" w:tplc="746AA43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F7305E"/>
    <w:multiLevelType w:val="hybridMultilevel"/>
    <w:tmpl w:val="8210F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E11B2"/>
    <w:multiLevelType w:val="hybridMultilevel"/>
    <w:tmpl w:val="0200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F65BD"/>
    <w:multiLevelType w:val="hybridMultilevel"/>
    <w:tmpl w:val="A01E4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0840213"/>
    <w:multiLevelType w:val="hybridMultilevel"/>
    <w:tmpl w:val="50EA8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21B70B5"/>
    <w:multiLevelType w:val="hybridMultilevel"/>
    <w:tmpl w:val="4CBC5BB6"/>
    <w:lvl w:ilvl="0" w:tplc="C8702C66">
      <w:start w:val="28"/>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4BA04B4"/>
    <w:multiLevelType w:val="hybridMultilevel"/>
    <w:tmpl w:val="1422AFF4"/>
    <w:lvl w:ilvl="0" w:tplc="52C843A0">
      <w:start w:val="40"/>
      <w:numFmt w:val="decimal"/>
      <w:lvlText w:val="%1."/>
      <w:lvlJc w:val="left"/>
      <w:pPr>
        <w:ind w:left="36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6DE1D11"/>
    <w:multiLevelType w:val="hybridMultilevel"/>
    <w:tmpl w:val="79983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F402CA"/>
    <w:multiLevelType w:val="hybridMultilevel"/>
    <w:tmpl w:val="82068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EF034E0"/>
    <w:multiLevelType w:val="hybridMultilevel"/>
    <w:tmpl w:val="88B2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02DD2"/>
    <w:multiLevelType w:val="hybridMultilevel"/>
    <w:tmpl w:val="F68E7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5519F"/>
    <w:multiLevelType w:val="hybridMultilevel"/>
    <w:tmpl w:val="0F72D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802E23"/>
    <w:multiLevelType w:val="hybridMultilevel"/>
    <w:tmpl w:val="71786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77687307">
    <w:abstractNumId w:val="25"/>
  </w:num>
  <w:num w:numId="2" w16cid:durableId="1495878785">
    <w:abstractNumId w:val="30"/>
  </w:num>
  <w:num w:numId="3" w16cid:durableId="105930521">
    <w:abstractNumId w:val="13"/>
  </w:num>
  <w:num w:numId="4" w16cid:durableId="1323463212">
    <w:abstractNumId w:val="2"/>
  </w:num>
  <w:num w:numId="5" w16cid:durableId="1616327746">
    <w:abstractNumId w:val="5"/>
  </w:num>
  <w:num w:numId="6" w16cid:durableId="736559453">
    <w:abstractNumId w:val="14"/>
  </w:num>
  <w:num w:numId="7" w16cid:durableId="600719641">
    <w:abstractNumId w:val="32"/>
  </w:num>
  <w:num w:numId="8" w16cid:durableId="699353354">
    <w:abstractNumId w:val="33"/>
  </w:num>
  <w:num w:numId="9" w16cid:durableId="1680162109">
    <w:abstractNumId w:val="12"/>
  </w:num>
  <w:num w:numId="10" w16cid:durableId="1565488116">
    <w:abstractNumId w:val="26"/>
  </w:num>
  <w:num w:numId="11" w16cid:durableId="2115205586">
    <w:abstractNumId w:val="23"/>
  </w:num>
  <w:num w:numId="12" w16cid:durableId="720330647">
    <w:abstractNumId w:val="0"/>
  </w:num>
  <w:num w:numId="13" w16cid:durableId="782579019">
    <w:abstractNumId w:val="31"/>
  </w:num>
  <w:num w:numId="14" w16cid:durableId="1536581246">
    <w:abstractNumId w:val="9"/>
  </w:num>
  <w:num w:numId="15" w16cid:durableId="1526677223">
    <w:abstractNumId w:val="22"/>
  </w:num>
  <w:num w:numId="16" w16cid:durableId="43607221">
    <w:abstractNumId w:val="4"/>
  </w:num>
  <w:num w:numId="17" w16cid:durableId="697582402">
    <w:abstractNumId w:val="3"/>
  </w:num>
  <w:num w:numId="18" w16cid:durableId="1847479682">
    <w:abstractNumId w:val="10"/>
  </w:num>
  <w:num w:numId="19" w16cid:durableId="174153690">
    <w:abstractNumId w:val="11"/>
  </w:num>
  <w:num w:numId="20" w16cid:durableId="385954369">
    <w:abstractNumId w:val="24"/>
  </w:num>
  <w:num w:numId="21" w16cid:durableId="1522433213">
    <w:abstractNumId w:val="19"/>
  </w:num>
  <w:num w:numId="22" w16cid:durableId="1808739651">
    <w:abstractNumId w:val="38"/>
  </w:num>
  <w:num w:numId="23" w16cid:durableId="69354825">
    <w:abstractNumId w:val="37"/>
  </w:num>
  <w:num w:numId="24" w16cid:durableId="2085758971">
    <w:abstractNumId w:val="39"/>
  </w:num>
  <w:num w:numId="25" w16cid:durableId="1909924969">
    <w:abstractNumId w:val="21"/>
  </w:num>
  <w:num w:numId="26" w16cid:durableId="713699734">
    <w:abstractNumId w:val="34"/>
  </w:num>
  <w:num w:numId="27" w16cid:durableId="1099329149">
    <w:abstractNumId w:val="15"/>
  </w:num>
  <w:num w:numId="28" w16cid:durableId="1731731015">
    <w:abstractNumId w:val="8"/>
  </w:num>
  <w:num w:numId="29" w16cid:durableId="1822892561">
    <w:abstractNumId w:val="18"/>
  </w:num>
  <w:num w:numId="30" w16cid:durableId="646977818">
    <w:abstractNumId w:val="35"/>
  </w:num>
  <w:num w:numId="31" w16cid:durableId="2113671830">
    <w:abstractNumId w:val="6"/>
  </w:num>
  <w:num w:numId="32" w16cid:durableId="1889564869">
    <w:abstractNumId w:val="28"/>
  </w:num>
  <w:num w:numId="33" w16cid:durableId="372728942">
    <w:abstractNumId w:val="36"/>
  </w:num>
  <w:num w:numId="34" w16cid:durableId="1550875725">
    <w:abstractNumId w:val="16"/>
  </w:num>
  <w:num w:numId="35" w16cid:durableId="450712765">
    <w:abstractNumId w:val="27"/>
  </w:num>
  <w:num w:numId="36" w16cid:durableId="6060696">
    <w:abstractNumId w:val="20"/>
  </w:num>
  <w:num w:numId="37" w16cid:durableId="1619024924">
    <w:abstractNumId w:val="17"/>
  </w:num>
  <w:num w:numId="38" w16cid:durableId="2126804450">
    <w:abstractNumId w:val="7"/>
  </w:num>
  <w:num w:numId="39" w16cid:durableId="691490113">
    <w:abstractNumId w:val="1"/>
  </w:num>
  <w:num w:numId="40" w16cid:durableId="949244798">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1A"/>
    <w:rsid w:val="000002AE"/>
    <w:rsid w:val="00000422"/>
    <w:rsid w:val="00001633"/>
    <w:rsid w:val="000019D4"/>
    <w:rsid w:val="00001AB0"/>
    <w:rsid w:val="00002A2F"/>
    <w:rsid w:val="0000366A"/>
    <w:rsid w:val="00003ACD"/>
    <w:rsid w:val="00004DD4"/>
    <w:rsid w:val="000054A4"/>
    <w:rsid w:val="000063E8"/>
    <w:rsid w:val="0000668E"/>
    <w:rsid w:val="00007B3D"/>
    <w:rsid w:val="0001006A"/>
    <w:rsid w:val="00010E59"/>
    <w:rsid w:val="00010EEC"/>
    <w:rsid w:val="0001178A"/>
    <w:rsid w:val="0001320A"/>
    <w:rsid w:val="000175B7"/>
    <w:rsid w:val="00020388"/>
    <w:rsid w:val="0002042C"/>
    <w:rsid w:val="00021843"/>
    <w:rsid w:val="00021E49"/>
    <w:rsid w:val="00022757"/>
    <w:rsid w:val="00023214"/>
    <w:rsid w:val="0002501C"/>
    <w:rsid w:val="0002587D"/>
    <w:rsid w:val="00025AFC"/>
    <w:rsid w:val="00026D93"/>
    <w:rsid w:val="00027775"/>
    <w:rsid w:val="0003153E"/>
    <w:rsid w:val="00031622"/>
    <w:rsid w:val="00034348"/>
    <w:rsid w:val="00034907"/>
    <w:rsid w:val="000353AA"/>
    <w:rsid w:val="0003704D"/>
    <w:rsid w:val="000403D8"/>
    <w:rsid w:val="00040D9A"/>
    <w:rsid w:val="000413BE"/>
    <w:rsid w:val="00041E21"/>
    <w:rsid w:val="00041F00"/>
    <w:rsid w:val="000472AB"/>
    <w:rsid w:val="00047F28"/>
    <w:rsid w:val="00050E84"/>
    <w:rsid w:val="00050EC5"/>
    <w:rsid w:val="00051DBE"/>
    <w:rsid w:val="00053154"/>
    <w:rsid w:val="0005369C"/>
    <w:rsid w:val="00054973"/>
    <w:rsid w:val="000556CA"/>
    <w:rsid w:val="00056C04"/>
    <w:rsid w:val="00057165"/>
    <w:rsid w:val="000577EB"/>
    <w:rsid w:val="000578CE"/>
    <w:rsid w:val="00057E3F"/>
    <w:rsid w:val="00060E83"/>
    <w:rsid w:val="000618A6"/>
    <w:rsid w:val="000619FD"/>
    <w:rsid w:val="00062395"/>
    <w:rsid w:val="00063FF8"/>
    <w:rsid w:val="00066C18"/>
    <w:rsid w:val="000675AF"/>
    <w:rsid w:val="000700F9"/>
    <w:rsid w:val="00071124"/>
    <w:rsid w:val="0007140F"/>
    <w:rsid w:val="00072639"/>
    <w:rsid w:val="000726BB"/>
    <w:rsid w:val="00072AAE"/>
    <w:rsid w:val="000747AE"/>
    <w:rsid w:val="00076184"/>
    <w:rsid w:val="00077339"/>
    <w:rsid w:val="00077F2C"/>
    <w:rsid w:val="0008118B"/>
    <w:rsid w:val="00081425"/>
    <w:rsid w:val="000822A6"/>
    <w:rsid w:val="000822CE"/>
    <w:rsid w:val="00082823"/>
    <w:rsid w:val="00082E10"/>
    <w:rsid w:val="00082F01"/>
    <w:rsid w:val="00083102"/>
    <w:rsid w:val="00083455"/>
    <w:rsid w:val="00083762"/>
    <w:rsid w:val="00083BE5"/>
    <w:rsid w:val="00083C91"/>
    <w:rsid w:val="00084285"/>
    <w:rsid w:val="00086A60"/>
    <w:rsid w:val="00087C04"/>
    <w:rsid w:val="00090BEA"/>
    <w:rsid w:val="00090D23"/>
    <w:rsid w:val="000915A8"/>
    <w:rsid w:val="00092D6A"/>
    <w:rsid w:val="00097A45"/>
    <w:rsid w:val="000A1563"/>
    <w:rsid w:val="000A25C8"/>
    <w:rsid w:val="000A2A5E"/>
    <w:rsid w:val="000A4038"/>
    <w:rsid w:val="000A4B99"/>
    <w:rsid w:val="000A5AAC"/>
    <w:rsid w:val="000B03A8"/>
    <w:rsid w:val="000B3675"/>
    <w:rsid w:val="000B36A9"/>
    <w:rsid w:val="000B5557"/>
    <w:rsid w:val="000B577D"/>
    <w:rsid w:val="000B59E1"/>
    <w:rsid w:val="000B7A31"/>
    <w:rsid w:val="000C0007"/>
    <w:rsid w:val="000C0E3C"/>
    <w:rsid w:val="000C1B5F"/>
    <w:rsid w:val="000C3DC2"/>
    <w:rsid w:val="000C7770"/>
    <w:rsid w:val="000C7777"/>
    <w:rsid w:val="000D17BA"/>
    <w:rsid w:val="000D21F6"/>
    <w:rsid w:val="000D275C"/>
    <w:rsid w:val="000D3399"/>
    <w:rsid w:val="000D4816"/>
    <w:rsid w:val="000D5494"/>
    <w:rsid w:val="000D6CE5"/>
    <w:rsid w:val="000D7A4A"/>
    <w:rsid w:val="000D7AB1"/>
    <w:rsid w:val="000E14C8"/>
    <w:rsid w:val="000E1A49"/>
    <w:rsid w:val="000E240E"/>
    <w:rsid w:val="000E40F5"/>
    <w:rsid w:val="000E4B22"/>
    <w:rsid w:val="000E5A99"/>
    <w:rsid w:val="000E6267"/>
    <w:rsid w:val="000E6FBF"/>
    <w:rsid w:val="000E78D2"/>
    <w:rsid w:val="000F099F"/>
    <w:rsid w:val="000F0B97"/>
    <w:rsid w:val="000F0DE0"/>
    <w:rsid w:val="000F0F7E"/>
    <w:rsid w:val="000F18DC"/>
    <w:rsid w:val="000F205F"/>
    <w:rsid w:val="000F333E"/>
    <w:rsid w:val="000F3539"/>
    <w:rsid w:val="000F3F31"/>
    <w:rsid w:val="000F414A"/>
    <w:rsid w:val="000F64ED"/>
    <w:rsid w:val="000F6CC8"/>
    <w:rsid w:val="000F7C8F"/>
    <w:rsid w:val="00100D7C"/>
    <w:rsid w:val="00103955"/>
    <w:rsid w:val="001044AA"/>
    <w:rsid w:val="00104836"/>
    <w:rsid w:val="00104890"/>
    <w:rsid w:val="001056DA"/>
    <w:rsid w:val="001059B1"/>
    <w:rsid w:val="00110E32"/>
    <w:rsid w:val="00112F03"/>
    <w:rsid w:val="00114457"/>
    <w:rsid w:val="0011693B"/>
    <w:rsid w:val="00116BF4"/>
    <w:rsid w:val="001171D2"/>
    <w:rsid w:val="00121203"/>
    <w:rsid w:val="001240AA"/>
    <w:rsid w:val="0012455C"/>
    <w:rsid w:val="00126629"/>
    <w:rsid w:val="00127EB4"/>
    <w:rsid w:val="00130581"/>
    <w:rsid w:val="00132369"/>
    <w:rsid w:val="00133616"/>
    <w:rsid w:val="00133779"/>
    <w:rsid w:val="001348EC"/>
    <w:rsid w:val="001357E9"/>
    <w:rsid w:val="00136BB3"/>
    <w:rsid w:val="00137EFD"/>
    <w:rsid w:val="00141486"/>
    <w:rsid w:val="00141E72"/>
    <w:rsid w:val="001423A6"/>
    <w:rsid w:val="001429C7"/>
    <w:rsid w:val="0014315D"/>
    <w:rsid w:val="00143727"/>
    <w:rsid w:val="00144172"/>
    <w:rsid w:val="001441DB"/>
    <w:rsid w:val="00144939"/>
    <w:rsid w:val="00146206"/>
    <w:rsid w:val="001469CA"/>
    <w:rsid w:val="00147095"/>
    <w:rsid w:val="001502C0"/>
    <w:rsid w:val="00150B42"/>
    <w:rsid w:val="0015105B"/>
    <w:rsid w:val="00152387"/>
    <w:rsid w:val="00152B36"/>
    <w:rsid w:val="00152B87"/>
    <w:rsid w:val="0015341E"/>
    <w:rsid w:val="00154135"/>
    <w:rsid w:val="00154297"/>
    <w:rsid w:val="00154460"/>
    <w:rsid w:val="00155F96"/>
    <w:rsid w:val="0015617C"/>
    <w:rsid w:val="00156720"/>
    <w:rsid w:val="00156BBF"/>
    <w:rsid w:val="0016002A"/>
    <w:rsid w:val="00160100"/>
    <w:rsid w:val="00161991"/>
    <w:rsid w:val="00161B23"/>
    <w:rsid w:val="001628CB"/>
    <w:rsid w:val="00164FF9"/>
    <w:rsid w:val="0016561A"/>
    <w:rsid w:val="00165A6B"/>
    <w:rsid w:val="00165E53"/>
    <w:rsid w:val="001661CF"/>
    <w:rsid w:val="001662F0"/>
    <w:rsid w:val="00170BA3"/>
    <w:rsid w:val="001724D1"/>
    <w:rsid w:val="001729F2"/>
    <w:rsid w:val="001730B4"/>
    <w:rsid w:val="0017438D"/>
    <w:rsid w:val="00177A25"/>
    <w:rsid w:val="00177F7B"/>
    <w:rsid w:val="0018120F"/>
    <w:rsid w:val="00184C11"/>
    <w:rsid w:val="001850B0"/>
    <w:rsid w:val="001860AB"/>
    <w:rsid w:val="00186D62"/>
    <w:rsid w:val="00190766"/>
    <w:rsid w:val="00191088"/>
    <w:rsid w:val="00191DC3"/>
    <w:rsid w:val="00191FED"/>
    <w:rsid w:val="001923EF"/>
    <w:rsid w:val="00193BA7"/>
    <w:rsid w:val="00194800"/>
    <w:rsid w:val="00196ACF"/>
    <w:rsid w:val="001973CC"/>
    <w:rsid w:val="001A17DF"/>
    <w:rsid w:val="001A2BFC"/>
    <w:rsid w:val="001A46BA"/>
    <w:rsid w:val="001A730F"/>
    <w:rsid w:val="001A7A11"/>
    <w:rsid w:val="001B2164"/>
    <w:rsid w:val="001B4414"/>
    <w:rsid w:val="001B472B"/>
    <w:rsid w:val="001B547F"/>
    <w:rsid w:val="001B54D6"/>
    <w:rsid w:val="001B7970"/>
    <w:rsid w:val="001C04F6"/>
    <w:rsid w:val="001C0C54"/>
    <w:rsid w:val="001C1B1C"/>
    <w:rsid w:val="001C1E1E"/>
    <w:rsid w:val="001C2C37"/>
    <w:rsid w:val="001C3580"/>
    <w:rsid w:val="001C5167"/>
    <w:rsid w:val="001C5E50"/>
    <w:rsid w:val="001C6BEC"/>
    <w:rsid w:val="001C7069"/>
    <w:rsid w:val="001C7F06"/>
    <w:rsid w:val="001D0C92"/>
    <w:rsid w:val="001D1039"/>
    <w:rsid w:val="001D1268"/>
    <w:rsid w:val="001D1B0A"/>
    <w:rsid w:val="001D2C18"/>
    <w:rsid w:val="001D2C24"/>
    <w:rsid w:val="001D4120"/>
    <w:rsid w:val="001D650A"/>
    <w:rsid w:val="001D764D"/>
    <w:rsid w:val="001E0246"/>
    <w:rsid w:val="001E0410"/>
    <w:rsid w:val="001E3F27"/>
    <w:rsid w:val="001E4950"/>
    <w:rsid w:val="001E51C5"/>
    <w:rsid w:val="001F1F84"/>
    <w:rsid w:val="001F1FA9"/>
    <w:rsid w:val="001F3BF6"/>
    <w:rsid w:val="001F4141"/>
    <w:rsid w:val="001F4B6A"/>
    <w:rsid w:val="001F4ED3"/>
    <w:rsid w:val="001F5D3E"/>
    <w:rsid w:val="001F6050"/>
    <w:rsid w:val="001F68E7"/>
    <w:rsid w:val="001F6B6C"/>
    <w:rsid w:val="001F7316"/>
    <w:rsid w:val="002002D4"/>
    <w:rsid w:val="002010E0"/>
    <w:rsid w:val="00201C3F"/>
    <w:rsid w:val="00202AAC"/>
    <w:rsid w:val="00206665"/>
    <w:rsid w:val="002076D1"/>
    <w:rsid w:val="00210AF8"/>
    <w:rsid w:val="002111E5"/>
    <w:rsid w:val="0021165E"/>
    <w:rsid w:val="002119FC"/>
    <w:rsid w:val="002123C0"/>
    <w:rsid w:val="00214EC1"/>
    <w:rsid w:val="00215628"/>
    <w:rsid w:val="002166B4"/>
    <w:rsid w:val="00216AC3"/>
    <w:rsid w:val="00217F1A"/>
    <w:rsid w:val="00220221"/>
    <w:rsid w:val="00220FAF"/>
    <w:rsid w:val="0022147F"/>
    <w:rsid w:val="002227CA"/>
    <w:rsid w:val="00223D6B"/>
    <w:rsid w:val="00224CBE"/>
    <w:rsid w:val="00225316"/>
    <w:rsid w:val="00225392"/>
    <w:rsid w:val="00225D4C"/>
    <w:rsid w:val="002274F2"/>
    <w:rsid w:val="00227915"/>
    <w:rsid w:val="00227B51"/>
    <w:rsid w:val="00230D4E"/>
    <w:rsid w:val="00231E9D"/>
    <w:rsid w:val="00232C38"/>
    <w:rsid w:val="00232E30"/>
    <w:rsid w:val="00234DAD"/>
    <w:rsid w:val="00234FAF"/>
    <w:rsid w:val="00235C12"/>
    <w:rsid w:val="00237DB4"/>
    <w:rsid w:val="00237F14"/>
    <w:rsid w:val="00240E29"/>
    <w:rsid w:val="00241A4B"/>
    <w:rsid w:val="00241E67"/>
    <w:rsid w:val="00242389"/>
    <w:rsid w:val="002424DE"/>
    <w:rsid w:val="00242BF1"/>
    <w:rsid w:val="0024425E"/>
    <w:rsid w:val="00244B0B"/>
    <w:rsid w:val="002468BD"/>
    <w:rsid w:val="00246A83"/>
    <w:rsid w:val="00246C52"/>
    <w:rsid w:val="002473A0"/>
    <w:rsid w:val="002473D7"/>
    <w:rsid w:val="00247557"/>
    <w:rsid w:val="002512AF"/>
    <w:rsid w:val="0025206B"/>
    <w:rsid w:val="002528F1"/>
    <w:rsid w:val="00252E75"/>
    <w:rsid w:val="00252F61"/>
    <w:rsid w:val="0025338C"/>
    <w:rsid w:val="002544B6"/>
    <w:rsid w:val="00254D2B"/>
    <w:rsid w:val="00256F0A"/>
    <w:rsid w:val="00257744"/>
    <w:rsid w:val="00257E7B"/>
    <w:rsid w:val="00260790"/>
    <w:rsid w:val="00260D43"/>
    <w:rsid w:val="002615B9"/>
    <w:rsid w:val="002635FD"/>
    <w:rsid w:val="002638D7"/>
    <w:rsid w:val="00263CC9"/>
    <w:rsid w:val="002641B2"/>
    <w:rsid w:val="002644A8"/>
    <w:rsid w:val="00264878"/>
    <w:rsid w:val="00265C21"/>
    <w:rsid w:val="002661E8"/>
    <w:rsid w:val="00266D42"/>
    <w:rsid w:val="00267228"/>
    <w:rsid w:val="0026763C"/>
    <w:rsid w:val="00270488"/>
    <w:rsid w:val="00270738"/>
    <w:rsid w:val="00271416"/>
    <w:rsid w:val="00273672"/>
    <w:rsid w:val="002746A9"/>
    <w:rsid w:val="00277E58"/>
    <w:rsid w:val="00280BAF"/>
    <w:rsid w:val="00281A77"/>
    <w:rsid w:val="002842E0"/>
    <w:rsid w:val="00284561"/>
    <w:rsid w:val="00284C02"/>
    <w:rsid w:val="00284F61"/>
    <w:rsid w:val="00285A86"/>
    <w:rsid w:val="00286563"/>
    <w:rsid w:val="00287813"/>
    <w:rsid w:val="00287CC7"/>
    <w:rsid w:val="00290008"/>
    <w:rsid w:val="00290985"/>
    <w:rsid w:val="00291DF1"/>
    <w:rsid w:val="002926C6"/>
    <w:rsid w:val="00292D35"/>
    <w:rsid w:val="00293889"/>
    <w:rsid w:val="00296238"/>
    <w:rsid w:val="002972D3"/>
    <w:rsid w:val="00297968"/>
    <w:rsid w:val="002A23E4"/>
    <w:rsid w:val="002A2EAF"/>
    <w:rsid w:val="002A50E2"/>
    <w:rsid w:val="002A5B6B"/>
    <w:rsid w:val="002A63B8"/>
    <w:rsid w:val="002A70DE"/>
    <w:rsid w:val="002B01E1"/>
    <w:rsid w:val="002B0715"/>
    <w:rsid w:val="002B0977"/>
    <w:rsid w:val="002B1417"/>
    <w:rsid w:val="002B1B15"/>
    <w:rsid w:val="002B2BFC"/>
    <w:rsid w:val="002B3258"/>
    <w:rsid w:val="002B37A6"/>
    <w:rsid w:val="002B5238"/>
    <w:rsid w:val="002B53F0"/>
    <w:rsid w:val="002B603E"/>
    <w:rsid w:val="002B6A3E"/>
    <w:rsid w:val="002B74AF"/>
    <w:rsid w:val="002B7CA8"/>
    <w:rsid w:val="002C0572"/>
    <w:rsid w:val="002C0867"/>
    <w:rsid w:val="002C2596"/>
    <w:rsid w:val="002C2A00"/>
    <w:rsid w:val="002C3BA5"/>
    <w:rsid w:val="002C5077"/>
    <w:rsid w:val="002C5545"/>
    <w:rsid w:val="002C5C70"/>
    <w:rsid w:val="002C791E"/>
    <w:rsid w:val="002D0F75"/>
    <w:rsid w:val="002D4769"/>
    <w:rsid w:val="002D51EA"/>
    <w:rsid w:val="002D5463"/>
    <w:rsid w:val="002D6D92"/>
    <w:rsid w:val="002D6FB7"/>
    <w:rsid w:val="002E0463"/>
    <w:rsid w:val="002E1F71"/>
    <w:rsid w:val="002E2111"/>
    <w:rsid w:val="002E2CD0"/>
    <w:rsid w:val="002E3B83"/>
    <w:rsid w:val="002E3D55"/>
    <w:rsid w:val="002E4AC6"/>
    <w:rsid w:val="002E54BE"/>
    <w:rsid w:val="002E5778"/>
    <w:rsid w:val="002E72C7"/>
    <w:rsid w:val="002E7386"/>
    <w:rsid w:val="002E791F"/>
    <w:rsid w:val="002F220C"/>
    <w:rsid w:val="002F278C"/>
    <w:rsid w:val="002F2974"/>
    <w:rsid w:val="002F3557"/>
    <w:rsid w:val="002F5785"/>
    <w:rsid w:val="002F5A14"/>
    <w:rsid w:val="002F689A"/>
    <w:rsid w:val="00300CAF"/>
    <w:rsid w:val="003037D9"/>
    <w:rsid w:val="00303842"/>
    <w:rsid w:val="00303A01"/>
    <w:rsid w:val="00307F20"/>
    <w:rsid w:val="003116DD"/>
    <w:rsid w:val="00312231"/>
    <w:rsid w:val="00312E4C"/>
    <w:rsid w:val="003139AF"/>
    <w:rsid w:val="00314E6C"/>
    <w:rsid w:val="00315005"/>
    <w:rsid w:val="00315B0F"/>
    <w:rsid w:val="003165E5"/>
    <w:rsid w:val="0031752E"/>
    <w:rsid w:val="00317762"/>
    <w:rsid w:val="00320572"/>
    <w:rsid w:val="0032086B"/>
    <w:rsid w:val="00322975"/>
    <w:rsid w:val="00322979"/>
    <w:rsid w:val="00322FD3"/>
    <w:rsid w:val="00324187"/>
    <w:rsid w:val="00325A7B"/>
    <w:rsid w:val="00326676"/>
    <w:rsid w:val="00327755"/>
    <w:rsid w:val="0033058C"/>
    <w:rsid w:val="00331F9B"/>
    <w:rsid w:val="00332035"/>
    <w:rsid w:val="00332290"/>
    <w:rsid w:val="0033435E"/>
    <w:rsid w:val="003345D3"/>
    <w:rsid w:val="003353A3"/>
    <w:rsid w:val="00337285"/>
    <w:rsid w:val="00337655"/>
    <w:rsid w:val="00340BD6"/>
    <w:rsid w:val="00341512"/>
    <w:rsid w:val="00343E75"/>
    <w:rsid w:val="0034461C"/>
    <w:rsid w:val="00344843"/>
    <w:rsid w:val="0035011A"/>
    <w:rsid w:val="00351354"/>
    <w:rsid w:val="0035188E"/>
    <w:rsid w:val="00353963"/>
    <w:rsid w:val="00354AAB"/>
    <w:rsid w:val="003555B4"/>
    <w:rsid w:val="00360AF6"/>
    <w:rsid w:val="00360E9F"/>
    <w:rsid w:val="00361923"/>
    <w:rsid w:val="00362B5F"/>
    <w:rsid w:val="00363630"/>
    <w:rsid w:val="00364516"/>
    <w:rsid w:val="00364790"/>
    <w:rsid w:val="0036594C"/>
    <w:rsid w:val="00366059"/>
    <w:rsid w:val="00367FA6"/>
    <w:rsid w:val="003706D5"/>
    <w:rsid w:val="00370D19"/>
    <w:rsid w:val="00371CF6"/>
    <w:rsid w:val="003738E6"/>
    <w:rsid w:val="00373ACF"/>
    <w:rsid w:val="00373E14"/>
    <w:rsid w:val="0037497F"/>
    <w:rsid w:val="00375DF8"/>
    <w:rsid w:val="00376ADE"/>
    <w:rsid w:val="00376B51"/>
    <w:rsid w:val="003773F7"/>
    <w:rsid w:val="00380E38"/>
    <w:rsid w:val="00381E00"/>
    <w:rsid w:val="00382351"/>
    <w:rsid w:val="0038269F"/>
    <w:rsid w:val="00383A36"/>
    <w:rsid w:val="0038462D"/>
    <w:rsid w:val="00386754"/>
    <w:rsid w:val="00386F37"/>
    <w:rsid w:val="0038710B"/>
    <w:rsid w:val="0038791C"/>
    <w:rsid w:val="00387A86"/>
    <w:rsid w:val="003909EA"/>
    <w:rsid w:val="003914AA"/>
    <w:rsid w:val="00391BBA"/>
    <w:rsid w:val="003940A6"/>
    <w:rsid w:val="0039584F"/>
    <w:rsid w:val="00395B19"/>
    <w:rsid w:val="00395EF4"/>
    <w:rsid w:val="00396382"/>
    <w:rsid w:val="00397C0A"/>
    <w:rsid w:val="003A001F"/>
    <w:rsid w:val="003A17ED"/>
    <w:rsid w:val="003A336F"/>
    <w:rsid w:val="003A7097"/>
    <w:rsid w:val="003B019E"/>
    <w:rsid w:val="003B0C01"/>
    <w:rsid w:val="003B14E0"/>
    <w:rsid w:val="003B22F9"/>
    <w:rsid w:val="003B355B"/>
    <w:rsid w:val="003B56DB"/>
    <w:rsid w:val="003C1611"/>
    <w:rsid w:val="003C2136"/>
    <w:rsid w:val="003C38F1"/>
    <w:rsid w:val="003C3CB4"/>
    <w:rsid w:val="003C493C"/>
    <w:rsid w:val="003C5093"/>
    <w:rsid w:val="003C5F66"/>
    <w:rsid w:val="003C6577"/>
    <w:rsid w:val="003C6E02"/>
    <w:rsid w:val="003C73A4"/>
    <w:rsid w:val="003D1CB3"/>
    <w:rsid w:val="003D1EC2"/>
    <w:rsid w:val="003D2A07"/>
    <w:rsid w:val="003D3100"/>
    <w:rsid w:val="003D3116"/>
    <w:rsid w:val="003D7192"/>
    <w:rsid w:val="003E076F"/>
    <w:rsid w:val="003E0E74"/>
    <w:rsid w:val="003E12B2"/>
    <w:rsid w:val="003E3912"/>
    <w:rsid w:val="003E3A32"/>
    <w:rsid w:val="003E466F"/>
    <w:rsid w:val="003E72F9"/>
    <w:rsid w:val="003F02AB"/>
    <w:rsid w:val="003F29CD"/>
    <w:rsid w:val="003F51B9"/>
    <w:rsid w:val="003F5AA3"/>
    <w:rsid w:val="003F5DFC"/>
    <w:rsid w:val="003F739E"/>
    <w:rsid w:val="003F79C2"/>
    <w:rsid w:val="004008BA"/>
    <w:rsid w:val="00402AF1"/>
    <w:rsid w:val="0040535A"/>
    <w:rsid w:val="004058FD"/>
    <w:rsid w:val="004060BC"/>
    <w:rsid w:val="004067AF"/>
    <w:rsid w:val="00406ADC"/>
    <w:rsid w:val="0040764C"/>
    <w:rsid w:val="004125DD"/>
    <w:rsid w:val="00414FC2"/>
    <w:rsid w:val="00416925"/>
    <w:rsid w:val="00416EAE"/>
    <w:rsid w:val="0041706A"/>
    <w:rsid w:val="00420251"/>
    <w:rsid w:val="004206BA"/>
    <w:rsid w:val="004208A5"/>
    <w:rsid w:val="0042173E"/>
    <w:rsid w:val="004224E2"/>
    <w:rsid w:val="00422596"/>
    <w:rsid w:val="00422C5C"/>
    <w:rsid w:val="0042437D"/>
    <w:rsid w:val="0042467B"/>
    <w:rsid w:val="00424D98"/>
    <w:rsid w:val="004250DD"/>
    <w:rsid w:val="0042547C"/>
    <w:rsid w:val="00425B92"/>
    <w:rsid w:val="00425CD4"/>
    <w:rsid w:val="004265CC"/>
    <w:rsid w:val="00426AC1"/>
    <w:rsid w:val="00427582"/>
    <w:rsid w:val="00427733"/>
    <w:rsid w:val="00430630"/>
    <w:rsid w:val="004309C2"/>
    <w:rsid w:val="004313C9"/>
    <w:rsid w:val="00432931"/>
    <w:rsid w:val="00433B36"/>
    <w:rsid w:val="00434241"/>
    <w:rsid w:val="004342DC"/>
    <w:rsid w:val="00435811"/>
    <w:rsid w:val="004368B8"/>
    <w:rsid w:val="00436DF2"/>
    <w:rsid w:val="00437CA4"/>
    <w:rsid w:val="00440494"/>
    <w:rsid w:val="00440D15"/>
    <w:rsid w:val="00443639"/>
    <w:rsid w:val="0044501C"/>
    <w:rsid w:val="004451FA"/>
    <w:rsid w:val="00445941"/>
    <w:rsid w:val="00445A18"/>
    <w:rsid w:val="00446FE6"/>
    <w:rsid w:val="00447460"/>
    <w:rsid w:val="00451352"/>
    <w:rsid w:val="00451C9A"/>
    <w:rsid w:val="00452F10"/>
    <w:rsid w:val="004539F2"/>
    <w:rsid w:val="0045571C"/>
    <w:rsid w:val="00455F19"/>
    <w:rsid w:val="00456423"/>
    <w:rsid w:val="004571F8"/>
    <w:rsid w:val="00457AA4"/>
    <w:rsid w:val="00457AE2"/>
    <w:rsid w:val="00461360"/>
    <w:rsid w:val="00462141"/>
    <w:rsid w:val="00462915"/>
    <w:rsid w:val="0046475B"/>
    <w:rsid w:val="004647C4"/>
    <w:rsid w:val="00464833"/>
    <w:rsid w:val="00464CAB"/>
    <w:rsid w:val="004659BF"/>
    <w:rsid w:val="00465C2E"/>
    <w:rsid w:val="00466BC0"/>
    <w:rsid w:val="00467194"/>
    <w:rsid w:val="0047114F"/>
    <w:rsid w:val="004715AE"/>
    <w:rsid w:val="0047230D"/>
    <w:rsid w:val="0047389D"/>
    <w:rsid w:val="004739ED"/>
    <w:rsid w:val="00474866"/>
    <w:rsid w:val="00475704"/>
    <w:rsid w:val="00475EAB"/>
    <w:rsid w:val="004761EE"/>
    <w:rsid w:val="00477618"/>
    <w:rsid w:val="00477780"/>
    <w:rsid w:val="004778EC"/>
    <w:rsid w:val="00480150"/>
    <w:rsid w:val="00480E73"/>
    <w:rsid w:val="00481573"/>
    <w:rsid w:val="0048779D"/>
    <w:rsid w:val="00492213"/>
    <w:rsid w:val="00492C50"/>
    <w:rsid w:val="0049312F"/>
    <w:rsid w:val="00493C21"/>
    <w:rsid w:val="004943B7"/>
    <w:rsid w:val="004949C4"/>
    <w:rsid w:val="00495709"/>
    <w:rsid w:val="00497321"/>
    <w:rsid w:val="0049778A"/>
    <w:rsid w:val="004A1375"/>
    <w:rsid w:val="004A17D2"/>
    <w:rsid w:val="004A180B"/>
    <w:rsid w:val="004A1D50"/>
    <w:rsid w:val="004A2585"/>
    <w:rsid w:val="004A5CEF"/>
    <w:rsid w:val="004A74FB"/>
    <w:rsid w:val="004B16B6"/>
    <w:rsid w:val="004B1E63"/>
    <w:rsid w:val="004B20C4"/>
    <w:rsid w:val="004B277F"/>
    <w:rsid w:val="004B28CD"/>
    <w:rsid w:val="004B428D"/>
    <w:rsid w:val="004B4F1E"/>
    <w:rsid w:val="004B5E93"/>
    <w:rsid w:val="004B5FD0"/>
    <w:rsid w:val="004C2E25"/>
    <w:rsid w:val="004C4288"/>
    <w:rsid w:val="004C5403"/>
    <w:rsid w:val="004C5571"/>
    <w:rsid w:val="004C55B2"/>
    <w:rsid w:val="004C7BA4"/>
    <w:rsid w:val="004D09C4"/>
    <w:rsid w:val="004D13FC"/>
    <w:rsid w:val="004D3F4F"/>
    <w:rsid w:val="004D4806"/>
    <w:rsid w:val="004D4AB0"/>
    <w:rsid w:val="004D4E61"/>
    <w:rsid w:val="004D5FE7"/>
    <w:rsid w:val="004D6834"/>
    <w:rsid w:val="004D7A9A"/>
    <w:rsid w:val="004E1AED"/>
    <w:rsid w:val="004E2831"/>
    <w:rsid w:val="004E3915"/>
    <w:rsid w:val="004F0466"/>
    <w:rsid w:val="004F1AD8"/>
    <w:rsid w:val="004F20C1"/>
    <w:rsid w:val="004F2222"/>
    <w:rsid w:val="004F2319"/>
    <w:rsid w:val="004F28D8"/>
    <w:rsid w:val="004F5D50"/>
    <w:rsid w:val="004F6885"/>
    <w:rsid w:val="004F709B"/>
    <w:rsid w:val="00500029"/>
    <w:rsid w:val="00500A35"/>
    <w:rsid w:val="00500C88"/>
    <w:rsid w:val="00501F9C"/>
    <w:rsid w:val="00503DC4"/>
    <w:rsid w:val="00505578"/>
    <w:rsid w:val="0050769B"/>
    <w:rsid w:val="00507DB8"/>
    <w:rsid w:val="005110BF"/>
    <w:rsid w:val="00512219"/>
    <w:rsid w:val="00514498"/>
    <w:rsid w:val="005154CF"/>
    <w:rsid w:val="00516063"/>
    <w:rsid w:val="0051757A"/>
    <w:rsid w:val="00517A8E"/>
    <w:rsid w:val="005216E8"/>
    <w:rsid w:val="00521788"/>
    <w:rsid w:val="005228C8"/>
    <w:rsid w:val="00523DE3"/>
    <w:rsid w:val="00523FF6"/>
    <w:rsid w:val="00524B59"/>
    <w:rsid w:val="00524E45"/>
    <w:rsid w:val="0052530C"/>
    <w:rsid w:val="0052613D"/>
    <w:rsid w:val="00527C7F"/>
    <w:rsid w:val="00527DC8"/>
    <w:rsid w:val="005331A5"/>
    <w:rsid w:val="00533D3C"/>
    <w:rsid w:val="00533E26"/>
    <w:rsid w:val="00534535"/>
    <w:rsid w:val="0053688B"/>
    <w:rsid w:val="005405F1"/>
    <w:rsid w:val="0054110C"/>
    <w:rsid w:val="00541358"/>
    <w:rsid w:val="00541E30"/>
    <w:rsid w:val="0054202A"/>
    <w:rsid w:val="00542C05"/>
    <w:rsid w:val="00542C4E"/>
    <w:rsid w:val="005437A6"/>
    <w:rsid w:val="005446A6"/>
    <w:rsid w:val="00544E22"/>
    <w:rsid w:val="005463E4"/>
    <w:rsid w:val="00551F2E"/>
    <w:rsid w:val="0055229F"/>
    <w:rsid w:val="00552A28"/>
    <w:rsid w:val="005533DA"/>
    <w:rsid w:val="00553581"/>
    <w:rsid w:val="005540EC"/>
    <w:rsid w:val="005553CF"/>
    <w:rsid w:val="0055541D"/>
    <w:rsid w:val="00555B7C"/>
    <w:rsid w:val="005568C8"/>
    <w:rsid w:val="00557ABD"/>
    <w:rsid w:val="00557B76"/>
    <w:rsid w:val="0056038C"/>
    <w:rsid w:val="0056050E"/>
    <w:rsid w:val="00562DF5"/>
    <w:rsid w:val="005639C7"/>
    <w:rsid w:val="00564298"/>
    <w:rsid w:val="00564BD3"/>
    <w:rsid w:val="005661A4"/>
    <w:rsid w:val="00567B4B"/>
    <w:rsid w:val="00570CED"/>
    <w:rsid w:val="0057163A"/>
    <w:rsid w:val="00571C94"/>
    <w:rsid w:val="00572262"/>
    <w:rsid w:val="00572BC4"/>
    <w:rsid w:val="0057318E"/>
    <w:rsid w:val="00574A61"/>
    <w:rsid w:val="00575A74"/>
    <w:rsid w:val="00576AF1"/>
    <w:rsid w:val="005804C6"/>
    <w:rsid w:val="005804F5"/>
    <w:rsid w:val="00580951"/>
    <w:rsid w:val="00581003"/>
    <w:rsid w:val="00582A33"/>
    <w:rsid w:val="0058387E"/>
    <w:rsid w:val="0058406F"/>
    <w:rsid w:val="005846A4"/>
    <w:rsid w:val="0058486D"/>
    <w:rsid w:val="005853FE"/>
    <w:rsid w:val="00586939"/>
    <w:rsid w:val="00586E1C"/>
    <w:rsid w:val="00591A66"/>
    <w:rsid w:val="00591AA1"/>
    <w:rsid w:val="00591DCD"/>
    <w:rsid w:val="0059427B"/>
    <w:rsid w:val="005960CA"/>
    <w:rsid w:val="005962A1"/>
    <w:rsid w:val="00596476"/>
    <w:rsid w:val="005964C4"/>
    <w:rsid w:val="00596E53"/>
    <w:rsid w:val="005A0FD3"/>
    <w:rsid w:val="005A1081"/>
    <w:rsid w:val="005A1A80"/>
    <w:rsid w:val="005A3855"/>
    <w:rsid w:val="005A38BF"/>
    <w:rsid w:val="005A3EFA"/>
    <w:rsid w:val="005A4361"/>
    <w:rsid w:val="005A49B1"/>
    <w:rsid w:val="005A6256"/>
    <w:rsid w:val="005A6D3A"/>
    <w:rsid w:val="005A70F5"/>
    <w:rsid w:val="005A767B"/>
    <w:rsid w:val="005B0632"/>
    <w:rsid w:val="005B07E1"/>
    <w:rsid w:val="005B1C21"/>
    <w:rsid w:val="005B1CA5"/>
    <w:rsid w:val="005B3433"/>
    <w:rsid w:val="005B6AE9"/>
    <w:rsid w:val="005B6D7A"/>
    <w:rsid w:val="005B6F39"/>
    <w:rsid w:val="005B7126"/>
    <w:rsid w:val="005C126F"/>
    <w:rsid w:val="005C22E2"/>
    <w:rsid w:val="005C3FBA"/>
    <w:rsid w:val="005C4A1A"/>
    <w:rsid w:val="005C6236"/>
    <w:rsid w:val="005C6467"/>
    <w:rsid w:val="005C6811"/>
    <w:rsid w:val="005C68DF"/>
    <w:rsid w:val="005C7756"/>
    <w:rsid w:val="005D06E3"/>
    <w:rsid w:val="005D22C3"/>
    <w:rsid w:val="005D2414"/>
    <w:rsid w:val="005D2B1E"/>
    <w:rsid w:val="005D4A64"/>
    <w:rsid w:val="005D4F83"/>
    <w:rsid w:val="005D58A7"/>
    <w:rsid w:val="005D69A9"/>
    <w:rsid w:val="005D6E98"/>
    <w:rsid w:val="005E04DD"/>
    <w:rsid w:val="005E2921"/>
    <w:rsid w:val="005E3932"/>
    <w:rsid w:val="005E3F8C"/>
    <w:rsid w:val="005E411E"/>
    <w:rsid w:val="005E4F11"/>
    <w:rsid w:val="005E7868"/>
    <w:rsid w:val="005E7DE7"/>
    <w:rsid w:val="005F2175"/>
    <w:rsid w:val="005F2CD2"/>
    <w:rsid w:val="005F2ED3"/>
    <w:rsid w:val="005F3586"/>
    <w:rsid w:val="005F36FC"/>
    <w:rsid w:val="005F4AD1"/>
    <w:rsid w:val="005F582D"/>
    <w:rsid w:val="005F5FEB"/>
    <w:rsid w:val="005F7028"/>
    <w:rsid w:val="0060428D"/>
    <w:rsid w:val="00604846"/>
    <w:rsid w:val="00605029"/>
    <w:rsid w:val="0061147C"/>
    <w:rsid w:val="00611D18"/>
    <w:rsid w:val="006122EC"/>
    <w:rsid w:val="0061522C"/>
    <w:rsid w:val="00616461"/>
    <w:rsid w:val="00617055"/>
    <w:rsid w:val="0062210A"/>
    <w:rsid w:val="00625127"/>
    <w:rsid w:val="0062562C"/>
    <w:rsid w:val="006260F2"/>
    <w:rsid w:val="006311A2"/>
    <w:rsid w:val="006317A6"/>
    <w:rsid w:val="00633B61"/>
    <w:rsid w:val="00635470"/>
    <w:rsid w:val="006401D3"/>
    <w:rsid w:val="006406CB"/>
    <w:rsid w:val="00641787"/>
    <w:rsid w:val="00641AC6"/>
    <w:rsid w:val="00642229"/>
    <w:rsid w:val="00642425"/>
    <w:rsid w:val="00643249"/>
    <w:rsid w:val="00644246"/>
    <w:rsid w:val="00645508"/>
    <w:rsid w:val="006455B5"/>
    <w:rsid w:val="006462B0"/>
    <w:rsid w:val="00646410"/>
    <w:rsid w:val="00646C7E"/>
    <w:rsid w:val="00646D9B"/>
    <w:rsid w:val="00647128"/>
    <w:rsid w:val="006503DA"/>
    <w:rsid w:val="00650658"/>
    <w:rsid w:val="00653E9F"/>
    <w:rsid w:val="00654719"/>
    <w:rsid w:val="00655C52"/>
    <w:rsid w:val="006579E0"/>
    <w:rsid w:val="0066095E"/>
    <w:rsid w:val="00660A52"/>
    <w:rsid w:val="00660C03"/>
    <w:rsid w:val="00661DA9"/>
    <w:rsid w:val="00663364"/>
    <w:rsid w:val="006645F6"/>
    <w:rsid w:val="00664881"/>
    <w:rsid w:val="00664C81"/>
    <w:rsid w:val="00665321"/>
    <w:rsid w:val="0067046F"/>
    <w:rsid w:val="006706FB"/>
    <w:rsid w:val="00670DB3"/>
    <w:rsid w:val="00670E07"/>
    <w:rsid w:val="006726E0"/>
    <w:rsid w:val="006729C1"/>
    <w:rsid w:val="00672A96"/>
    <w:rsid w:val="006737E7"/>
    <w:rsid w:val="00674959"/>
    <w:rsid w:val="00675B9E"/>
    <w:rsid w:val="0067711B"/>
    <w:rsid w:val="006812D6"/>
    <w:rsid w:val="0068186E"/>
    <w:rsid w:val="00683B61"/>
    <w:rsid w:val="00683D91"/>
    <w:rsid w:val="00683FD1"/>
    <w:rsid w:val="00684BA4"/>
    <w:rsid w:val="00684ED9"/>
    <w:rsid w:val="006855D6"/>
    <w:rsid w:val="00686A29"/>
    <w:rsid w:val="0068727B"/>
    <w:rsid w:val="006879D7"/>
    <w:rsid w:val="00687AA1"/>
    <w:rsid w:val="00687B82"/>
    <w:rsid w:val="00687D00"/>
    <w:rsid w:val="00690882"/>
    <w:rsid w:val="006925ED"/>
    <w:rsid w:val="00692F32"/>
    <w:rsid w:val="006932F9"/>
    <w:rsid w:val="00693623"/>
    <w:rsid w:val="00694724"/>
    <w:rsid w:val="00696507"/>
    <w:rsid w:val="00696DE1"/>
    <w:rsid w:val="00697807"/>
    <w:rsid w:val="006A0EB7"/>
    <w:rsid w:val="006A1D63"/>
    <w:rsid w:val="006A3150"/>
    <w:rsid w:val="006A356C"/>
    <w:rsid w:val="006A3978"/>
    <w:rsid w:val="006A3A91"/>
    <w:rsid w:val="006A4376"/>
    <w:rsid w:val="006A4F42"/>
    <w:rsid w:val="006A5247"/>
    <w:rsid w:val="006A6A24"/>
    <w:rsid w:val="006A70B2"/>
    <w:rsid w:val="006A727F"/>
    <w:rsid w:val="006B12B4"/>
    <w:rsid w:val="006B14F0"/>
    <w:rsid w:val="006B4427"/>
    <w:rsid w:val="006B49F0"/>
    <w:rsid w:val="006B4AEA"/>
    <w:rsid w:val="006B5BFE"/>
    <w:rsid w:val="006B69A1"/>
    <w:rsid w:val="006C2107"/>
    <w:rsid w:val="006C2135"/>
    <w:rsid w:val="006C27DD"/>
    <w:rsid w:val="006C38B3"/>
    <w:rsid w:val="006C3D4C"/>
    <w:rsid w:val="006C5052"/>
    <w:rsid w:val="006C5C4B"/>
    <w:rsid w:val="006C62FA"/>
    <w:rsid w:val="006C6E60"/>
    <w:rsid w:val="006C6F9D"/>
    <w:rsid w:val="006C78FE"/>
    <w:rsid w:val="006D0094"/>
    <w:rsid w:val="006D0717"/>
    <w:rsid w:val="006D1F7D"/>
    <w:rsid w:val="006D2BAE"/>
    <w:rsid w:val="006D3EAB"/>
    <w:rsid w:val="006D4B08"/>
    <w:rsid w:val="006D508F"/>
    <w:rsid w:val="006D7D5E"/>
    <w:rsid w:val="006E0465"/>
    <w:rsid w:val="006E0751"/>
    <w:rsid w:val="006E08B5"/>
    <w:rsid w:val="006E1352"/>
    <w:rsid w:val="006E1D0F"/>
    <w:rsid w:val="006E2328"/>
    <w:rsid w:val="006E492E"/>
    <w:rsid w:val="006E5645"/>
    <w:rsid w:val="006E6C2D"/>
    <w:rsid w:val="006E73DC"/>
    <w:rsid w:val="006E7A91"/>
    <w:rsid w:val="006F38C4"/>
    <w:rsid w:val="006F50A3"/>
    <w:rsid w:val="006F5C82"/>
    <w:rsid w:val="006F6610"/>
    <w:rsid w:val="006F6989"/>
    <w:rsid w:val="006F6F58"/>
    <w:rsid w:val="00700694"/>
    <w:rsid w:val="00700D8A"/>
    <w:rsid w:val="00701A63"/>
    <w:rsid w:val="00705D2C"/>
    <w:rsid w:val="0070631A"/>
    <w:rsid w:val="00706CFA"/>
    <w:rsid w:val="007075B1"/>
    <w:rsid w:val="007116BE"/>
    <w:rsid w:val="007146F3"/>
    <w:rsid w:val="0071501E"/>
    <w:rsid w:val="00715445"/>
    <w:rsid w:val="007164CC"/>
    <w:rsid w:val="00717F8C"/>
    <w:rsid w:val="00721559"/>
    <w:rsid w:val="00721B25"/>
    <w:rsid w:val="00722A5C"/>
    <w:rsid w:val="007239EB"/>
    <w:rsid w:val="0072532C"/>
    <w:rsid w:val="00730C50"/>
    <w:rsid w:val="00731056"/>
    <w:rsid w:val="00734D78"/>
    <w:rsid w:val="00734FB7"/>
    <w:rsid w:val="00736018"/>
    <w:rsid w:val="007371CB"/>
    <w:rsid w:val="00740403"/>
    <w:rsid w:val="00740480"/>
    <w:rsid w:val="007405B1"/>
    <w:rsid w:val="00740608"/>
    <w:rsid w:val="00740AA2"/>
    <w:rsid w:val="00741EF6"/>
    <w:rsid w:val="00743F53"/>
    <w:rsid w:val="007456E4"/>
    <w:rsid w:val="007469F7"/>
    <w:rsid w:val="00753578"/>
    <w:rsid w:val="00754E05"/>
    <w:rsid w:val="00755246"/>
    <w:rsid w:val="007552B8"/>
    <w:rsid w:val="00755864"/>
    <w:rsid w:val="00756521"/>
    <w:rsid w:val="00756C8C"/>
    <w:rsid w:val="00756CA6"/>
    <w:rsid w:val="007577A1"/>
    <w:rsid w:val="0076070F"/>
    <w:rsid w:val="00760D8A"/>
    <w:rsid w:val="00760FD0"/>
    <w:rsid w:val="00761454"/>
    <w:rsid w:val="00761A65"/>
    <w:rsid w:val="00762368"/>
    <w:rsid w:val="0076246C"/>
    <w:rsid w:val="00766CBB"/>
    <w:rsid w:val="007700B6"/>
    <w:rsid w:val="00771ED0"/>
    <w:rsid w:val="007727B9"/>
    <w:rsid w:val="007732B4"/>
    <w:rsid w:val="00773700"/>
    <w:rsid w:val="00773848"/>
    <w:rsid w:val="00775AF0"/>
    <w:rsid w:val="00776C8B"/>
    <w:rsid w:val="00780C3D"/>
    <w:rsid w:val="00781505"/>
    <w:rsid w:val="00783E41"/>
    <w:rsid w:val="007841E0"/>
    <w:rsid w:val="0078494A"/>
    <w:rsid w:val="007849CD"/>
    <w:rsid w:val="00784CD8"/>
    <w:rsid w:val="007851A8"/>
    <w:rsid w:val="0078695E"/>
    <w:rsid w:val="007870E4"/>
    <w:rsid w:val="00787982"/>
    <w:rsid w:val="00787D6E"/>
    <w:rsid w:val="00790FC7"/>
    <w:rsid w:val="007924A9"/>
    <w:rsid w:val="00793776"/>
    <w:rsid w:val="007947D1"/>
    <w:rsid w:val="00795305"/>
    <w:rsid w:val="00796468"/>
    <w:rsid w:val="00796E97"/>
    <w:rsid w:val="00797040"/>
    <w:rsid w:val="007A08DA"/>
    <w:rsid w:val="007A1025"/>
    <w:rsid w:val="007A1EDE"/>
    <w:rsid w:val="007A21BF"/>
    <w:rsid w:val="007A42FB"/>
    <w:rsid w:val="007A547E"/>
    <w:rsid w:val="007A59B5"/>
    <w:rsid w:val="007A71C5"/>
    <w:rsid w:val="007A7BA0"/>
    <w:rsid w:val="007B0BAC"/>
    <w:rsid w:val="007B49B2"/>
    <w:rsid w:val="007B4F8D"/>
    <w:rsid w:val="007B5976"/>
    <w:rsid w:val="007B616A"/>
    <w:rsid w:val="007B720F"/>
    <w:rsid w:val="007B726E"/>
    <w:rsid w:val="007B7DC2"/>
    <w:rsid w:val="007C196A"/>
    <w:rsid w:val="007C49A3"/>
    <w:rsid w:val="007C5AA7"/>
    <w:rsid w:val="007C5CC5"/>
    <w:rsid w:val="007C64EF"/>
    <w:rsid w:val="007C7988"/>
    <w:rsid w:val="007C7A8F"/>
    <w:rsid w:val="007C7F9D"/>
    <w:rsid w:val="007D0720"/>
    <w:rsid w:val="007D2100"/>
    <w:rsid w:val="007D245D"/>
    <w:rsid w:val="007D2CA7"/>
    <w:rsid w:val="007D2D1F"/>
    <w:rsid w:val="007D379B"/>
    <w:rsid w:val="007D4DE2"/>
    <w:rsid w:val="007D507B"/>
    <w:rsid w:val="007D6179"/>
    <w:rsid w:val="007D7DA7"/>
    <w:rsid w:val="007D7F75"/>
    <w:rsid w:val="007E03EC"/>
    <w:rsid w:val="007E1A9F"/>
    <w:rsid w:val="007E2D68"/>
    <w:rsid w:val="007E33AD"/>
    <w:rsid w:val="007E4FC3"/>
    <w:rsid w:val="007E671C"/>
    <w:rsid w:val="007E701E"/>
    <w:rsid w:val="007E7113"/>
    <w:rsid w:val="007E7497"/>
    <w:rsid w:val="007E7A37"/>
    <w:rsid w:val="007E7C3F"/>
    <w:rsid w:val="007F00F8"/>
    <w:rsid w:val="007F0394"/>
    <w:rsid w:val="007F0E6B"/>
    <w:rsid w:val="007F18B7"/>
    <w:rsid w:val="007F1A43"/>
    <w:rsid w:val="007F3321"/>
    <w:rsid w:val="007F34D4"/>
    <w:rsid w:val="007F4042"/>
    <w:rsid w:val="007F4230"/>
    <w:rsid w:val="007F438B"/>
    <w:rsid w:val="007F6200"/>
    <w:rsid w:val="007F6A43"/>
    <w:rsid w:val="007F76DA"/>
    <w:rsid w:val="007F7AA6"/>
    <w:rsid w:val="008035CF"/>
    <w:rsid w:val="00803FD3"/>
    <w:rsid w:val="00807585"/>
    <w:rsid w:val="00807D4F"/>
    <w:rsid w:val="00810625"/>
    <w:rsid w:val="00812610"/>
    <w:rsid w:val="00812FF1"/>
    <w:rsid w:val="008131E4"/>
    <w:rsid w:val="008136EB"/>
    <w:rsid w:val="00813DBC"/>
    <w:rsid w:val="0081435F"/>
    <w:rsid w:val="0081467F"/>
    <w:rsid w:val="008146CE"/>
    <w:rsid w:val="008155E5"/>
    <w:rsid w:val="00815704"/>
    <w:rsid w:val="008162C2"/>
    <w:rsid w:val="00816E39"/>
    <w:rsid w:val="00820C72"/>
    <w:rsid w:val="00821B88"/>
    <w:rsid w:val="00822242"/>
    <w:rsid w:val="00822B2D"/>
    <w:rsid w:val="00823081"/>
    <w:rsid w:val="0082319A"/>
    <w:rsid w:val="008251C8"/>
    <w:rsid w:val="0082641E"/>
    <w:rsid w:val="00826632"/>
    <w:rsid w:val="008272C3"/>
    <w:rsid w:val="00830C57"/>
    <w:rsid w:val="008318CB"/>
    <w:rsid w:val="0083202C"/>
    <w:rsid w:val="0083256C"/>
    <w:rsid w:val="008337F1"/>
    <w:rsid w:val="008340D2"/>
    <w:rsid w:val="00834104"/>
    <w:rsid w:val="00834755"/>
    <w:rsid w:val="00834E37"/>
    <w:rsid w:val="00840AEB"/>
    <w:rsid w:val="00840F24"/>
    <w:rsid w:val="00841511"/>
    <w:rsid w:val="0084240D"/>
    <w:rsid w:val="00842BB3"/>
    <w:rsid w:val="00842C2A"/>
    <w:rsid w:val="00843B15"/>
    <w:rsid w:val="00844788"/>
    <w:rsid w:val="00845488"/>
    <w:rsid w:val="00845674"/>
    <w:rsid w:val="008471E9"/>
    <w:rsid w:val="00847363"/>
    <w:rsid w:val="008474F3"/>
    <w:rsid w:val="00847B5C"/>
    <w:rsid w:val="00850378"/>
    <w:rsid w:val="00853263"/>
    <w:rsid w:val="008537E3"/>
    <w:rsid w:val="00853EC1"/>
    <w:rsid w:val="00856593"/>
    <w:rsid w:val="008570FA"/>
    <w:rsid w:val="0086105C"/>
    <w:rsid w:val="00862843"/>
    <w:rsid w:val="00864D9D"/>
    <w:rsid w:val="008652CD"/>
    <w:rsid w:val="00867384"/>
    <w:rsid w:val="00867787"/>
    <w:rsid w:val="0087119F"/>
    <w:rsid w:val="008716A8"/>
    <w:rsid w:val="0087298E"/>
    <w:rsid w:val="00872E87"/>
    <w:rsid w:val="00874137"/>
    <w:rsid w:val="00874ECD"/>
    <w:rsid w:val="00875649"/>
    <w:rsid w:val="0087640E"/>
    <w:rsid w:val="008773BD"/>
    <w:rsid w:val="00877730"/>
    <w:rsid w:val="008804D0"/>
    <w:rsid w:val="00883683"/>
    <w:rsid w:val="00883FB4"/>
    <w:rsid w:val="008843B2"/>
    <w:rsid w:val="00884742"/>
    <w:rsid w:val="008847AD"/>
    <w:rsid w:val="0088509C"/>
    <w:rsid w:val="0088690D"/>
    <w:rsid w:val="0088746D"/>
    <w:rsid w:val="00890310"/>
    <w:rsid w:val="008908A3"/>
    <w:rsid w:val="00893409"/>
    <w:rsid w:val="00893965"/>
    <w:rsid w:val="00894784"/>
    <w:rsid w:val="008958BB"/>
    <w:rsid w:val="00897F46"/>
    <w:rsid w:val="008A024D"/>
    <w:rsid w:val="008A1C2D"/>
    <w:rsid w:val="008A1D75"/>
    <w:rsid w:val="008A258B"/>
    <w:rsid w:val="008A38C5"/>
    <w:rsid w:val="008B0455"/>
    <w:rsid w:val="008B293A"/>
    <w:rsid w:val="008B4059"/>
    <w:rsid w:val="008B49B6"/>
    <w:rsid w:val="008B4C7E"/>
    <w:rsid w:val="008B61F8"/>
    <w:rsid w:val="008B6C69"/>
    <w:rsid w:val="008C18E1"/>
    <w:rsid w:val="008C1AC3"/>
    <w:rsid w:val="008C1CAB"/>
    <w:rsid w:val="008C219F"/>
    <w:rsid w:val="008C3416"/>
    <w:rsid w:val="008C3863"/>
    <w:rsid w:val="008C3AF8"/>
    <w:rsid w:val="008D1985"/>
    <w:rsid w:val="008D1BA5"/>
    <w:rsid w:val="008D1EB7"/>
    <w:rsid w:val="008D3D8A"/>
    <w:rsid w:val="008D40CE"/>
    <w:rsid w:val="008D4DC7"/>
    <w:rsid w:val="008D6B8C"/>
    <w:rsid w:val="008D7600"/>
    <w:rsid w:val="008E03D0"/>
    <w:rsid w:val="008E214C"/>
    <w:rsid w:val="008E27D0"/>
    <w:rsid w:val="008E2E3B"/>
    <w:rsid w:val="008E3175"/>
    <w:rsid w:val="008E329D"/>
    <w:rsid w:val="008E45E8"/>
    <w:rsid w:val="008E518E"/>
    <w:rsid w:val="008E534A"/>
    <w:rsid w:val="008E5531"/>
    <w:rsid w:val="008E7879"/>
    <w:rsid w:val="008E7C26"/>
    <w:rsid w:val="008E7CAF"/>
    <w:rsid w:val="008E7DE8"/>
    <w:rsid w:val="008E7E15"/>
    <w:rsid w:val="008F22EB"/>
    <w:rsid w:val="008F26AE"/>
    <w:rsid w:val="008F2C37"/>
    <w:rsid w:val="008F30CE"/>
    <w:rsid w:val="008F4880"/>
    <w:rsid w:val="008F7799"/>
    <w:rsid w:val="00900AAD"/>
    <w:rsid w:val="009015CF"/>
    <w:rsid w:val="00901F37"/>
    <w:rsid w:val="009025C8"/>
    <w:rsid w:val="00902738"/>
    <w:rsid w:val="00902D76"/>
    <w:rsid w:val="00903606"/>
    <w:rsid w:val="00904504"/>
    <w:rsid w:val="0090472A"/>
    <w:rsid w:val="00905CBF"/>
    <w:rsid w:val="009060EE"/>
    <w:rsid w:val="0090615C"/>
    <w:rsid w:val="00912A2B"/>
    <w:rsid w:val="00915923"/>
    <w:rsid w:val="009159C7"/>
    <w:rsid w:val="00917B3A"/>
    <w:rsid w:val="00917E3B"/>
    <w:rsid w:val="00920312"/>
    <w:rsid w:val="00921263"/>
    <w:rsid w:val="009215A6"/>
    <w:rsid w:val="009231DB"/>
    <w:rsid w:val="009245BF"/>
    <w:rsid w:val="00926145"/>
    <w:rsid w:val="009279AB"/>
    <w:rsid w:val="00927BD7"/>
    <w:rsid w:val="00927C24"/>
    <w:rsid w:val="00930403"/>
    <w:rsid w:val="0093201D"/>
    <w:rsid w:val="009320B8"/>
    <w:rsid w:val="009335FF"/>
    <w:rsid w:val="0093365C"/>
    <w:rsid w:val="00934770"/>
    <w:rsid w:val="009355C8"/>
    <w:rsid w:val="00935E2C"/>
    <w:rsid w:val="009362AD"/>
    <w:rsid w:val="0093707F"/>
    <w:rsid w:val="009373AF"/>
    <w:rsid w:val="00937BD7"/>
    <w:rsid w:val="00940D41"/>
    <w:rsid w:val="009412B4"/>
    <w:rsid w:val="009435C6"/>
    <w:rsid w:val="0094441B"/>
    <w:rsid w:val="00946B9E"/>
    <w:rsid w:val="00947418"/>
    <w:rsid w:val="009476E5"/>
    <w:rsid w:val="0094777F"/>
    <w:rsid w:val="00950B4F"/>
    <w:rsid w:val="00951254"/>
    <w:rsid w:val="0095185C"/>
    <w:rsid w:val="00951BC6"/>
    <w:rsid w:val="00953FD1"/>
    <w:rsid w:val="00955E72"/>
    <w:rsid w:val="00956476"/>
    <w:rsid w:val="009567D4"/>
    <w:rsid w:val="009568DA"/>
    <w:rsid w:val="009608DD"/>
    <w:rsid w:val="00960D42"/>
    <w:rsid w:val="009617BB"/>
    <w:rsid w:val="00964EB6"/>
    <w:rsid w:val="00965883"/>
    <w:rsid w:val="00965A04"/>
    <w:rsid w:val="0096726E"/>
    <w:rsid w:val="0096775C"/>
    <w:rsid w:val="00967F19"/>
    <w:rsid w:val="00971DEF"/>
    <w:rsid w:val="00972F52"/>
    <w:rsid w:val="00972FD4"/>
    <w:rsid w:val="009737DD"/>
    <w:rsid w:val="0097386B"/>
    <w:rsid w:val="009741A8"/>
    <w:rsid w:val="00975F5B"/>
    <w:rsid w:val="00976CF6"/>
    <w:rsid w:val="00980A6C"/>
    <w:rsid w:val="00980B40"/>
    <w:rsid w:val="0098258C"/>
    <w:rsid w:val="009831BD"/>
    <w:rsid w:val="009833D4"/>
    <w:rsid w:val="00983E13"/>
    <w:rsid w:val="00984416"/>
    <w:rsid w:val="009852CE"/>
    <w:rsid w:val="00986CED"/>
    <w:rsid w:val="00987E4B"/>
    <w:rsid w:val="00990EA2"/>
    <w:rsid w:val="0099195C"/>
    <w:rsid w:val="00992C0A"/>
    <w:rsid w:val="0099450E"/>
    <w:rsid w:val="00994619"/>
    <w:rsid w:val="00995124"/>
    <w:rsid w:val="00996AE5"/>
    <w:rsid w:val="0099714E"/>
    <w:rsid w:val="00997CA6"/>
    <w:rsid w:val="00997E96"/>
    <w:rsid w:val="009A277A"/>
    <w:rsid w:val="009A283D"/>
    <w:rsid w:val="009A2C60"/>
    <w:rsid w:val="009A33C5"/>
    <w:rsid w:val="009A34B1"/>
    <w:rsid w:val="009A3F8E"/>
    <w:rsid w:val="009A4C06"/>
    <w:rsid w:val="009A5C43"/>
    <w:rsid w:val="009A6894"/>
    <w:rsid w:val="009A776F"/>
    <w:rsid w:val="009B02A0"/>
    <w:rsid w:val="009B0807"/>
    <w:rsid w:val="009B233F"/>
    <w:rsid w:val="009B4A91"/>
    <w:rsid w:val="009B4BE7"/>
    <w:rsid w:val="009B595E"/>
    <w:rsid w:val="009B6116"/>
    <w:rsid w:val="009C1922"/>
    <w:rsid w:val="009C1926"/>
    <w:rsid w:val="009C1BF5"/>
    <w:rsid w:val="009C4B1A"/>
    <w:rsid w:val="009C4C78"/>
    <w:rsid w:val="009C53FF"/>
    <w:rsid w:val="009C5E44"/>
    <w:rsid w:val="009C6BAF"/>
    <w:rsid w:val="009D000D"/>
    <w:rsid w:val="009D113D"/>
    <w:rsid w:val="009D17A1"/>
    <w:rsid w:val="009D1B95"/>
    <w:rsid w:val="009D25BE"/>
    <w:rsid w:val="009D359B"/>
    <w:rsid w:val="009D4C8A"/>
    <w:rsid w:val="009D5A9C"/>
    <w:rsid w:val="009D5E1C"/>
    <w:rsid w:val="009D5F4E"/>
    <w:rsid w:val="009D5FD3"/>
    <w:rsid w:val="009D7E0A"/>
    <w:rsid w:val="009D7F4C"/>
    <w:rsid w:val="009E02A9"/>
    <w:rsid w:val="009E2544"/>
    <w:rsid w:val="009E29D3"/>
    <w:rsid w:val="009E46F4"/>
    <w:rsid w:val="009E4ACE"/>
    <w:rsid w:val="009E6611"/>
    <w:rsid w:val="009E74E5"/>
    <w:rsid w:val="009E7C38"/>
    <w:rsid w:val="009F1965"/>
    <w:rsid w:val="009F1AA7"/>
    <w:rsid w:val="009F1F27"/>
    <w:rsid w:val="009F29ED"/>
    <w:rsid w:val="009F46AF"/>
    <w:rsid w:val="009F57FD"/>
    <w:rsid w:val="009F7877"/>
    <w:rsid w:val="00A00253"/>
    <w:rsid w:val="00A00449"/>
    <w:rsid w:val="00A016E7"/>
    <w:rsid w:val="00A024FC"/>
    <w:rsid w:val="00A03173"/>
    <w:rsid w:val="00A03D2A"/>
    <w:rsid w:val="00A03DC6"/>
    <w:rsid w:val="00A06307"/>
    <w:rsid w:val="00A0634B"/>
    <w:rsid w:val="00A066BB"/>
    <w:rsid w:val="00A06FD1"/>
    <w:rsid w:val="00A10153"/>
    <w:rsid w:val="00A102C6"/>
    <w:rsid w:val="00A1300C"/>
    <w:rsid w:val="00A1456E"/>
    <w:rsid w:val="00A1476E"/>
    <w:rsid w:val="00A15679"/>
    <w:rsid w:val="00A168B6"/>
    <w:rsid w:val="00A16DF2"/>
    <w:rsid w:val="00A173A1"/>
    <w:rsid w:val="00A21BA1"/>
    <w:rsid w:val="00A21F35"/>
    <w:rsid w:val="00A22DCC"/>
    <w:rsid w:val="00A23C32"/>
    <w:rsid w:val="00A24178"/>
    <w:rsid w:val="00A24A85"/>
    <w:rsid w:val="00A303C0"/>
    <w:rsid w:val="00A30DC6"/>
    <w:rsid w:val="00A31859"/>
    <w:rsid w:val="00A31AB0"/>
    <w:rsid w:val="00A324DC"/>
    <w:rsid w:val="00A33910"/>
    <w:rsid w:val="00A347FA"/>
    <w:rsid w:val="00A3484E"/>
    <w:rsid w:val="00A3563D"/>
    <w:rsid w:val="00A3720A"/>
    <w:rsid w:val="00A376BE"/>
    <w:rsid w:val="00A408FE"/>
    <w:rsid w:val="00A40ADA"/>
    <w:rsid w:val="00A40F29"/>
    <w:rsid w:val="00A41DE7"/>
    <w:rsid w:val="00A4217E"/>
    <w:rsid w:val="00A424A4"/>
    <w:rsid w:val="00A4276C"/>
    <w:rsid w:val="00A42A4A"/>
    <w:rsid w:val="00A42AD0"/>
    <w:rsid w:val="00A42F25"/>
    <w:rsid w:val="00A43460"/>
    <w:rsid w:val="00A43FB2"/>
    <w:rsid w:val="00A4444D"/>
    <w:rsid w:val="00A477A0"/>
    <w:rsid w:val="00A500B9"/>
    <w:rsid w:val="00A50F23"/>
    <w:rsid w:val="00A520AE"/>
    <w:rsid w:val="00A52EF7"/>
    <w:rsid w:val="00A52F2C"/>
    <w:rsid w:val="00A539CB"/>
    <w:rsid w:val="00A53F80"/>
    <w:rsid w:val="00A54862"/>
    <w:rsid w:val="00A564DA"/>
    <w:rsid w:val="00A57EA5"/>
    <w:rsid w:val="00A57EDC"/>
    <w:rsid w:val="00A60131"/>
    <w:rsid w:val="00A607E2"/>
    <w:rsid w:val="00A6167E"/>
    <w:rsid w:val="00A61AF2"/>
    <w:rsid w:val="00A62563"/>
    <w:rsid w:val="00A62A04"/>
    <w:rsid w:val="00A6481D"/>
    <w:rsid w:val="00A659BF"/>
    <w:rsid w:val="00A669E7"/>
    <w:rsid w:val="00A67E3C"/>
    <w:rsid w:val="00A67FC7"/>
    <w:rsid w:val="00A70C41"/>
    <w:rsid w:val="00A71112"/>
    <w:rsid w:val="00A7134E"/>
    <w:rsid w:val="00A71C5E"/>
    <w:rsid w:val="00A76AE7"/>
    <w:rsid w:val="00A77AD3"/>
    <w:rsid w:val="00A80803"/>
    <w:rsid w:val="00A80A1B"/>
    <w:rsid w:val="00A81421"/>
    <w:rsid w:val="00A81446"/>
    <w:rsid w:val="00A81BC7"/>
    <w:rsid w:val="00A823DB"/>
    <w:rsid w:val="00A84ADE"/>
    <w:rsid w:val="00A85141"/>
    <w:rsid w:val="00A85370"/>
    <w:rsid w:val="00A86743"/>
    <w:rsid w:val="00A8698B"/>
    <w:rsid w:val="00A91545"/>
    <w:rsid w:val="00A93734"/>
    <w:rsid w:val="00A9377D"/>
    <w:rsid w:val="00A940A0"/>
    <w:rsid w:val="00A942D8"/>
    <w:rsid w:val="00A94563"/>
    <w:rsid w:val="00A95B80"/>
    <w:rsid w:val="00A977E8"/>
    <w:rsid w:val="00A97C43"/>
    <w:rsid w:val="00AA0032"/>
    <w:rsid w:val="00AA4F79"/>
    <w:rsid w:val="00AA53A0"/>
    <w:rsid w:val="00AA5A22"/>
    <w:rsid w:val="00AA5EBA"/>
    <w:rsid w:val="00AA605F"/>
    <w:rsid w:val="00AA6215"/>
    <w:rsid w:val="00AB013C"/>
    <w:rsid w:val="00AB1DD2"/>
    <w:rsid w:val="00AB2567"/>
    <w:rsid w:val="00AB2AE3"/>
    <w:rsid w:val="00AB2FD9"/>
    <w:rsid w:val="00AB35C3"/>
    <w:rsid w:val="00AB3602"/>
    <w:rsid w:val="00AB3823"/>
    <w:rsid w:val="00AB6DBD"/>
    <w:rsid w:val="00AB724F"/>
    <w:rsid w:val="00AB75CC"/>
    <w:rsid w:val="00AC1939"/>
    <w:rsid w:val="00AC27A1"/>
    <w:rsid w:val="00AC2942"/>
    <w:rsid w:val="00AC2BDA"/>
    <w:rsid w:val="00AC2DC3"/>
    <w:rsid w:val="00AC40A9"/>
    <w:rsid w:val="00AC5566"/>
    <w:rsid w:val="00AC5918"/>
    <w:rsid w:val="00AD135D"/>
    <w:rsid w:val="00AD141F"/>
    <w:rsid w:val="00AD56F1"/>
    <w:rsid w:val="00AD6532"/>
    <w:rsid w:val="00AD6CE2"/>
    <w:rsid w:val="00AD7863"/>
    <w:rsid w:val="00AE06B6"/>
    <w:rsid w:val="00AE155E"/>
    <w:rsid w:val="00AE19E7"/>
    <w:rsid w:val="00AE3720"/>
    <w:rsid w:val="00AE46D8"/>
    <w:rsid w:val="00AE5B0D"/>
    <w:rsid w:val="00AE6990"/>
    <w:rsid w:val="00AE69F8"/>
    <w:rsid w:val="00AF070D"/>
    <w:rsid w:val="00AF0992"/>
    <w:rsid w:val="00AF1984"/>
    <w:rsid w:val="00AF2615"/>
    <w:rsid w:val="00AF264E"/>
    <w:rsid w:val="00AF3F8A"/>
    <w:rsid w:val="00AF41DB"/>
    <w:rsid w:val="00AF57CD"/>
    <w:rsid w:val="00AF5C40"/>
    <w:rsid w:val="00B00A04"/>
    <w:rsid w:val="00B01230"/>
    <w:rsid w:val="00B02A14"/>
    <w:rsid w:val="00B0382E"/>
    <w:rsid w:val="00B04C8C"/>
    <w:rsid w:val="00B06D37"/>
    <w:rsid w:val="00B07349"/>
    <w:rsid w:val="00B07BE2"/>
    <w:rsid w:val="00B07C00"/>
    <w:rsid w:val="00B10B22"/>
    <w:rsid w:val="00B10CA7"/>
    <w:rsid w:val="00B10DF9"/>
    <w:rsid w:val="00B13EF6"/>
    <w:rsid w:val="00B15054"/>
    <w:rsid w:val="00B15A34"/>
    <w:rsid w:val="00B16B04"/>
    <w:rsid w:val="00B17A0E"/>
    <w:rsid w:val="00B2041D"/>
    <w:rsid w:val="00B2046D"/>
    <w:rsid w:val="00B228FA"/>
    <w:rsid w:val="00B2382C"/>
    <w:rsid w:val="00B23C0E"/>
    <w:rsid w:val="00B23D7E"/>
    <w:rsid w:val="00B249E8"/>
    <w:rsid w:val="00B24BB8"/>
    <w:rsid w:val="00B24C38"/>
    <w:rsid w:val="00B2550B"/>
    <w:rsid w:val="00B25876"/>
    <w:rsid w:val="00B260C1"/>
    <w:rsid w:val="00B30398"/>
    <w:rsid w:val="00B30CE5"/>
    <w:rsid w:val="00B31BC6"/>
    <w:rsid w:val="00B32255"/>
    <w:rsid w:val="00B36226"/>
    <w:rsid w:val="00B36310"/>
    <w:rsid w:val="00B41BE0"/>
    <w:rsid w:val="00B42789"/>
    <w:rsid w:val="00B43196"/>
    <w:rsid w:val="00B44A49"/>
    <w:rsid w:val="00B457CA"/>
    <w:rsid w:val="00B508F4"/>
    <w:rsid w:val="00B513B8"/>
    <w:rsid w:val="00B52022"/>
    <w:rsid w:val="00B52AE6"/>
    <w:rsid w:val="00B52C48"/>
    <w:rsid w:val="00B52D0F"/>
    <w:rsid w:val="00B5352A"/>
    <w:rsid w:val="00B55555"/>
    <w:rsid w:val="00B55A63"/>
    <w:rsid w:val="00B56991"/>
    <w:rsid w:val="00B56AA9"/>
    <w:rsid w:val="00B57D06"/>
    <w:rsid w:val="00B613FE"/>
    <w:rsid w:val="00B6343F"/>
    <w:rsid w:val="00B63E4E"/>
    <w:rsid w:val="00B63E98"/>
    <w:rsid w:val="00B665C1"/>
    <w:rsid w:val="00B6755C"/>
    <w:rsid w:val="00B67A09"/>
    <w:rsid w:val="00B70359"/>
    <w:rsid w:val="00B719D7"/>
    <w:rsid w:val="00B7220D"/>
    <w:rsid w:val="00B722F4"/>
    <w:rsid w:val="00B72562"/>
    <w:rsid w:val="00B727E9"/>
    <w:rsid w:val="00B72B6E"/>
    <w:rsid w:val="00B7371F"/>
    <w:rsid w:val="00B73A48"/>
    <w:rsid w:val="00B74637"/>
    <w:rsid w:val="00B75413"/>
    <w:rsid w:val="00B7542A"/>
    <w:rsid w:val="00B75DBC"/>
    <w:rsid w:val="00B773BC"/>
    <w:rsid w:val="00B7751E"/>
    <w:rsid w:val="00B80895"/>
    <w:rsid w:val="00B8092D"/>
    <w:rsid w:val="00B81086"/>
    <w:rsid w:val="00B8245D"/>
    <w:rsid w:val="00B84511"/>
    <w:rsid w:val="00B86F77"/>
    <w:rsid w:val="00B8766B"/>
    <w:rsid w:val="00B87A2E"/>
    <w:rsid w:val="00B87B94"/>
    <w:rsid w:val="00B87F61"/>
    <w:rsid w:val="00B91449"/>
    <w:rsid w:val="00B9192C"/>
    <w:rsid w:val="00B93121"/>
    <w:rsid w:val="00B976B3"/>
    <w:rsid w:val="00B97BE6"/>
    <w:rsid w:val="00BA0424"/>
    <w:rsid w:val="00BA0EF5"/>
    <w:rsid w:val="00BA1479"/>
    <w:rsid w:val="00BA174A"/>
    <w:rsid w:val="00BA2264"/>
    <w:rsid w:val="00BA2F7C"/>
    <w:rsid w:val="00BA3415"/>
    <w:rsid w:val="00BA4432"/>
    <w:rsid w:val="00BA594F"/>
    <w:rsid w:val="00BA5983"/>
    <w:rsid w:val="00BA6556"/>
    <w:rsid w:val="00BA6DA4"/>
    <w:rsid w:val="00BB0656"/>
    <w:rsid w:val="00BB1C12"/>
    <w:rsid w:val="00BB1C4C"/>
    <w:rsid w:val="00BB3DBF"/>
    <w:rsid w:val="00BB477D"/>
    <w:rsid w:val="00BB4D1F"/>
    <w:rsid w:val="00BB5E8A"/>
    <w:rsid w:val="00BB7278"/>
    <w:rsid w:val="00BB739E"/>
    <w:rsid w:val="00BC212B"/>
    <w:rsid w:val="00BC276F"/>
    <w:rsid w:val="00BC34C1"/>
    <w:rsid w:val="00BC3693"/>
    <w:rsid w:val="00BC46D1"/>
    <w:rsid w:val="00BC4FF7"/>
    <w:rsid w:val="00BC525B"/>
    <w:rsid w:val="00BC5C00"/>
    <w:rsid w:val="00BC6620"/>
    <w:rsid w:val="00BC6A39"/>
    <w:rsid w:val="00BC6BA9"/>
    <w:rsid w:val="00BC762B"/>
    <w:rsid w:val="00BD072D"/>
    <w:rsid w:val="00BD28D7"/>
    <w:rsid w:val="00BD5545"/>
    <w:rsid w:val="00BD616C"/>
    <w:rsid w:val="00BD762E"/>
    <w:rsid w:val="00BE10CB"/>
    <w:rsid w:val="00BE16B3"/>
    <w:rsid w:val="00BE179E"/>
    <w:rsid w:val="00BE18B3"/>
    <w:rsid w:val="00BE25FF"/>
    <w:rsid w:val="00BE2767"/>
    <w:rsid w:val="00BE374E"/>
    <w:rsid w:val="00BE4170"/>
    <w:rsid w:val="00BE7C04"/>
    <w:rsid w:val="00BF0C00"/>
    <w:rsid w:val="00BF1CAB"/>
    <w:rsid w:val="00BF1FB0"/>
    <w:rsid w:val="00BF30A6"/>
    <w:rsid w:val="00BF3357"/>
    <w:rsid w:val="00BF377A"/>
    <w:rsid w:val="00BF4294"/>
    <w:rsid w:val="00BF4AB2"/>
    <w:rsid w:val="00BF4B99"/>
    <w:rsid w:val="00BF4BED"/>
    <w:rsid w:val="00BF536C"/>
    <w:rsid w:val="00BF6A0B"/>
    <w:rsid w:val="00BF6D25"/>
    <w:rsid w:val="00BF79BB"/>
    <w:rsid w:val="00C004AB"/>
    <w:rsid w:val="00C00852"/>
    <w:rsid w:val="00C022DE"/>
    <w:rsid w:val="00C04755"/>
    <w:rsid w:val="00C0602C"/>
    <w:rsid w:val="00C06198"/>
    <w:rsid w:val="00C0652B"/>
    <w:rsid w:val="00C06856"/>
    <w:rsid w:val="00C06EDE"/>
    <w:rsid w:val="00C07ED0"/>
    <w:rsid w:val="00C10663"/>
    <w:rsid w:val="00C108AC"/>
    <w:rsid w:val="00C10F2B"/>
    <w:rsid w:val="00C112C8"/>
    <w:rsid w:val="00C135ED"/>
    <w:rsid w:val="00C13EBC"/>
    <w:rsid w:val="00C15AE0"/>
    <w:rsid w:val="00C16F7F"/>
    <w:rsid w:val="00C209AD"/>
    <w:rsid w:val="00C21060"/>
    <w:rsid w:val="00C221BA"/>
    <w:rsid w:val="00C22931"/>
    <w:rsid w:val="00C231C4"/>
    <w:rsid w:val="00C23BF1"/>
    <w:rsid w:val="00C24069"/>
    <w:rsid w:val="00C2412B"/>
    <w:rsid w:val="00C2441A"/>
    <w:rsid w:val="00C2672D"/>
    <w:rsid w:val="00C27400"/>
    <w:rsid w:val="00C278F8"/>
    <w:rsid w:val="00C30D51"/>
    <w:rsid w:val="00C32C0C"/>
    <w:rsid w:val="00C33401"/>
    <w:rsid w:val="00C33FF1"/>
    <w:rsid w:val="00C3568A"/>
    <w:rsid w:val="00C36394"/>
    <w:rsid w:val="00C3728B"/>
    <w:rsid w:val="00C40810"/>
    <w:rsid w:val="00C41F6B"/>
    <w:rsid w:val="00C42073"/>
    <w:rsid w:val="00C44ADE"/>
    <w:rsid w:val="00C44C7B"/>
    <w:rsid w:val="00C44CF2"/>
    <w:rsid w:val="00C45167"/>
    <w:rsid w:val="00C452BC"/>
    <w:rsid w:val="00C46AE4"/>
    <w:rsid w:val="00C4714D"/>
    <w:rsid w:val="00C507F5"/>
    <w:rsid w:val="00C5159D"/>
    <w:rsid w:val="00C5169D"/>
    <w:rsid w:val="00C519DA"/>
    <w:rsid w:val="00C521A7"/>
    <w:rsid w:val="00C528E3"/>
    <w:rsid w:val="00C540CA"/>
    <w:rsid w:val="00C56470"/>
    <w:rsid w:val="00C57A43"/>
    <w:rsid w:val="00C60305"/>
    <w:rsid w:val="00C60EA2"/>
    <w:rsid w:val="00C60EBB"/>
    <w:rsid w:val="00C61769"/>
    <w:rsid w:val="00C61E34"/>
    <w:rsid w:val="00C626CD"/>
    <w:rsid w:val="00C62AF4"/>
    <w:rsid w:val="00C65207"/>
    <w:rsid w:val="00C702CE"/>
    <w:rsid w:val="00C7063B"/>
    <w:rsid w:val="00C70812"/>
    <w:rsid w:val="00C71888"/>
    <w:rsid w:val="00C71BDF"/>
    <w:rsid w:val="00C72A23"/>
    <w:rsid w:val="00C72DC3"/>
    <w:rsid w:val="00C73DE2"/>
    <w:rsid w:val="00C755CB"/>
    <w:rsid w:val="00C75DCB"/>
    <w:rsid w:val="00C76413"/>
    <w:rsid w:val="00C7655E"/>
    <w:rsid w:val="00C771A4"/>
    <w:rsid w:val="00C77DE6"/>
    <w:rsid w:val="00C808F7"/>
    <w:rsid w:val="00C81663"/>
    <w:rsid w:val="00C81815"/>
    <w:rsid w:val="00C83FFC"/>
    <w:rsid w:val="00C855CA"/>
    <w:rsid w:val="00C85B2A"/>
    <w:rsid w:val="00C86E84"/>
    <w:rsid w:val="00C90919"/>
    <w:rsid w:val="00C90F06"/>
    <w:rsid w:val="00C91776"/>
    <w:rsid w:val="00C92549"/>
    <w:rsid w:val="00C93935"/>
    <w:rsid w:val="00C93CE0"/>
    <w:rsid w:val="00C94762"/>
    <w:rsid w:val="00C94E15"/>
    <w:rsid w:val="00C952C7"/>
    <w:rsid w:val="00C961DF"/>
    <w:rsid w:val="00C96B70"/>
    <w:rsid w:val="00C97075"/>
    <w:rsid w:val="00C974E6"/>
    <w:rsid w:val="00CA0189"/>
    <w:rsid w:val="00CA16AF"/>
    <w:rsid w:val="00CA2F69"/>
    <w:rsid w:val="00CA3190"/>
    <w:rsid w:val="00CA476E"/>
    <w:rsid w:val="00CA5F70"/>
    <w:rsid w:val="00CB0282"/>
    <w:rsid w:val="00CB13F2"/>
    <w:rsid w:val="00CB2572"/>
    <w:rsid w:val="00CB2FAC"/>
    <w:rsid w:val="00CB36F8"/>
    <w:rsid w:val="00CB4631"/>
    <w:rsid w:val="00CB4C0F"/>
    <w:rsid w:val="00CB4C9E"/>
    <w:rsid w:val="00CB53CC"/>
    <w:rsid w:val="00CB6415"/>
    <w:rsid w:val="00CB6A15"/>
    <w:rsid w:val="00CB6A3D"/>
    <w:rsid w:val="00CC0A05"/>
    <w:rsid w:val="00CC13C2"/>
    <w:rsid w:val="00CC1742"/>
    <w:rsid w:val="00CC1998"/>
    <w:rsid w:val="00CC2116"/>
    <w:rsid w:val="00CC49B3"/>
    <w:rsid w:val="00CC7CE2"/>
    <w:rsid w:val="00CD0F62"/>
    <w:rsid w:val="00CD1E9E"/>
    <w:rsid w:val="00CD24CC"/>
    <w:rsid w:val="00CD2B6B"/>
    <w:rsid w:val="00CD3117"/>
    <w:rsid w:val="00CD5602"/>
    <w:rsid w:val="00CD602D"/>
    <w:rsid w:val="00CD6077"/>
    <w:rsid w:val="00CD6E38"/>
    <w:rsid w:val="00CE089D"/>
    <w:rsid w:val="00CE1554"/>
    <w:rsid w:val="00CE2539"/>
    <w:rsid w:val="00CE2B4F"/>
    <w:rsid w:val="00CE2CE0"/>
    <w:rsid w:val="00CE349F"/>
    <w:rsid w:val="00CE4554"/>
    <w:rsid w:val="00CE4CB3"/>
    <w:rsid w:val="00CE538C"/>
    <w:rsid w:val="00CE58BA"/>
    <w:rsid w:val="00CE661C"/>
    <w:rsid w:val="00CE70C6"/>
    <w:rsid w:val="00CE7BB7"/>
    <w:rsid w:val="00CF107C"/>
    <w:rsid w:val="00CF12BF"/>
    <w:rsid w:val="00CF27BC"/>
    <w:rsid w:val="00CF2E1F"/>
    <w:rsid w:val="00CF3CCF"/>
    <w:rsid w:val="00CF406D"/>
    <w:rsid w:val="00CF67BF"/>
    <w:rsid w:val="00CF6C85"/>
    <w:rsid w:val="00CF6E1D"/>
    <w:rsid w:val="00CF704C"/>
    <w:rsid w:val="00CF70A7"/>
    <w:rsid w:val="00CF7941"/>
    <w:rsid w:val="00D003D8"/>
    <w:rsid w:val="00D00BDD"/>
    <w:rsid w:val="00D015AB"/>
    <w:rsid w:val="00D0389E"/>
    <w:rsid w:val="00D041A0"/>
    <w:rsid w:val="00D0780F"/>
    <w:rsid w:val="00D107D4"/>
    <w:rsid w:val="00D12F84"/>
    <w:rsid w:val="00D14B77"/>
    <w:rsid w:val="00D15C05"/>
    <w:rsid w:val="00D16201"/>
    <w:rsid w:val="00D16DB2"/>
    <w:rsid w:val="00D171E9"/>
    <w:rsid w:val="00D2001D"/>
    <w:rsid w:val="00D21B8B"/>
    <w:rsid w:val="00D22AC5"/>
    <w:rsid w:val="00D235F8"/>
    <w:rsid w:val="00D24310"/>
    <w:rsid w:val="00D24488"/>
    <w:rsid w:val="00D253D0"/>
    <w:rsid w:val="00D25AAA"/>
    <w:rsid w:val="00D2678A"/>
    <w:rsid w:val="00D275F6"/>
    <w:rsid w:val="00D30AEC"/>
    <w:rsid w:val="00D30D08"/>
    <w:rsid w:val="00D31399"/>
    <w:rsid w:val="00D3344C"/>
    <w:rsid w:val="00D33DD9"/>
    <w:rsid w:val="00D3465E"/>
    <w:rsid w:val="00D34E48"/>
    <w:rsid w:val="00D35311"/>
    <w:rsid w:val="00D3575A"/>
    <w:rsid w:val="00D358BD"/>
    <w:rsid w:val="00D37528"/>
    <w:rsid w:val="00D40671"/>
    <w:rsid w:val="00D41CA7"/>
    <w:rsid w:val="00D42A98"/>
    <w:rsid w:val="00D440E8"/>
    <w:rsid w:val="00D45560"/>
    <w:rsid w:val="00D45850"/>
    <w:rsid w:val="00D45B5E"/>
    <w:rsid w:val="00D45E55"/>
    <w:rsid w:val="00D47A6D"/>
    <w:rsid w:val="00D501DD"/>
    <w:rsid w:val="00D50502"/>
    <w:rsid w:val="00D50770"/>
    <w:rsid w:val="00D5275B"/>
    <w:rsid w:val="00D5287E"/>
    <w:rsid w:val="00D535D0"/>
    <w:rsid w:val="00D55616"/>
    <w:rsid w:val="00D557FC"/>
    <w:rsid w:val="00D559D8"/>
    <w:rsid w:val="00D55F2D"/>
    <w:rsid w:val="00D579D6"/>
    <w:rsid w:val="00D610AA"/>
    <w:rsid w:val="00D613AF"/>
    <w:rsid w:val="00D62489"/>
    <w:rsid w:val="00D6276F"/>
    <w:rsid w:val="00D62969"/>
    <w:rsid w:val="00D62C0C"/>
    <w:rsid w:val="00D6389C"/>
    <w:rsid w:val="00D63F02"/>
    <w:rsid w:val="00D667A4"/>
    <w:rsid w:val="00D700E6"/>
    <w:rsid w:val="00D7028B"/>
    <w:rsid w:val="00D722BA"/>
    <w:rsid w:val="00D72DDC"/>
    <w:rsid w:val="00D741A5"/>
    <w:rsid w:val="00D74D26"/>
    <w:rsid w:val="00D768F1"/>
    <w:rsid w:val="00D77404"/>
    <w:rsid w:val="00D808AA"/>
    <w:rsid w:val="00D808DD"/>
    <w:rsid w:val="00D80B86"/>
    <w:rsid w:val="00D8178A"/>
    <w:rsid w:val="00D822F9"/>
    <w:rsid w:val="00D82522"/>
    <w:rsid w:val="00D82BD2"/>
    <w:rsid w:val="00D83AE2"/>
    <w:rsid w:val="00D86468"/>
    <w:rsid w:val="00D86FBF"/>
    <w:rsid w:val="00D9026C"/>
    <w:rsid w:val="00D912FE"/>
    <w:rsid w:val="00D9150D"/>
    <w:rsid w:val="00D92246"/>
    <w:rsid w:val="00D92626"/>
    <w:rsid w:val="00D94983"/>
    <w:rsid w:val="00D96D25"/>
    <w:rsid w:val="00DA014E"/>
    <w:rsid w:val="00DA070C"/>
    <w:rsid w:val="00DA1D22"/>
    <w:rsid w:val="00DA208F"/>
    <w:rsid w:val="00DA6802"/>
    <w:rsid w:val="00DA7033"/>
    <w:rsid w:val="00DA7B31"/>
    <w:rsid w:val="00DA7CE6"/>
    <w:rsid w:val="00DB0583"/>
    <w:rsid w:val="00DB0867"/>
    <w:rsid w:val="00DB0FA6"/>
    <w:rsid w:val="00DB223C"/>
    <w:rsid w:val="00DB2DE0"/>
    <w:rsid w:val="00DB6DD6"/>
    <w:rsid w:val="00DC0993"/>
    <w:rsid w:val="00DC18C4"/>
    <w:rsid w:val="00DC475F"/>
    <w:rsid w:val="00DC483D"/>
    <w:rsid w:val="00DC4B61"/>
    <w:rsid w:val="00DC4F2D"/>
    <w:rsid w:val="00DC572C"/>
    <w:rsid w:val="00DC7A5E"/>
    <w:rsid w:val="00DD0C9E"/>
    <w:rsid w:val="00DD14EC"/>
    <w:rsid w:val="00DD2A9D"/>
    <w:rsid w:val="00DD3C5B"/>
    <w:rsid w:val="00DD48B4"/>
    <w:rsid w:val="00DD54C1"/>
    <w:rsid w:val="00DD580B"/>
    <w:rsid w:val="00DD6300"/>
    <w:rsid w:val="00DD6737"/>
    <w:rsid w:val="00DD7FDB"/>
    <w:rsid w:val="00DE0447"/>
    <w:rsid w:val="00DE048C"/>
    <w:rsid w:val="00DE1948"/>
    <w:rsid w:val="00DE1CBE"/>
    <w:rsid w:val="00DE59CC"/>
    <w:rsid w:val="00DE6C77"/>
    <w:rsid w:val="00DF1F27"/>
    <w:rsid w:val="00DF24BF"/>
    <w:rsid w:val="00DF40CD"/>
    <w:rsid w:val="00DF41BE"/>
    <w:rsid w:val="00DF4EF2"/>
    <w:rsid w:val="00DF51C2"/>
    <w:rsid w:val="00DF56AE"/>
    <w:rsid w:val="00DF59C3"/>
    <w:rsid w:val="00DF59F6"/>
    <w:rsid w:val="00DF6533"/>
    <w:rsid w:val="00DF6CCD"/>
    <w:rsid w:val="00DF7832"/>
    <w:rsid w:val="00E02B8F"/>
    <w:rsid w:val="00E031C5"/>
    <w:rsid w:val="00E03967"/>
    <w:rsid w:val="00E04F3E"/>
    <w:rsid w:val="00E04FCE"/>
    <w:rsid w:val="00E056F5"/>
    <w:rsid w:val="00E066D5"/>
    <w:rsid w:val="00E06BB1"/>
    <w:rsid w:val="00E06F58"/>
    <w:rsid w:val="00E073A7"/>
    <w:rsid w:val="00E073AA"/>
    <w:rsid w:val="00E11EB8"/>
    <w:rsid w:val="00E12912"/>
    <w:rsid w:val="00E129EE"/>
    <w:rsid w:val="00E147DE"/>
    <w:rsid w:val="00E14BCD"/>
    <w:rsid w:val="00E151CD"/>
    <w:rsid w:val="00E15547"/>
    <w:rsid w:val="00E16B2D"/>
    <w:rsid w:val="00E16DC0"/>
    <w:rsid w:val="00E16FAD"/>
    <w:rsid w:val="00E21CA0"/>
    <w:rsid w:val="00E22CA8"/>
    <w:rsid w:val="00E23695"/>
    <w:rsid w:val="00E310BC"/>
    <w:rsid w:val="00E3135B"/>
    <w:rsid w:val="00E32B86"/>
    <w:rsid w:val="00E32FDA"/>
    <w:rsid w:val="00E332D0"/>
    <w:rsid w:val="00E33FB7"/>
    <w:rsid w:val="00E34342"/>
    <w:rsid w:val="00E3581D"/>
    <w:rsid w:val="00E40003"/>
    <w:rsid w:val="00E4204C"/>
    <w:rsid w:val="00E425FC"/>
    <w:rsid w:val="00E42E2B"/>
    <w:rsid w:val="00E431AC"/>
    <w:rsid w:val="00E439FC"/>
    <w:rsid w:val="00E50BEF"/>
    <w:rsid w:val="00E50E33"/>
    <w:rsid w:val="00E52561"/>
    <w:rsid w:val="00E525A9"/>
    <w:rsid w:val="00E54395"/>
    <w:rsid w:val="00E55B99"/>
    <w:rsid w:val="00E55EF0"/>
    <w:rsid w:val="00E5650D"/>
    <w:rsid w:val="00E56BC5"/>
    <w:rsid w:val="00E574A6"/>
    <w:rsid w:val="00E60940"/>
    <w:rsid w:val="00E6127C"/>
    <w:rsid w:val="00E6188D"/>
    <w:rsid w:val="00E62146"/>
    <w:rsid w:val="00E6221C"/>
    <w:rsid w:val="00E6276E"/>
    <w:rsid w:val="00E6359A"/>
    <w:rsid w:val="00E637B5"/>
    <w:rsid w:val="00E638D1"/>
    <w:rsid w:val="00E64D0C"/>
    <w:rsid w:val="00E64DC6"/>
    <w:rsid w:val="00E65BFA"/>
    <w:rsid w:val="00E6734B"/>
    <w:rsid w:val="00E677E4"/>
    <w:rsid w:val="00E7047A"/>
    <w:rsid w:val="00E712F1"/>
    <w:rsid w:val="00E7146E"/>
    <w:rsid w:val="00E714A4"/>
    <w:rsid w:val="00E7260A"/>
    <w:rsid w:val="00E73647"/>
    <w:rsid w:val="00E74C9F"/>
    <w:rsid w:val="00E75852"/>
    <w:rsid w:val="00E7620E"/>
    <w:rsid w:val="00E76775"/>
    <w:rsid w:val="00E77587"/>
    <w:rsid w:val="00E800F1"/>
    <w:rsid w:val="00E8175D"/>
    <w:rsid w:val="00E81ED6"/>
    <w:rsid w:val="00E820AC"/>
    <w:rsid w:val="00E8320A"/>
    <w:rsid w:val="00E83DA8"/>
    <w:rsid w:val="00E846EF"/>
    <w:rsid w:val="00E849C6"/>
    <w:rsid w:val="00E85081"/>
    <w:rsid w:val="00E86054"/>
    <w:rsid w:val="00E86B3A"/>
    <w:rsid w:val="00E87929"/>
    <w:rsid w:val="00E90FB3"/>
    <w:rsid w:val="00E912F4"/>
    <w:rsid w:val="00E91BE4"/>
    <w:rsid w:val="00E92646"/>
    <w:rsid w:val="00E94103"/>
    <w:rsid w:val="00E94765"/>
    <w:rsid w:val="00E969AD"/>
    <w:rsid w:val="00E97393"/>
    <w:rsid w:val="00E976F2"/>
    <w:rsid w:val="00EA024E"/>
    <w:rsid w:val="00EA2351"/>
    <w:rsid w:val="00EA24CC"/>
    <w:rsid w:val="00EA27F4"/>
    <w:rsid w:val="00EA311B"/>
    <w:rsid w:val="00EA35C3"/>
    <w:rsid w:val="00EA3CF7"/>
    <w:rsid w:val="00EA4A1C"/>
    <w:rsid w:val="00EA5504"/>
    <w:rsid w:val="00EA580F"/>
    <w:rsid w:val="00EA5E7D"/>
    <w:rsid w:val="00EA6253"/>
    <w:rsid w:val="00EA72BE"/>
    <w:rsid w:val="00EA7805"/>
    <w:rsid w:val="00EB02D7"/>
    <w:rsid w:val="00EB149C"/>
    <w:rsid w:val="00EB22FA"/>
    <w:rsid w:val="00EB2350"/>
    <w:rsid w:val="00EB26C1"/>
    <w:rsid w:val="00EB3C26"/>
    <w:rsid w:val="00EB60A7"/>
    <w:rsid w:val="00EB6C86"/>
    <w:rsid w:val="00EB7A61"/>
    <w:rsid w:val="00EB7F91"/>
    <w:rsid w:val="00EC0899"/>
    <w:rsid w:val="00EC0B40"/>
    <w:rsid w:val="00EC1926"/>
    <w:rsid w:val="00EC3396"/>
    <w:rsid w:val="00EC343D"/>
    <w:rsid w:val="00EC38AF"/>
    <w:rsid w:val="00ED0207"/>
    <w:rsid w:val="00ED0453"/>
    <w:rsid w:val="00ED0997"/>
    <w:rsid w:val="00ED222C"/>
    <w:rsid w:val="00ED22A9"/>
    <w:rsid w:val="00ED3531"/>
    <w:rsid w:val="00ED552A"/>
    <w:rsid w:val="00ED6972"/>
    <w:rsid w:val="00ED7B8C"/>
    <w:rsid w:val="00EE0062"/>
    <w:rsid w:val="00EE0ED7"/>
    <w:rsid w:val="00EE1112"/>
    <w:rsid w:val="00EE2D5E"/>
    <w:rsid w:val="00EE4346"/>
    <w:rsid w:val="00EE67DF"/>
    <w:rsid w:val="00EE69C6"/>
    <w:rsid w:val="00EE7134"/>
    <w:rsid w:val="00EE7C56"/>
    <w:rsid w:val="00EF017E"/>
    <w:rsid w:val="00EF03EC"/>
    <w:rsid w:val="00EF266B"/>
    <w:rsid w:val="00EF35D8"/>
    <w:rsid w:val="00EF412C"/>
    <w:rsid w:val="00EF4945"/>
    <w:rsid w:val="00EF578E"/>
    <w:rsid w:val="00EF6990"/>
    <w:rsid w:val="00EF6F55"/>
    <w:rsid w:val="00F00B64"/>
    <w:rsid w:val="00F0267F"/>
    <w:rsid w:val="00F02956"/>
    <w:rsid w:val="00F0330D"/>
    <w:rsid w:val="00F03644"/>
    <w:rsid w:val="00F03BC9"/>
    <w:rsid w:val="00F04BA9"/>
    <w:rsid w:val="00F04BF7"/>
    <w:rsid w:val="00F07708"/>
    <w:rsid w:val="00F07A01"/>
    <w:rsid w:val="00F07BBC"/>
    <w:rsid w:val="00F106F8"/>
    <w:rsid w:val="00F12692"/>
    <w:rsid w:val="00F14DA1"/>
    <w:rsid w:val="00F15B9A"/>
    <w:rsid w:val="00F16801"/>
    <w:rsid w:val="00F2040D"/>
    <w:rsid w:val="00F22C1B"/>
    <w:rsid w:val="00F23855"/>
    <w:rsid w:val="00F239D0"/>
    <w:rsid w:val="00F24219"/>
    <w:rsid w:val="00F254C3"/>
    <w:rsid w:val="00F2672C"/>
    <w:rsid w:val="00F27D73"/>
    <w:rsid w:val="00F301BA"/>
    <w:rsid w:val="00F315B0"/>
    <w:rsid w:val="00F317DC"/>
    <w:rsid w:val="00F3542E"/>
    <w:rsid w:val="00F36B6F"/>
    <w:rsid w:val="00F3718C"/>
    <w:rsid w:val="00F37F8D"/>
    <w:rsid w:val="00F42FE4"/>
    <w:rsid w:val="00F43667"/>
    <w:rsid w:val="00F43914"/>
    <w:rsid w:val="00F4464E"/>
    <w:rsid w:val="00F44A6B"/>
    <w:rsid w:val="00F451BF"/>
    <w:rsid w:val="00F46324"/>
    <w:rsid w:val="00F46D1B"/>
    <w:rsid w:val="00F4719F"/>
    <w:rsid w:val="00F47672"/>
    <w:rsid w:val="00F5009E"/>
    <w:rsid w:val="00F50F59"/>
    <w:rsid w:val="00F52ABC"/>
    <w:rsid w:val="00F52D31"/>
    <w:rsid w:val="00F5353D"/>
    <w:rsid w:val="00F53ADA"/>
    <w:rsid w:val="00F53BDC"/>
    <w:rsid w:val="00F54867"/>
    <w:rsid w:val="00F54BCF"/>
    <w:rsid w:val="00F56B85"/>
    <w:rsid w:val="00F57EE0"/>
    <w:rsid w:val="00F60512"/>
    <w:rsid w:val="00F60609"/>
    <w:rsid w:val="00F6215B"/>
    <w:rsid w:val="00F64D83"/>
    <w:rsid w:val="00F65E54"/>
    <w:rsid w:val="00F662D9"/>
    <w:rsid w:val="00F66AA8"/>
    <w:rsid w:val="00F67649"/>
    <w:rsid w:val="00F67688"/>
    <w:rsid w:val="00F67E1D"/>
    <w:rsid w:val="00F700E0"/>
    <w:rsid w:val="00F7290C"/>
    <w:rsid w:val="00F731F3"/>
    <w:rsid w:val="00F74D72"/>
    <w:rsid w:val="00F74EE7"/>
    <w:rsid w:val="00F75242"/>
    <w:rsid w:val="00F75500"/>
    <w:rsid w:val="00F80DD7"/>
    <w:rsid w:val="00F822C5"/>
    <w:rsid w:val="00F82B8D"/>
    <w:rsid w:val="00F84131"/>
    <w:rsid w:val="00F845B5"/>
    <w:rsid w:val="00F8486C"/>
    <w:rsid w:val="00F852DC"/>
    <w:rsid w:val="00F85EEC"/>
    <w:rsid w:val="00F90542"/>
    <w:rsid w:val="00F90DFC"/>
    <w:rsid w:val="00F91585"/>
    <w:rsid w:val="00F91B91"/>
    <w:rsid w:val="00F91DE0"/>
    <w:rsid w:val="00F92D26"/>
    <w:rsid w:val="00F954CE"/>
    <w:rsid w:val="00F955E8"/>
    <w:rsid w:val="00F95E50"/>
    <w:rsid w:val="00F97075"/>
    <w:rsid w:val="00F97D34"/>
    <w:rsid w:val="00FA03EC"/>
    <w:rsid w:val="00FA21C1"/>
    <w:rsid w:val="00FA226B"/>
    <w:rsid w:val="00FA3C7B"/>
    <w:rsid w:val="00FA43F9"/>
    <w:rsid w:val="00FA73B6"/>
    <w:rsid w:val="00FA7E30"/>
    <w:rsid w:val="00FB11F7"/>
    <w:rsid w:val="00FB2EC5"/>
    <w:rsid w:val="00FB3167"/>
    <w:rsid w:val="00FB43AA"/>
    <w:rsid w:val="00FB46BE"/>
    <w:rsid w:val="00FB498B"/>
    <w:rsid w:val="00FB4E9B"/>
    <w:rsid w:val="00FB775B"/>
    <w:rsid w:val="00FB7ED1"/>
    <w:rsid w:val="00FB7F0B"/>
    <w:rsid w:val="00FC1AD5"/>
    <w:rsid w:val="00FC24F5"/>
    <w:rsid w:val="00FC2B3B"/>
    <w:rsid w:val="00FC309C"/>
    <w:rsid w:val="00FC3521"/>
    <w:rsid w:val="00FC4DB8"/>
    <w:rsid w:val="00FC4E25"/>
    <w:rsid w:val="00FC4F87"/>
    <w:rsid w:val="00FC5429"/>
    <w:rsid w:val="00FC5B16"/>
    <w:rsid w:val="00FC62D9"/>
    <w:rsid w:val="00FC720A"/>
    <w:rsid w:val="00FD000A"/>
    <w:rsid w:val="00FD21A6"/>
    <w:rsid w:val="00FD2A1B"/>
    <w:rsid w:val="00FD2A26"/>
    <w:rsid w:val="00FD2B01"/>
    <w:rsid w:val="00FD2E1E"/>
    <w:rsid w:val="00FD47F3"/>
    <w:rsid w:val="00FD52AF"/>
    <w:rsid w:val="00FD6494"/>
    <w:rsid w:val="00FD6C81"/>
    <w:rsid w:val="00FD7F7F"/>
    <w:rsid w:val="00FE17A7"/>
    <w:rsid w:val="00FE1C5C"/>
    <w:rsid w:val="00FE2661"/>
    <w:rsid w:val="00FE2F69"/>
    <w:rsid w:val="00FE3CC0"/>
    <w:rsid w:val="00FE5317"/>
    <w:rsid w:val="00FE6D03"/>
    <w:rsid w:val="00FE7FE4"/>
    <w:rsid w:val="00FF0896"/>
    <w:rsid w:val="00FF24EC"/>
    <w:rsid w:val="00FF2AB8"/>
    <w:rsid w:val="00FF30CE"/>
    <w:rsid w:val="00FF47B3"/>
    <w:rsid w:val="00FF4D33"/>
    <w:rsid w:val="00FF50B7"/>
    <w:rsid w:val="00FF62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10DD48"/>
  <w15:docId w15:val="{98C22F41-39A4-4355-8803-4E20E336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976"/>
    <w:rPr>
      <w:rFonts w:ascii="Arial" w:hAnsi="Arial" w:cs="Arial"/>
      <w:sz w:val="22"/>
      <w:szCs w:val="24"/>
      <w:lang w:val="en-GB" w:eastAsia="en-US"/>
    </w:rPr>
  </w:style>
  <w:style w:type="paragraph" w:styleId="Heading1">
    <w:name w:val="heading 1"/>
    <w:basedOn w:val="Normal"/>
    <w:next w:val="Normal"/>
    <w:qFormat/>
    <w:pPr>
      <w:keepNext/>
      <w:tabs>
        <w:tab w:val="left" w:pos="1980"/>
        <w:tab w:val="decimal" w:leader="dot" w:pos="8460"/>
      </w:tabs>
      <w:ind w:left="1980" w:hanging="2340"/>
      <w:outlineLvl w:val="0"/>
    </w:pPr>
    <w:rPr>
      <w:rFonts w:ascii="Times New Roman" w:hAnsi="Times New Roman" w:cs="Times New Roman"/>
      <w:b/>
      <w:szCs w:val="20"/>
    </w:rPr>
  </w:style>
  <w:style w:type="paragraph" w:styleId="Heading2">
    <w:name w:val="heading 2"/>
    <w:basedOn w:val="Normal"/>
    <w:next w:val="Normal"/>
    <w:qFormat/>
    <w:pPr>
      <w:keepNext/>
      <w:spacing w:after="60" w:line="240" w:lineRule="exact"/>
      <w:ind w:left="680"/>
      <w:jc w:val="both"/>
      <w:outlineLvl w:val="1"/>
    </w:pPr>
    <w:rPr>
      <w:b/>
      <w:bCs/>
      <w:iCs/>
      <w:sz w:val="20"/>
    </w:rPr>
  </w:style>
  <w:style w:type="paragraph" w:styleId="Heading3">
    <w:name w:val="heading 3"/>
    <w:basedOn w:val="Normal"/>
    <w:next w:val="Normal"/>
    <w:qFormat/>
    <w:pPr>
      <w:keepNext/>
      <w:spacing w:after="60" w:line="240" w:lineRule="exact"/>
      <w:ind w:left="680"/>
      <w:jc w:val="both"/>
      <w:outlineLvl w:val="2"/>
    </w:pPr>
    <w:rPr>
      <w:b/>
      <w:bCs/>
      <w:i/>
      <w:sz w:val="20"/>
    </w:rPr>
  </w:style>
  <w:style w:type="paragraph" w:styleId="Heading4">
    <w:name w:val="heading 4"/>
    <w:basedOn w:val="Normal"/>
    <w:next w:val="Normal"/>
    <w:qFormat/>
    <w:pPr>
      <w:keepNext/>
      <w:tabs>
        <w:tab w:val="left" w:pos="-330"/>
        <w:tab w:val="left" w:pos="0"/>
        <w:tab w:val="left" w:pos="769"/>
        <w:tab w:val="left" w:pos="1129"/>
        <w:tab w:val="left" w:pos="1489"/>
        <w:tab w:val="left" w:pos="1849"/>
        <w:tab w:val="left" w:pos="2880"/>
      </w:tabs>
      <w:jc w:val="center"/>
      <w:outlineLvl w:val="3"/>
    </w:pPr>
    <w:rPr>
      <w:rFonts w:ascii="Times New Roman" w:hAnsi="Times New Roman" w:cs="Times New Roman"/>
      <w:b/>
      <w:szCs w:val="20"/>
    </w:rPr>
  </w:style>
  <w:style w:type="paragraph" w:styleId="Heading5">
    <w:name w:val="heading 5"/>
    <w:basedOn w:val="Normal"/>
    <w:next w:val="Normal"/>
    <w:qFormat/>
    <w:pPr>
      <w:keepNext/>
      <w:spacing w:after="60" w:line="240" w:lineRule="exact"/>
      <w:ind w:left="680"/>
      <w:jc w:val="both"/>
      <w:outlineLvl w:val="4"/>
    </w:pPr>
    <w:rPr>
      <w:i/>
      <w:sz w:val="72"/>
    </w:rPr>
  </w:style>
  <w:style w:type="paragraph" w:styleId="Heading6">
    <w:name w:val="heading 6"/>
    <w:basedOn w:val="Normal"/>
    <w:next w:val="Normal"/>
    <w:qFormat/>
    <w:pPr>
      <w:keepNext/>
      <w:tabs>
        <w:tab w:val="left" w:pos="0"/>
        <w:tab w:val="left" w:pos="360"/>
        <w:tab w:val="left" w:pos="720"/>
        <w:tab w:val="left" w:pos="1617"/>
        <w:tab w:val="left" w:pos="2337"/>
        <w:tab w:val="left" w:pos="3057"/>
        <w:tab w:val="left" w:pos="3777"/>
        <w:tab w:val="left" w:pos="4497"/>
        <w:tab w:val="left" w:pos="5217"/>
        <w:tab w:val="left" w:pos="5937"/>
        <w:tab w:val="left" w:pos="6657"/>
        <w:tab w:val="left" w:pos="7377"/>
        <w:tab w:val="left" w:pos="8097"/>
        <w:tab w:val="left" w:pos="8817"/>
        <w:tab w:val="left" w:pos="9537"/>
      </w:tabs>
      <w:spacing w:after="96"/>
      <w:jc w:val="both"/>
      <w:outlineLvl w:val="5"/>
    </w:pPr>
    <w:rPr>
      <w:rFonts w:ascii="Times New Roman" w:hAnsi="Times New Roman" w:cs="Times New Roman"/>
      <w:b/>
      <w:sz w:val="30"/>
      <w:szCs w:val="20"/>
    </w:rPr>
  </w:style>
  <w:style w:type="paragraph" w:styleId="Heading7">
    <w:name w:val="heading 7"/>
    <w:basedOn w:val="Normal"/>
    <w:next w:val="Normal"/>
    <w:qFormat/>
    <w:pPr>
      <w:keepNext/>
      <w:tabs>
        <w:tab w:val="left" w:pos="680"/>
      </w:tabs>
      <w:spacing w:line="240" w:lineRule="exact"/>
      <w:ind w:left="1080"/>
      <w:jc w:val="both"/>
      <w:outlineLvl w:val="6"/>
    </w:pPr>
    <w:rPr>
      <w:rFonts w:ascii="Times New Roman" w:hAnsi="Times New Roman"/>
      <w:b/>
      <w:bCs/>
      <w:sz w:val="20"/>
    </w:rPr>
  </w:style>
  <w:style w:type="paragraph" w:styleId="Heading8">
    <w:name w:val="heading 8"/>
    <w:basedOn w:val="Normal"/>
    <w:next w:val="Normal"/>
    <w:qFormat/>
    <w:pPr>
      <w:keepNext/>
      <w:widowControl w:val="0"/>
      <w:tabs>
        <w:tab w:val="left" w:pos="1080"/>
        <w:tab w:val="left" w:pos="1800"/>
        <w:tab w:val="left" w:pos="2520"/>
        <w:tab w:val="left" w:pos="3240"/>
        <w:tab w:val="left" w:pos="3960"/>
        <w:tab w:val="left" w:pos="4680"/>
        <w:tab w:val="left" w:pos="5400"/>
        <w:tab w:val="left" w:pos="6120"/>
        <w:tab w:val="left" w:pos="6930"/>
        <w:tab w:val="left" w:pos="7560"/>
        <w:tab w:val="left" w:pos="8280"/>
        <w:tab w:val="left" w:pos="9000"/>
      </w:tabs>
      <w:ind w:left="1080" w:hanging="654"/>
      <w:outlineLvl w:val="7"/>
    </w:pPr>
    <w:rPr>
      <w:rFonts w:ascii="Times New Roman" w:hAnsi="Times New Roman" w:cs="Times New Roman"/>
      <w:b/>
      <w:snapToGrid w:val="0"/>
      <w:szCs w:val="20"/>
    </w:rPr>
  </w:style>
  <w:style w:type="paragraph" w:styleId="Heading9">
    <w:name w:val="heading 9"/>
    <w:basedOn w:val="Normal"/>
    <w:next w:val="Normal"/>
    <w:qFormat/>
    <w:pPr>
      <w:keepNext/>
      <w:spacing w:before="40" w:after="120" w:line="240" w:lineRule="exact"/>
      <w:ind w:left="567"/>
      <w:outlineLvl w:val="8"/>
    </w:pPr>
    <w:rPr>
      <w:rFonts w:ascii="Century Gothic" w:hAnsi="Century Gothic"/>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imes New Roman"/>
      <w:sz w:val="24"/>
      <w:szCs w:val="20"/>
    </w:rPr>
  </w:style>
  <w:style w:type="paragraph" w:styleId="Caption">
    <w:name w:val="caption"/>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34"/>
      <w:jc w:val="both"/>
    </w:pPr>
    <w:rPr>
      <w:rFonts w:ascii="Times New Roman" w:hAnsi="Times New Roman" w:cs="Times New Roman"/>
      <w:b/>
      <w:sz w:val="24"/>
      <w:szCs w:val="20"/>
    </w:rPr>
  </w:style>
  <w:style w:type="paragraph" w:styleId="BodyText">
    <w:name w:val="Body Text"/>
    <w:basedOn w:val="Normal"/>
    <w:pPr>
      <w:tabs>
        <w:tab w:val="left" w:pos="0"/>
        <w:tab w:val="decimal" w:leader="hyphen" w:pos="8823"/>
        <w:tab w:val="left" w:pos="9360"/>
      </w:tabs>
      <w:spacing w:before="60" w:after="58"/>
    </w:pPr>
    <w:rPr>
      <w:rFonts w:ascii="Times New Roman" w:hAnsi="Times New Roman" w:cs="Times New Roman"/>
      <w:b/>
      <w:bCs/>
      <w:sz w:val="24"/>
      <w:szCs w:val="20"/>
    </w:rPr>
  </w:style>
  <w:style w:type="paragraph" w:styleId="Footer">
    <w:name w:val="footer"/>
    <w:basedOn w:val="Normal"/>
    <w:link w:val="FooterChar"/>
    <w:uiPriority w:val="99"/>
    <w:pPr>
      <w:widowControl w:val="0"/>
      <w:tabs>
        <w:tab w:val="center" w:pos="4320"/>
        <w:tab w:val="right" w:pos="8640"/>
      </w:tabs>
    </w:pPr>
    <w:rPr>
      <w:rFonts w:ascii="Times New Roman" w:hAnsi="Times New Roman" w:cs="Times New Roman"/>
      <w:snapToGrid w:val="0"/>
      <w:sz w:val="24"/>
      <w:szCs w:val="20"/>
    </w:rPr>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440"/>
        <w:tab w:val="left" w:pos="2970"/>
        <w:tab w:val="left" w:pos="5760"/>
      </w:tabs>
      <w:spacing w:after="82"/>
      <w:ind w:left="720"/>
      <w:jc w:val="both"/>
    </w:pPr>
    <w:rPr>
      <w:rFonts w:ascii="Times New Roman" w:hAnsi="Times New Roman" w:cs="Times New Roman"/>
      <w:szCs w:val="20"/>
    </w:rPr>
  </w:style>
  <w:style w:type="paragraph" w:styleId="Header">
    <w:name w:val="header"/>
    <w:basedOn w:val="Normal"/>
    <w:link w:val="HeaderChar"/>
    <w:pPr>
      <w:tabs>
        <w:tab w:val="center" w:pos="4320"/>
        <w:tab w:val="right" w:pos="8640"/>
      </w:tabs>
    </w:pPr>
    <w:rPr>
      <w:rFonts w:ascii="Times New Roman" w:hAnsi="Times New Roman" w:cs="Times New Roman"/>
      <w:sz w:val="24"/>
      <w:szCs w:val="20"/>
    </w:rPr>
  </w:style>
  <w:style w:type="character" w:styleId="PageNumber">
    <w:name w:val="page number"/>
    <w:basedOn w:val="DefaultParagraphFont"/>
  </w:style>
  <w:style w:type="paragraph" w:styleId="BodyTextIndent2">
    <w:name w:val="Body Text Indent 2"/>
    <w:basedOn w:val="Normal"/>
    <w:pPr>
      <w:tabs>
        <w:tab w:val="left" w:pos="680"/>
        <w:tab w:val="left" w:pos="1361"/>
      </w:tabs>
      <w:spacing w:after="120" w:line="240" w:lineRule="exact"/>
      <w:ind w:left="680"/>
      <w:jc w:val="both"/>
    </w:pPr>
    <w:rPr>
      <w:b/>
      <w:bCs/>
      <w:sz w:val="20"/>
    </w:rPr>
  </w:style>
  <w:style w:type="paragraph" w:styleId="BodyTextIndent3">
    <w:name w:val="Body Text Indent 3"/>
    <w:basedOn w:val="Normal"/>
    <w:pPr>
      <w:spacing w:line="240" w:lineRule="exact"/>
      <w:ind w:left="720" w:hanging="720"/>
      <w:jc w:val="both"/>
    </w:pPr>
    <w:rPr>
      <w:bCs/>
      <w:sz w:val="20"/>
    </w:rPr>
  </w:style>
  <w:style w:type="paragraph" w:styleId="BodyText2">
    <w:name w:val="Body Text 2"/>
    <w:basedOn w:val="Normal"/>
    <w:pPr>
      <w:spacing w:before="40" w:after="120" w:line="240" w:lineRule="exact"/>
    </w:pPr>
    <w:rPr>
      <w:b/>
      <w:bCs/>
      <w:iCs/>
      <w:sz w:val="20"/>
    </w:rPr>
  </w:style>
  <w:style w:type="paragraph" w:styleId="BodyText3">
    <w:name w:val="Body Text 3"/>
    <w:basedOn w:val="Normal"/>
    <w:pPr>
      <w:spacing w:line="240" w:lineRule="exact"/>
      <w:jc w:val="both"/>
    </w:pPr>
    <w:rPr>
      <w:sz w:val="20"/>
    </w:rPr>
  </w:style>
  <w:style w:type="character" w:styleId="Hyperlink">
    <w:name w:val="Hyperlink"/>
    <w:rPr>
      <w:color w:val="0000FF"/>
      <w:u w:val="single"/>
    </w:rPr>
  </w:style>
  <w:style w:type="paragraph" w:styleId="Index1">
    <w:name w:val="index 1"/>
    <w:basedOn w:val="Normal"/>
    <w:next w:val="Normal"/>
    <w:autoRedefine/>
    <w:semiHidden/>
    <w:pPr>
      <w:ind w:left="220" w:hanging="220"/>
    </w:pPr>
  </w:style>
  <w:style w:type="character" w:styleId="FollowedHyperlink">
    <w:name w:val="FollowedHyperlink"/>
    <w:rPr>
      <w:color w:val="800080"/>
      <w:u w:val="single"/>
    </w:rPr>
  </w:style>
  <w:style w:type="paragraph" w:customStyle="1" w:styleId="DefinitionTerm">
    <w:name w:val="Definition Term"/>
    <w:basedOn w:val="Normal"/>
    <w:next w:val="Normal"/>
    <w:rPr>
      <w:rFonts w:ascii="Arial Narrow" w:hAnsi="Arial Narrow" w:cs="Times New Roman"/>
      <w:snapToGrid w:val="0"/>
      <w:sz w:val="20"/>
      <w:szCs w:val="20"/>
      <w:lang w:val="en-ZA"/>
    </w:rPr>
  </w:style>
  <w:style w:type="paragraph" w:customStyle="1" w:styleId="H4">
    <w:name w:val="H4"/>
    <w:basedOn w:val="Normal"/>
    <w:next w:val="Normal"/>
    <w:pPr>
      <w:keepNext/>
      <w:spacing w:before="100" w:after="100"/>
      <w:outlineLvl w:val="4"/>
    </w:pPr>
    <w:rPr>
      <w:rFonts w:ascii="Arial Narrow" w:hAnsi="Arial Narrow" w:cs="Times New Roman"/>
      <w:b/>
      <w:snapToGrid w:val="0"/>
      <w:sz w:val="20"/>
      <w:szCs w:val="20"/>
      <w:lang w:val="en-ZA"/>
    </w:rPr>
  </w:style>
  <w:style w:type="paragraph" w:styleId="Title">
    <w:name w:val="Title"/>
    <w:basedOn w:val="Normal"/>
    <w:qFormat/>
    <w:pPr>
      <w:jc w:val="center"/>
    </w:pPr>
    <w:rPr>
      <w:b/>
      <w:bCs/>
      <w:sz w:val="20"/>
      <w:u w:val="single"/>
    </w:rPr>
  </w:style>
  <w:style w:type="paragraph" w:styleId="Subtitle">
    <w:name w:val="Subtitle"/>
    <w:basedOn w:val="Normal"/>
    <w:qFormat/>
    <w:rPr>
      <w:b/>
      <w:bCs/>
      <w:i/>
      <w:iCs/>
      <w:sz w:val="20"/>
      <w:u w:val="single"/>
    </w:rPr>
  </w:style>
  <w:style w:type="table" w:styleId="TableGrid">
    <w:name w:val="Table Grid"/>
    <w:basedOn w:val="TableNormal"/>
    <w:uiPriority w:val="59"/>
    <w:rsid w:val="0070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NBrief">
    <w:name w:val="KNBrief"/>
    <w:basedOn w:val="Normal"/>
    <w:rsid w:val="00FC2B3B"/>
    <w:pPr>
      <w:autoSpaceDE w:val="0"/>
      <w:autoSpaceDN w:val="0"/>
      <w:ind w:left="567" w:right="284"/>
    </w:pPr>
    <w:rPr>
      <w:rFonts w:ascii="Courier" w:eastAsia="SimSun" w:hAnsi="Courier" w:cs="Courier"/>
      <w:snapToGrid w:val="0"/>
      <w:sz w:val="24"/>
      <w:lang w:val="de-DE" w:eastAsia="de-DE"/>
    </w:rPr>
  </w:style>
  <w:style w:type="paragraph" w:customStyle="1" w:styleId="knZulassung02">
    <w:name w:val="knZulassung02"/>
    <w:basedOn w:val="Normal"/>
    <w:rsid w:val="00FC2B3B"/>
    <w:pPr>
      <w:ind w:left="1843" w:right="284"/>
    </w:pPr>
    <w:rPr>
      <w:rFonts w:ascii="Courier" w:eastAsia="SimSun" w:hAnsi="Courier" w:cs="Courier"/>
      <w:snapToGrid w:val="0"/>
      <w:sz w:val="24"/>
      <w:lang w:val="de-DE" w:eastAsia="de-DE"/>
    </w:rPr>
  </w:style>
  <w:style w:type="paragraph" w:customStyle="1" w:styleId="knZulassung01">
    <w:name w:val="knZulassung01"/>
    <w:basedOn w:val="Normal"/>
    <w:rsid w:val="00427733"/>
    <w:pPr>
      <w:tabs>
        <w:tab w:val="left" w:pos="567"/>
      </w:tabs>
      <w:autoSpaceDE w:val="0"/>
      <w:autoSpaceDN w:val="0"/>
      <w:ind w:left="1843" w:right="284" w:hanging="1843"/>
    </w:pPr>
    <w:rPr>
      <w:rFonts w:ascii="Courier" w:eastAsia="SimSun" w:hAnsi="Courier" w:cs="Courier"/>
      <w:snapToGrid w:val="0"/>
      <w:sz w:val="24"/>
      <w:lang w:val="de-DE" w:eastAsia="de-DE"/>
    </w:rPr>
  </w:style>
  <w:style w:type="paragraph" w:customStyle="1" w:styleId="knZulassung03">
    <w:name w:val="knZulassung03"/>
    <w:basedOn w:val="KNBrief"/>
    <w:rsid w:val="00500029"/>
    <w:pPr>
      <w:ind w:left="2269" w:hanging="426"/>
    </w:pPr>
  </w:style>
  <w:style w:type="paragraph" w:customStyle="1" w:styleId="norm1">
    <w:name w:val="norm1"/>
    <w:basedOn w:val="Normal"/>
    <w:rsid w:val="00001633"/>
    <w:pPr>
      <w:tabs>
        <w:tab w:val="left" w:pos="454"/>
      </w:tabs>
      <w:autoSpaceDE w:val="0"/>
      <w:autoSpaceDN w:val="0"/>
      <w:adjustRightInd w:val="0"/>
      <w:spacing w:line="360" w:lineRule="auto"/>
      <w:ind w:left="454" w:hanging="454"/>
      <w:jc w:val="both"/>
    </w:pPr>
    <w:rPr>
      <w:sz w:val="20"/>
      <w:szCs w:val="20"/>
    </w:rPr>
  </w:style>
  <w:style w:type="paragraph" w:customStyle="1" w:styleId="DefaultText">
    <w:name w:val="Default Text"/>
    <w:basedOn w:val="Normal"/>
    <w:rsid w:val="00001633"/>
    <w:rPr>
      <w:rFonts w:cs="Times New Roman"/>
      <w:sz w:val="20"/>
      <w:szCs w:val="20"/>
    </w:rPr>
  </w:style>
  <w:style w:type="paragraph" w:customStyle="1" w:styleId="A-Single">
    <w:name w:val="A-Single"/>
    <w:rsid w:val="002B1417"/>
    <w:rPr>
      <w:sz w:val="24"/>
      <w:lang w:val="en-GB" w:eastAsia="en-US"/>
    </w:rPr>
  </w:style>
  <w:style w:type="paragraph" w:customStyle="1" w:styleId="A-Unassigned">
    <w:name w:val="A-Unassigned"/>
    <w:next w:val="Normal"/>
    <w:rsid w:val="002B1417"/>
    <w:pPr>
      <w:keepNext/>
      <w:spacing w:before="120" w:after="120"/>
    </w:pPr>
    <w:rPr>
      <w:b/>
      <w:sz w:val="24"/>
      <w:lang w:val="en-GB" w:eastAsia="en-US"/>
    </w:rPr>
  </w:style>
  <w:style w:type="character" w:customStyle="1" w:styleId="HeaderChar">
    <w:name w:val="Header Char"/>
    <w:link w:val="Header"/>
    <w:rsid w:val="00894784"/>
    <w:rPr>
      <w:sz w:val="24"/>
      <w:lang w:val="en-GB" w:eastAsia="en-US"/>
    </w:rPr>
  </w:style>
  <w:style w:type="character" w:customStyle="1" w:styleId="FooterChar">
    <w:name w:val="Footer Char"/>
    <w:link w:val="Footer"/>
    <w:uiPriority w:val="99"/>
    <w:rsid w:val="00C06198"/>
    <w:rPr>
      <w:snapToGrid w:val="0"/>
      <w:sz w:val="24"/>
      <w:lang w:val="en-GB" w:eastAsia="en-US"/>
    </w:rPr>
  </w:style>
  <w:style w:type="paragraph" w:customStyle="1" w:styleId="Default">
    <w:name w:val="Default"/>
    <w:rsid w:val="0034461C"/>
    <w:pPr>
      <w:autoSpaceDE w:val="0"/>
      <w:autoSpaceDN w:val="0"/>
      <w:adjustRightInd w:val="0"/>
    </w:pPr>
    <w:rPr>
      <w:rFonts w:ascii="Arial" w:hAnsi="Arial" w:cs="Arial"/>
      <w:color w:val="000000"/>
      <w:sz w:val="24"/>
      <w:szCs w:val="24"/>
    </w:rPr>
  </w:style>
  <w:style w:type="paragraph" w:customStyle="1" w:styleId="H5">
    <w:name w:val="H5"/>
    <w:basedOn w:val="Normal"/>
    <w:next w:val="Normal"/>
    <w:rsid w:val="002E3B83"/>
    <w:pPr>
      <w:keepNext/>
      <w:spacing w:before="100" w:after="100"/>
      <w:outlineLvl w:val="5"/>
    </w:pPr>
    <w:rPr>
      <w:rFonts w:ascii="Arial Narrow" w:hAnsi="Arial Narrow" w:cs="Times New Roman"/>
      <w:b/>
      <w:snapToGrid w:val="0"/>
      <w:sz w:val="20"/>
      <w:szCs w:val="20"/>
      <w:lang w:val="en-ZA"/>
    </w:rPr>
  </w:style>
  <w:style w:type="paragraph" w:customStyle="1" w:styleId="Style">
    <w:name w:val="Style"/>
    <w:rsid w:val="00391BBA"/>
    <w:pPr>
      <w:widowControl w:val="0"/>
      <w:autoSpaceDE w:val="0"/>
      <w:autoSpaceDN w:val="0"/>
      <w:adjustRightInd w:val="0"/>
    </w:pPr>
    <w:rPr>
      <w:rFonts w:ascii="Arial" w:hAnsi="Arial" w:cs="Arial"/>
      <w:sz w:val="24"/>
      <w:szCs w:val="24"/>
      <w:lang w:val="pt-PT" w:eastAsia="pt-PT"/>
    </w:rPr>
  </w:style>
  <w:style w:type="character" w:styleId="CommentReference">
    <w:name w:val="annotation reference"/>
    <w:rsid w:val="00B976B3"/>
    <w:rPr>
      <w:sz w:val="16"/>
      <w:szCs w:val="16"/>
    </w:rPr>
  </w:style>
  <w:style w:type="paragraph" w:styleId="CommentText">
    <w:name w:val="annotation text"/>
    <w:basedOn w:val="Normal"/>
    <w:link w:val="CommentTextChar"/>
    <w:rsid w:val="00B976B3"/>
    <w:rPr>
      <w:rFonts w:cs="Times New Roman"/>
      <w:sz w:val="20"/>
      <w:szCs w:val="20"/>
      <w:lang w:val="x-none" w:eastAsia="x-none"/>
    </w:rPr>
  </w:style>
  <w:style w:type="character" w:customStyle="1" w:styleId="CommentTextChar">
    <w:name w:val="Comment Text Char"/>
    <w:link w:val="CommentText"/>
    <w:rsid w:val="00B976B3"/>
    <w:rPr>
      <w:rFonts w:ascii="Arial" w:hAnsi="Arial" w:cs="Arial"/>
    </w:rPr>
  </w:style>
  <w:style w:type="paragraph" w:styleId="CommentSubject">
    <w:name w:val="annotation subject"/>
    <w:basedOn w:val="CommentText"/>
    <w:next w:val="CommentText"/>
    <w:link w:val="CommentSubjectChar"/>
    <w:rsid w:val="00B976B3"/>
    <w:rPr>
      <w:b/>
      <w:bCs/>
    </w:rPr>
  </w:style>
  <w:style w:type="character" w:customStyle="1" w:styleId="CommentSubjectChar">
    <w:name w:val="Comment Subject Char"/>
    <w:link w:val="CommentSubject"/>
    <w:rsid w:val="00B976B3"/>
    <w:rPr>
      <w:rFonts w:ascii="Arial" w:hAnsi="Arial" w:cs="Arial"/>
      <w:b/>
      <w:bCs/>
    </w:rPr>
  </w:style>
  <w:style w:type="paragraph" w:styleId="BalloonText">
    <w:name w:val="Balloon Text"/>
    <w:basedOn w:val="Normal"/>
    <w:link w:val="BalloonTextChar"/>
    <w:rsid w:val="00B976B3"/>
    <w:rPr>
      <w:rFonts w:ascii="Tahoma" w:hAnsi="Tahoma" w:cs="Times New Roman"/>
      <w:sz w:val="16"/>
      <w:szCs w:val="16"/>
      <w:lang w:val="x-none" w:eastAsia="x-none"/>
    </w:rPr>
  </w:style>
  <w:style w:type="character" w:customStyle="1" w:styleId="BalloonTextChar">
    <w:name w:val="Balloon Text Char"/>
    <w:link w:val="BalloonText"/>
    <w:rsid w:val="00B976B3"/>
    <w:rPr>
      <w:rFonts w:ascii="Tahoma" w:hAnsi="Tahoma" w:cs="Tahoma"/>
      <w:sz w:val="16"/>
      <w:szCs w:val="16"/>
    </w:rPr>
  </w:style>
  <w:style w:type="paragraph" w:styleId="ListParagraph">
    <w:name w:val="List Paragraph"/>
    <w:basedOn w:val="Normal"/>
    <w:uiPriority w:val="34"/>
    <w:qFormat/>
    <w:rsid w:val="003773F7"/>
    <w:pPr>
      <w:ind w:left="720"/>
    </w:pPr>
    <w:rPr>
      <w:rFonts w:ascii="Calibri" w:eastAsia="Calibri" w:hAnsi="Calibri" w:cs="Times New Roman"/>
      <w:szCs w:val="22"/>
      <w:lang w:val="en-ZA"/>
    </w:rPr>
  </w:style>
  <w:style w:type="paragraph" w:styleId="Revision">
    <w:name w:val="Revision"/>
    <w:hidden/>
    <w:uiPriority w:val="99"/>
    <w:semiHidden/>
    <w:rsid w:val="00220221"/>
    <w:rPr>
      <w:rFonts w:ascii="Arial" w:hAnsi="Arial" w:cs="Arial"/>
      <w:sz w:val="22"/>
      <w:szCs w:val="24"/>
      <w:lang w:val="en-US" w:eastAsia="en-US"/>
    </w:rPr>
  </w:style>
  <w:style w:type="table" w:customStyle="1" w:styleId="TableGrid0">
    <w:name w:val="TableGrid"/>
    <w:rsid w:val="00533D3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LineNumber">
    <w:name w:val="line number"/>
    <w:basedOn w:val="DefaultParagraphFont"/>
    <w:semiHidden/>
    <w:unhideWhenUsed/>
    <w:rsid w:val="00FC24F5"/>
  </w:style>
  <w:style w:type="character" w:customStyle="1" w:styleId="fontstyle01">
    <w:name w:val="fontstyle01"/>
    <w:basedOn w:val="DefaultParagraphFont"/>
    <w:rsid w:val="002F689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364516"/>
    <w:rPr>
      <w:rFonts w:ascii="Arial" w:hAnsi="Arial" w:cs="Arial" w:hint="default"/>
      <w:b w:val="0"/>
      <w:bCs w:val="0"/>
      <w:i w:val="0"/>
      <w:iCs w:val="0"/>
      <w:color w:val="000000"/>
      <w:sz w:val="22"/>
      <w:szCs w:val="22"/>
    </w:rPr>
  </w:style>
  <w:style w:type="character" w:customStyle="1" w:styleId="fontstyle11">
    <w:name w:val="fontstyle11"/>
    <w:basedOn w:val="DefaultParagraphFont"/>
    <w:rsid w:val="006925ED"/>
    <w:rPr>
      <w:rFonts w:ascii="Arial" w:hAnsi="Arial" w:cs="Arial" w:hint="default"/>
      <w:b w:val="0"/>
      <w:bCs w:val="0"/>
      <w:i w:val="0"/>
      <w:iCs w:val="0"/>
      <w:color w:val="000000"/>
      <w:sz w:val="22"/>
      <w:szCs w:val="22"/>
    </w:rPr>
  </w:style>
  <w:style w:type="paragraph" w:styleId="PlainText">
    <w:name w:val="Plain Text"/>
    <w:basedOn w:val="Normal"/>
    <w:link w:val="PlainTextChar"/>
    <w:uiPriority w:val="99"/>
    <w:rsid w:val="00541E30"/>
    <w:rPr>
      <w:rFonts w:ascii="Courier New" w:hAnsi="Courier New" w:cs="Courier New"/>
    </w:rPr>
  </w:style>
  <w:style w:type="character" w:customStyle="1" w:styleId="PlainTextChar">
    <w:name w:val="Plain Text Char"/>
    <w:basedOn w:val="DefaultParagraphFont"/>
    <w:link w:val="PlainText"/>
    <w:uiPriority w:val="99"/>
    <w:rsid w:val="00541E30"/>
    <w:rPr>
      <w:rFonts w:ascii="Courier New" w:hAnsi="Courier New" w:cs="Courier New"/>
      <w:sz w:val="22"/>
      <w:szCs w:val="24"/>
      <w:lang w:val="en-GB" w:eastAsia="en-US"/>
    </w:rPr>
  </w:style>
  <w:style w:type="paragraph" w:customStyle="1" w:styleId="A-TableText">
    <w:name w:val="A-Table Text"/>
    <w:rsid w:val="00541E30"/>
    <w:pPr>
      <w:spacing w:before="60" w:after="60"/>
    </w:pPr>
    <w:rPr>
      <w:sz w:val="22"/>
      <w:lang w:val="en-GB" w:eastAsia="en-US"/>
    </w:rPr>
  </w:style>
  <w:style w:type="paragraph" w:customStyle="1" w:styleId="A-TableFootnoteText">
    <w:name w:val="A-Table Footnote Text"/>
    <w:next w:val="Normal"/>
    <w:rsid w:val="00541E30"/>
    <w:pPr>
      <w:tabs>
        <w:tab w:val="left" w:pos="432"/>
      </w:tabs>
      <w:ind w:left="432" w:hanging="432"/>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013">
      <w:bodyDiv w:val="1"/>
      <w:marLeft w:val="0"/>
      <w:marRight w:val="0"/>
      <w:marTop w:val="0"/>
      <w:marBottom w:val="0"/>
      <w:divBdr>
        <w:top w:val="none" w:sz="0" w:space="0" w:color="auto"/>
        <w:left w:val="none" w:sz="0" w:space="0" w:color="auto"/>
        <w:bottom w:val="none" w:sz="0" w:space="0" w:color="auto"/>
        <w:right w:val="none" w:sz="0" w:space="0" w:color="auto"/>
      </w:divBdr>
    </w:div>
    <w:div w:id="162429613">
      <w:bodyDiv w:val="1"/>
      <w:marLeft w:val="0"/>
      <w:marRight w:val="0"/>
      <w:marTop w:val="0"/>
      <w:marBottom w:val="0"/>
      <w:divBdr>
        <w:top w:val="none" w:sz="0" w:space="0" w:color="auto"/>
        <w:left w:val="none" w:sz="0" w:space="0" w:color="auto"/>
        <w:bottom w:val="none" w:sz="0" w:space="0" w:color="auto"/>
        <w:right w:val="none" w:sz="0" w:space="0" w:color="auto"/>
      </w:divBdr>
    </w:div>
    <w:div w:id="291519709">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47875681">
      <w:bodyDiv w:val="1"/>
      <w:marLeft w:val="0"/>
      <w:marRight w:val="0"/>
      <w:marTop w:val="0"/>
      <w:marBottom w:val="0"/>
      <w:divBdr>
        <w:top w:val="none" w:sz="0" w:space="0" w:color="auto"/>
        <w:left w:val="none" w:sz="0" w:space="0" w:color="auto"/>
        <w:bottom w:val="none" w:sz="0" w:space="0" w:color="auto"/>
        <w:right w:val="none" w:sz="0" w:space="0" w:color="auto"/>
      </w:divBdr>
    </w:div>
    <w:div w:id="724598251">
      <w:bodyDiv w:val="1"/>
      <w:marLeft w:val="0"/>
      <w:marRight w:val="0"/>
      <w:marTop w:val="0"/>
      <w:marBottom w:val="0"/>
      <w:divBdr>
        <w:top w:val="none" w:sz="0" w:space="0" w:color="auto"/>
        <w:left w:val="none" w:sz="0" w:space="0" w:color="auto"/>
        <w:bottom w:val="none" w:sz="0" w:space="0" w:color="auto"/>
        <w:right w:val="none" w:sz="0" w:space="0" w:color="auto"/>
      </w:divBdr>
    </w:div>
    <w:div w:id="733965477">
      <w:bodyDiv w:val="1"/>
      <w:marLeft w:val="0"/>
      <w:marRight w:val="0"/>
      <w:marTop w:val="0"/>
      <w:marBottom w:val="0"/>
      <w:divBdr>
        <w:top w:val="none" w:sz="0" w:space="0" w:color="auto"/>
        <w:left w:val="none" w:sz="0" w:space="0" w:color="auto"/>
        <w:bottom w:val="none" w:sz="0" w:space="0" w:color="auto"/>
        <w:right w:val="none" w:sz="0" w:space="0" w:color="auto"/>
      </w:divBdr>
    </w:div>
    <w:div w:id="762192163">
      <w:bodyDiv w:val="1"/>
      <w:marLeft w:val="0"/>
      <w:marRight w:val="0"/>
      <w:marTop w:val="0"/>
      <w:marBottom w:val="0"/>
      <w:divBdr>
        <w:top w:val="none" w:sz="0" w:space="0" w:color="auto"/>
        <w:left w:val="none" w:sz="0" w:space="0" w:color="auto"/>
        <w:bottom w:val="none" w:sz="0" w:space="0" w:color="auto"/>
        <w:right w:val="none" w:sz="0" w:space="0" w:color="auto"/>
      </w:divBdr>
    </w:div>
    <w:div w:id="937566747">
      <w:bodyDiv w:val="1"/>
      <w:marLeft w:val="0"/>
      <w:marRight w:val="0"/>
      <w:marTop w:val="0"/>
      <w:marBottom w:val="0"/>
      <w:divBdr>
        <w:top w:val="none" w:sz="0" w:space="0" w:color="auto"/>
        <w:left w:val="none" w:sz="0" w:space="0" w:color="auto"/>
        <w:bottom w:val="none" w:sz="0" w:space="0" w:color="auto"/>
        <w:right w:val="none" w:sz="0" w:space="0" w:color="auto"/>
      </w:divBdr>
    </w:div>
    <w:div w:id="985206947">
      <w:bodyDiv w:val="1"/>
      <w:marLeft w:val="0"/>
      <w:marRight w:val="0"/>
      <w:marTop w:val="0"/>
      <w:marBottom w:val="0"/>
      <w:divBdr>
        <w:top w:val="none" w:sz="0" w:space="0" w:color="auto"/>
        <w:left w:val="none" w:sz="0" w:space="0" w:color="auto"/>
        <w:bottom w:val="none" w:sz="0" w:space="0" w:color="auto"/>
        <w:right w:val="none" w:sz="0" w:space="0" w:color="auto"/>
      </w:divBdr>
    </w:div>
    <w:div w:id="1077284221">
      <w:bodyDiv w:val="1"/>
      <w:marLeft w:val="0"/>
      <w:marRight w:val="0"/>
      <w:marTop w:val="0"/>
      <w:marBottom w:val="0"/>
      <w:divBdr>
        <w:top w:val="none" w:sz="0" w:space="0" w:color="auto"/>
        <w:left w:val="none" w:sz="0" w:space="0" w:color="auto"/>
        <w:bottom w:val="none" w:sz="0" w:space="0" w:color="auto"/>
        <w:right w:val="none" w:sz="0" w:space="0" w:color="auto"/>
      </w:divBdr>
    </w:div>
    <w:div w:id="1078405675">
      <w:bodyDiv w:val="1"/>
      <w:marLeft w:val="0"/>
      <w:marRight w:val="0"/>
      <w:marTop w:val="0"/>
      <w:marBottom w:val="0"/>
      <w:divBdr>
        <w:top w:val="none" w:sz="0" w:space="0" w:color="auto"/>
        <w:left w:val="none" w:sz="0" w:space="0" w:color="auto"/>
        <w:bottom w:val="none" w:sz="0" w:space="0" w:color="auto"/>
        <w:right w:val="none" w:sz="0" w:space="0" w:color="auto"/>
      </w:divBdr>
    </w:div>
    <w:div w:id="1081637683">
      <w:bodyDiv w:val="1"/>
      <w:marLeft w:val="0"/>
      <w:marRight w:val="0"/>
      <w:marTop w:val="0"/>
      <w:marBottom w:val="0"/>
      <w:divBdr>
        <w:top w:val="none" w:sz="0" w:space="0" w:color="auto"/>
        <w:left w:val="none" w:sz="0" w:space="0" w:color="auto"/>
        <w:bottom w:val="none" w:sz="0" w:space="0" w:color="auto"/>
        <w:right w:val="none" w:sz="0" w:space="0" w:color="auto"/>
      </w:divBdr>
    </w:div>
    <w:div w:id="1220090572">
      <w:bodyDiv w:val="1"/>
      <w:marLeft w:val="0"/>
      <w:marRight w:val="0"/>
      <w:marTop w:val="0"/>
      <w:marBottom w:val="0"/>
      <w:divBdr>
        <w:top w:val="none" w:sz="0" w:space="0" w:color="auto"/>
        <w:left w:val="none" w:sz="0" w:space="0" w:color="auto"/>
        <w:bottom w:val="none" w:sz="0" w:space="0" w:color="auto"/>
        <w:right w:val="none" w:sz="0" w:space="0" w:color="auto"/>
      </w:divBdr>
    </w:div>
    <w:div w:id="1224483044">
      <w:bodyDiv w:val="1"/>
      <w:marLeft w:val="0"/>
      <w:marRight w:val="0"/>
      <w:marTop w:val="0"/>
      <w:marBottom w:val="0"/>
      <w:divBdr>
        <w:top w:val="none" w:sz="0" w:space="0" w:color="auto"/>
        <w:left w:val="none" w:sz="0" w:space="0" w:color="auto"/>
        <w:bottom w:val="none" w:sz="0" w:space="0" w:color="auto"/>
        <w:right w:val="none" w:sz="0" w:space="0" w:color="auto"/>
      </w:divBdr>
    </w:div>
    <w:div w:id="1224608284">
      <w:bodyDiv w:val="1"/>
      <w:marLeft w:val="0"/>
      <w:marRight w:val="0"/>
      <w:marTop w:val="0"/>
      <w:marBottom w:val="0"/>
      <w:divBdr>
        <w:top w:val="none" w:sz="0" w:space="0" w:color="auto"/>
        <w:left w:val="none" w:sz="0" w:space="0" w:color="auto"/>
        <w:bottom w:val="none" w:sz="0" w:space="0" w:color="auto"/>
        <w:right w:val="none" w:sz="0" w:space="0" w:color="auto"/>
      </w:divBdr>
    </w:div>
    <w:div w:id="1233202588">
      <w:bodyDiv w:val="1"/>
      <w:marLeft w:val="0"/>
      <w:marRight w:val="0"/>
      <w:marTop w:val="0"/>
      <w:marBottom w:val="0"/>
      <w:divBdr>
        <w:top w:val="none" w:sz="0" w:space="0" w:color="auto"/>
        <w:left w:val="none" w:sz="0" w:space="0" w:color="auto"/>
        <w:bottom w:val="none" w:sz="0" w:space="0" w:color="auto"/>
        <w:right w:val="none" w:sz="0" w:space="0" w:color="auto"/>
      </w:divBdr>
    </w:div>
    <w:div w:id="1322079383">
      <w:bodyDiv w:val="1"/>
      <w:marLeft w:val="0"/>
      <w:marRight w:val="0"/>
      <w:marTop w:val="0"/>
      <w:marBottom w:val="0"/>
      <w:divBdr>
        <w:top w:val="none" w:sz="0" w:space="0" w:color="auto"/>
        <w:left w:val="none" w:sz="0" w:space="0" w:color="auto"/>
        <w:bottom w:val="none" w:sz="0" w:space="0" w:color="auto"/>
        <w:right w:val="none" w:sz="0" w:space="0" w:color="auto"/>
      </w:divBdr>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
    <w:div w:id="143651588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080050">
      <w:bodyDiv w:val="1"/>
      <w:marLeft w:val="0"/>
      <w:marRight w:val="0"/>
      <w:marTop w:val="0"/>
      <w:marBottom w:val="0"/>
      <w:divBdr>
        <w:top w:val="none" w:sz="0" w:space="0" w:color="auto"/>
        <w:left w:val="none" w:sz="0" w:space="0" w:color="auto"/>
        <w:bottom w:val="none" w:sz="0" w:space="0" w:color="auto"/>
        <w:right w:val="none" w:sz="0" w:space="0" w:color="auto"/>
      </w:divBdr>
    </w:div>
    <w:div w:id="1576283493">
      <w:bodyDiv w:val="1"/>
      <w:marLeft w:val="0"/>
      <w:marRight w:val="0"/>
      <w:marTop w:val="0"/>
      <w:marBottom w:val="0"/>
      <w:divBdr>
        <w:top w:val="none" w:sz="0" w:space="0" w:color="auto"/>
        <w:left w:val="none" w:sz="0" w:space="0" w:color="auto"/>
        <w:bottom w:val="none" w:sz="0" w:space="0" w:color="auto"/>
        <w:right w:val="none" w:sz="0" w:space="0" w:color="auto"/>
      </w:divBdr>
    </w:div>
    <w:div w:id="1662614568">
      <w:bodyDiv w:val="1"/>
      <w:marLeft w:val="0"/>
      <w:marRight w:val="0"/>
      <w:marTop w:val="0"/>
      <w:marBottom w:val="0"/>
      <w:divBdr>
        <w:top w:val="none" w:sz="0" w:space="0" w:color="auto"/>
        <w:left w:val="none" w:sz="0" w:space="0" w:color="auto"/>
        <w:bottom w:val="none" w:sz="0" w:space="0" w:color="auto"/>
        <w:right w:val="none" w:sz="0" w:space="0" w:color="auto"/>
      </w:divBdr>
    </w:div>
    <w:div w:id="1668094629">
      <w:bodyDiv w:val="1"/>
      <w:marLeft w:val="0"/>
      <w:marRight w:val="0"/>
      <w:marTop w:val="0"/>
      <w:marBottom w:val="0"/>
      <w:divBdr>
        <w:top w:val="none" w:sz="0" w:space="0" w:color="auto"/>
        <w:left w:val="none" w:sz="0" w:space="0" w:color="auto"/>
        <w:bottom w:val="none" w:sz="0" w:space="0" w:color="auto"/>
        <w:right w:val="none" w:sz="0" w:space="0" w:color="auto"/>
      </w:divBdr>
    </w:div>
    <w:div w:id="1702511245">
      <w:bodyDiv w:val="1"/>
      <w:marLeft w:val="0"/>
      <w:marRight w:val="0"/>
      <w:marTop w:val="0"/>
      <w:marBottom w:val="0"/>
      <w:divBdr>
        <w:top w:val="none" w:sz="0" w:space="0" w:color="auto"/>
        <w:left w:val="none" w:sz="0" w:space="0" w:color="auto"/>
        <w:bottom w:val="none" w:sz="0" w:space="0" w:color="auto"/>
        <w:right w:val="none" w:sz="0" w:space="0" w:color="auto"/>
      </w:divBdr>
    </w:div>
    <w:div w:id="1702588779">
      <w:bodyDiv w:val="1"/>
      <w:marLeft w:val="0"/>
      <w:marRight w:val="0"/>
      <w:marTop w:val="0"/>
      <w:marBottom w:val="0"/>
      <w:divBdr>
        <w:top w:val="none" w:sz="0" w:space="0" w:color="auto"/>
        <w:left w:val="none" w:sz="0" w:space="0" w:color="auto"/>
        <w:bottom w:val="none" w:sz="0" w:space="0" w:color="auto"/>
        <w:right w:val="none" w:sz="0" w:space="0" w:color="auto"/>
      </w:divBdr>
    </w:div>
    <w:div w:id="1711297330">
      <w:bodyDiv w:val="1"/>
      <w:marLeft w:val="0"/>
      <w:marRight w:val="0"/>
      <w:marTop w:val="0"/>
      <w:marBottom w:val="0"/>
      <w:divBdr>
        <w:top w:val="none" w:sz="0" w:space="0" w:color="auto"/>
        <w:left w:val="none" w:sz="0" w:space="0" w:color="auto"/>
        <w:bottom w:val="none" w:sz="0" w:space="0" w:color="auto"/>
        <w:right w:val="none" w:sz="0" w:space="0" w:color="auto"/>
      </w:divBdr>
    </w:div>
    <w:div w:id="1717847359">
      <w:bodyDiv w:val="1"/>
      <w:marLeft w:val="0"/>
      <w:marRight w:val="0"/>
      <w:marTop w:val="0"/>
      <w:marBottom w:val="0"/>
      <w:divBdr>
        <w:top w:val="none" w:sz="0" w:space="0" w:color="auto"/>
        <w:left w:val="none" w:sz="0" w:space="0" w:color="auto"/>
        <w:bottom w:val="none" w:sz="0" w:space="0" w:color="auto"/>
        <w:right w:val="none" w:sz="0" w:space="0" w:color="auto"/>
      </w:divBdr>
    </w:div>
    <w:div w:id="1744906987">
      <w:bodyDiv w:val="1"/>
      <w:marLeft w:val="0"/>
      <w:marRight w:val="0"/>
      <w:marTop w:val="0"/>
      <w:marBottom w:val="0"/>
      <w:divBdr>
        <w:top w:val="none" w:sz="0" w:space="0" w:color="auto"/>
        <w:left w:val="none" w:sz="0" w:space="0" w:color="auto"/>
        <w:bottom w:val="none" w:sz="0" w:space="0" w:color="auto"/>
        <w:right w:val="none" w:sz="0" w:space="0" w:color="auto"/>
      </w:divBdr>
    </w:div>
    <w:div w:id="1820266392">
      <w:bodyDiv w:val="1"/>
      <w:marLeft w:val="0"/>
      <w:marRight w:val="0"/>
      <w:marTop w:val="0"/>
      <w:marBottom w:val="0"/>
      <w:divBdr>
        <w:top w:val="none" w:sz="0" w:space="0" w:color="auto"/>
        <w:left w:val="none" w:sz="0" w:space="0" w:color="auto"/>
        <w:bottom w:val="none" w:sz="0" w:space="0" w:color="auto"/>
        <w:right w:val="none" w:sz="0" w:space="0" w:color="auto"/>
      </w:divBdr>
    </w:div>
    <w:div w:id="1944219140">
      <w:bodyDiv w:val="1"/>
      <w:marLeft w:val="0"/>
      <w:marRight w:val="0"/>
      <w:marTop w:val="0"/>
      <w:marBottom w:val="150"/>
      <w:divBdr>
        <w:top w:val="none" w:sz="0" w:space="0" w:color="auto"/>
        <w:left w:val="none" w:sz="0" w:space="0" w:color="auto"/>
        <w:bottom w:val="none" w:sz="0" w:space="0" w:color="auto"/>
        <w:right w:val="none" w:sz="0" w:space="0" w:color="auto"/>
      </w:divBdr>
      <w:divsChild>
        <w:div w:id="502084041">
          <w:marLeft w:val="0"/>
          <w:marRight w:val="0"/>
          <w:marTop w:val="0"/>
          <w:marBottom w:val="0"/>
          <w:divBdr>
            <w:top w:val="none" w:sz="0" w:space="0" w:color="auto"/>
            <w:left w:val="none" w:sz="0" w:space="0" w:color="auto"/>
            <w:bottom w:val="none" w:sz="0" w:space="0" w:color="auto"/>
            <w:right w:val="none" w:sz="0" w:space="0" w:color="auto"/>
          </w:divBdr>
          <w:divsChild>
            <w:div w:id="126556536">
              <w:marLeft w:val="0"/>
              <w:marRight w:val="0"/>
              <w:marTop w:val="0"/>
              <w:marBottom w:val="0"/>
              <w:divBdr>
                <w:top w:val="none" w:sz="0" w:space="0" w:color="auto"/>
                <w:left w:val="none" w:sz="0" w:space="0" w:color="auto"/>
                <w:bottom w:val="none" w:sz="0" w:space="0" w:color="auto"/>
                <w:right w:val="none" w:sz="0" w:space="0" w:color="auto"/>
              </w:divBdr>
              <w:divsChild>
                <w:div w:id="779179534">
                  <w:marLeft w:val="0"/>
                  <w:marRight w:val="0"/>
                  <w:marTop w:val="0"/>
                  <w:marBottom w:val="0"/>
                  <w:divBdr>
                    <w:top w:val="none" w:sz="0" w:space="0" w:color="auto"/>
                    <w:left w:val="none" w:sz="0" w:space="0" w:color="auto"/>
                    <w:bottom w:val="none" w:sz="0" w:space="0" w:color="auto"/>
                    <w:right w:val="none" w:sz="0" w:space="0" w:color="auto"/>
                  </w:divBdr>
                  <w:divsChild>
                    <w:div w:id="809327997">
                      <w:marLeft w:val="0"/>
                      <w:marRight w:val="0"/>
                      <w:marTop w:val="0"/>
                      <w:marBottom w:val="0"/>
                      <w:divBdr>
                        <w:top w:val="none" w:sz="0" w:space="0" w:color="auto"/>
                        <w:left w:val="none" w:sz="0" w:space="0" w:color="auto"/>
                        <w:bottom w:val="none" w:sz="0" w:space="0" w:color="auto"/>
                        <w:right w:val="none" w:sz="0" w:space="0" w:color="auto"/>
                      </w:divBdr>
                      <w:divsChild>
                        <w:div w:id="819232301">
                          <w:marLeft w:val="0"/>
                          <w:marRight w:val="0"/>
                          <w:marTop w:val="0"/>
                          <w:marBottom w:val="0"/>
                          <w:divBdr>
                            <w:top w:val="none" w:sz="0" w:space="0" w:color="auto"/>
                            <w:left w:val="none" w:sz="0" w:space="0" w:color="auto"/>
                            <w:bottom w:val="none" w:sz="0" w:space="0" w:color="auto"/>
                            <w:right w:val="none" w:sz="0" w:space="0" w:color="auto"/>
                          </w:divBdr>
                          <w:divsChild>
                            <w:div w:id="966815423">
                              <w:marLeft w:val="0"/>
                              <w:marRight w:val="0"/>
                              <w:marTop w:val="0"/>
                              <w:marBottom w:val="0"/>
                              <w:divBdr>
                                <w:top w:val="none" w:sz="0" w:space="0" w:color="auto"/>
                                <w:left w:val="none" w:sz="0" w:space="0" w:color="auto"/>
                                <w:bottom w:val="none" w:sz="0" w:space="0" w:color="auto"/>
                                <w:right w:val="none" w:sz="0" w:space="0" w:color="auto"/>
                              </w:divBdr>
                              <w:divsChild>
                                <w:div w:id="303505752">
                                  <w:marLeft w:val="0"/>
                                  <w:marRight w:val="4500"/>
                                  <w:marTop w:val="0"/>
                                  <w:marBottom w:val="0"/>
                                  <w:divBdr>
                                    <w:top w:val="none" w:sz="0" w:space="0" w:color="auto"/>
                                    <w:left w:val="none" w:sz="0" w:space="0" w:color="auto"/>
                                    <w:bottom w:val="none" w:sz="0" w:space="0" w:color="auto"/>
                                    <w:right w:val="none" w:sz="0" w:space="0" w:color="auto"/>
                                  </w:divBdr>
                                  <w:divsChild>
                                    <w:div w:id="109133151">
                                      <w:marLeft w:val="0"/>
                                      <w:marRight w:val="0"/>
                                      <w:marTop w:val="0"/>
                                      <w:marBottom w:val="0"/>
                                      <w:divBdr>
                                        <w:top w:val="none" w:sz="0" w:space="0" w:color="auto"/>
                                        <w:left w:val="none" w:sz="0" w:space="0" w:color="auto"/>
                                        <w:bottom w:val="none" w:sz="0" w:space="0" w:color="auto"/>
                                        <w:right w:val="none" w:sz="0" w:space="0" w:color="auto"/>
                                      </w:divBdr>
                                      <w:divsChild>
                                        <w:div w:id="1856529721">
                                          <w:marLeft w:val="0"/>
                                          <w:marRight w:val="0"/>
                                          <w:marTop w:val="150"/>
                                          <w:marBottom w:val="150"/>
                                          <w:divBdr>
                                            <w:top w:val="single" w:sz="6" w:space="4" w:color="CCCCCC"/>
                                            <w:left w:val="single" w:sz="6" w:space="11" w:color="CCCCCC"/>
                                            <w:bottom w:val="single" w:sz="6" w:space="4" w:color="CCCCCC"/>
                                            <w:right w:val="single" w:sz="6" w:space="11" w:color="CCCCCC"/>
                                          </w:divBdr>
                                          <w:divsChild>
                                            <w:div w:id="157505562">
                                              <w:marLeft w:val="0"/>
                                              <w:marRight w:val="0"/>
                                              <w:marTop w:val="0"/>
                                              <w:marBottom w:val="0"/>
                                              <w:divBdr>
                                                <w:top w:val="none" w:sz="0" w:space="0" w:color="auto"/>
                                                <w:left w:val="none" w:sz="0" w:space="0" w:color="auto"/>
                                                <w:bottom w:val="none" w:sz="0" w:space="0" w:color="auto"/>
                                                <w:right w:val="none" w:sz="0" w:space="0" w:color="auto"/>
                                              </w:divBdr>
                                            </w:div>
                                          </w:divsChild>
                                        </w:div>
                                        <w:div w:id="1864631863">
                                          <w:marLeft w:val="0"/>
                                          <w:marRight w:val="0"/>
                                          <w:marTop w:val="192"/>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489658">
      <w:bodyDiv w:val="1"/>
      <w:marLeft w:val="0"/>
      <w:marRight w:val="0"/>
      <w:marTop w:val="0"/>
      <w:marBottom w:val="0"/>
      <w:divBdr>
        <w:top w:val="none" w:sz="0" w:space="0" w:color="auto"/>
        <w:left w:val="none" w:sz="0" w:space="0" w:color="auto"/>
        <w:bottom w:val="none" w:sz="0" w:space="0" w:color="auto"/>
        <w:right w:val="none" w:sz="0" w:space="0" w:color="auto"/>
      </w:divBdr>
    </w:div>
    <w:div w:id="20817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Publications/index/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D365-89E3-45FB-97A3-26A6C446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5043</Words>
  <Characters>29452</Characters>
  <Application>Microsoft Office Word</Application>
  <DocSecurity>4</DocSecurity>
  <Lines>245</Lines>
  <Paragraphs>68</Paragraphs>
  <ScaleCrop>false</ScaleCrop>
  <HeadingPairs>
    <vt:vector size="2" baseType="variant">
      <vt:variant>
        <vt:lpstr>Title</vt:lpstr>
      </vt:variant>
      <vt:variant>
        <vt:i4>1</vt:i4>
      </vt:variant>
    </vt:vector>
  </HeadingPairs>
  <TitlesOfParts>
    <vt:vector size="1" baseType="lpstr">
      <vt:lpstr>MRF1</vt:lpstr>
    </vt:vector>
  </TitlesOfParts>
  <Company>Westbury Group</Company>
  <LinksUpToDate>false</LinksUpToDate>
  <CharactersWithSpaces>34427</CharactersWithSpaces>
  <SharedDoc>false</SharedDoc>
  <HLinks>
    <vt:vector size="66" baseType="variant">
      <vt:variant>
        <vt:i4>5963799</vt:i4>
      </vt:variant>
      <vt:variant>
        <vt:i4>12</vt:i4>
      </vt:variant>
      <vt:variant>
        <vt:i4>0</vt:i4>
      </vt:variant>
      <vt:variant>
        <vt:i4>5</vt:i4>
      </vt:variant>
      <vt:variant>
        <vt:lpwstr>http://www.medicines.org.uk/emc/browse-documents</vt:lpwstr>
      </vt:variant>
      <vt:variant>
        <vt:lpwstr/>
      </vt:variant>
      <vt:variant>
        <vt:i4>8192118</vt:i4>
      </vt:variant>
      <vt:variant>
        <vt:i4>9</vt:i4>
      </vt:variant>
      <vt:variant>
        <vt:i4>0</vt:i4>
      </vt:variant>
      <vt:variant>
        <vt:i4>5</vt:i4>
      </vt:variant>
      <vt:variant>
        <vt:lpwstr>http://www.bacterio.net/-allnames.html</vt:lpwstr>
      </vt:variant>
      <vt:variant>
        <vt:lpwstr/>
      </vt:variant>
      <vt:variant>
        <vt:i4>3670116</vt:i4>
      </vt:variant>
      <vt:variant>
        <vt:i4>6</vt:i4>
      </vt:variant>
      <vt:variant>
        <vt:i4>0</vt:i4>
      </vt:variant>
      <vt:variant>
        <vt:i4>5</vt:i4>
      </vt:variant>
      <vt:variant>
        <vt:lpwstr>http://www.fda.gov/Safety/MedWatch/SafetyInformation/SafetyAlertsforhumanmedicalproducts/ucm269481.htm</vt:lpwstr>
      </vt:variant>
      <vt:variant>
        <vt:lpwstr/>
      </vt:variant>
      <vt:variant>
        <vt:i4>3080226</vt:i4>
      </vt:variant>
      <vt:variant>
        <vt:i4>3</vt:i4>
      </vt:variant>
      <vt:variant>
        <vt:i4>0</vt:i4>
      </vt:variant>
      <vt:variant>
        <vt:i4>5</vt:i4>
      </vt:variant>
      <vt:variant>
        <vt:lpwstr>http://www.mhra.gov.uk/Safetyinformation/DrugSafetyUpdate/CON137769</vt:lpwstr>
      </vt:variant>
      <vt:variant>
        <vt:lpwstr/>
      </vt:variant>
      <vt:variant>
        <vt:i4>7077987</vt:i4>
      </vt:variant>
      <vt:variant>
        <vt:i4>0</vt:i4>
      </vt:variant>
      <vt:variant>
        <vt:i4>0</vt:i4>
      </vt:variant>
      <vt:variant>
        <vt:i4>5</vt:i4>
      </vt:variant>
      <vt:variant>
        <vt:lpwstr>http://www.hma.eu/222.html</vt:lpwstr>
      </vt:variant>
      <vt:variant>
        <vt:lpwstr/>
      </vt:variant>
      <vt:variant>
        <vt:i4>2752529</vt:i4>
      </vt:variant>
      <vt:variant>
        <vt:i4>49812</vt:i4>
      </vt:variant>
      <vt:variant>
        <vt:i4>1027</vt:i4>
      </vt:variant>
      <vt:variant>
        <vt:i4>1</vt:i4>
      </vt:variant>
      <vt:variant>
        <vt:lpwstr>cid:image001.jpg@01D04ACA.250A36E0</vt:lpwstr>
      </vt:variant>
      <vt:variant>
        <vt:lpwstr/>
      </vt:variant>
      <vt:variant>
        <vt:i4>2883601</vt:i4>
      </vt:variant>
      <vt:variant>
        <vt:i4>49892</vt:i4>
      </vt:variant>
      <vt:variant>
        <vt:i4>1028</vt:i4>
      </vt:variant>
      <vt:variant>
        <vt:i4>1</vt:i4>
      </vt:variant>
      <vt:variant>
        <vt:lpwstr>cid:image007.jpg@01D04ACA.250A36E0</vt:lpwstr>
      </vt:variant>
      <vt:variant>
        <vt:lpwstr/>
      </vt:variant>
      <vt:variant>
        <vt:i4>2883600</vt:i4>
      </vt:variant>
      <vt:variant>
        <vt:i4>49972</vt:i4>
      </vt:variant>
      <vt:variant>
        <vt:i4>1029</vt:i4>
      </vt:variant>
      <vt:variant>
        <vt:i4>1</vt:i4>
      </vt:variant>
      <vt:variant>
        <vt:lpwstr>cid:image017.jpg@01D04ACA.250A36E0</vt:lpwstr>
      </vt:variant>
      <vt:variant>
        <vt:lpwstr/>
      </vt:variant>
      <vt:variant>
        <vt:i4>2293776</vt:i4>
      </vt:variant>
      <vt:variant>
        <vt:i4>50051</vt:i4>
      </vt:variant>
      <vt:variant>
        <vt:i4>1030</vt:i4>
      </vt:variant>
      <vt:variant>
        <vt:i4>1</vt:i4>
      </vt:variant>
      <vt:variant>
        <vt:lpwstr>cid:image018.jpg@01D04ACA.250A36E0</vt:lpwstr>
      </vt:variant>
      <vt:variant>
        <vt:lpwstr/>
      </vt:variant>
      <vt:variant>
        <vt:i4>2228240</vt:i4>
      </vt:variant>
      <vt:variant>
        <vt:i4>50130</vt:i4>
      </vt:variant>
      <vt:variant>
        <vt:i4>1031</vt:i4>
      </vt:variant>
      <vt:variant>
        <vt:i4>1</vt:i4>
      </vt:variant>
      <vt:variant>
        <vt:lpwstr>cid:image019.jpg@01D04ACA.250A36E0</vt:lpwstr>
      </vt:variant>
      <vt:variant>
        <vt:lpwstr/>
      </vt:variant>
      <vt:variant>
        <vt:i4>2818067</vt:i4>
      </vt:variant>
      <vt:variant>
        <vt:i4>141360</vt:i4>
      </vt:variant>
      <vt:variant>
        <vt:i4>1032</vt:i4>
      </vt:variant>
      <vt:variant>
        <vt:i4>1</vt:i4>
      </vt:variant>
      <vt:variant>
        <vt:lpwstr>cid:image020.jpg@01D04ACA.250A36E0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MRF1</dc:title>
  <dc:creator>Johann Schlebusch</dc:creator>
  <cp:lastModifiedBy>Thealdi Mitchell</cp:lastModifiedBy>
  <cp:revision>2</cp:revision>
  <cp:lastPrinted>2017-11-24T06:19:00Z</cp:lastPrinted>
  <dcterms:created xsi:type="dcterms:W3CDTF">2023-11-28T09:31:00Z</dcterms:created>
  <dcterms:modified xsi:type="dcterms:W3CDTF">2023-11-28T09:31:00Z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shalini.naidoo@bbraun.com</vt:lpwstr>
  </property>
  <property fmtid="{D5CDD505-2E9C-101B-9397-08002B2CF9AE}" pid="6" name="MSIP_Label_97735299-2a7d-4f7d-99cc-db352b8b5a9b_SetDate">
    <vt:lpwstr>2020-09-21T20:41:20.8517875+02:00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shalini.naidoo@bbraun.com</vt:lpwstr>
  </property>
  <property fmtid="{D5CDD505-2E9C-101B-9397-08002B2CF9AE}" pid="14" name="MSIP_Label_fd058493-e43f-432e-b8cc-adb7daa46640_SetDate">
    <vt:lpwstr>2020-09-21T20:41:20.8537818+02:00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