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386"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302" w:type="dxa"/>
        </w:tblCellMar>
        <w:tblLook w:val="04A0" w:firstRow="1" w:lastRow="0" w:firstColumn="1" w:lastColumn="0" w:noHBand="0" w:noVBand="1"/>
      </w:tblPr>
      <w:tblGrid>
        <w:gridCol w:w="9726"/>
      </w:tblGrid>
      <w:tr w:rsidR="002123E1" w:rsidRPr="004F1EA4" w14:paraId="3A07675C" w14:textId="7D27A61C" w:rsidTr="002123E1">
        <w:tc>
          <w:tcPr>
            <w:tcW w:w="5000" w:type="pct"/>
          </w:tcPr>
          <w:p w14:paraId="62E17516" w14:textId="21D45E73" w:rsidR="002123E1" w:rsidRPr="004F1EA4" w:rsidRDefault="002123E1" w:rsidP="001D7AD1">
            <w:pPr>
              <w:pStyle w:val="BodyText2"/>
              <w:tabs>
                <w:tab w:val="left" w:pos="-720"/>
              </w:tabs>
              <w:suppressAutoHyphens/>
              <w:spacing w:line="480" w:lineRule="auto"/>
              <w:jc w:val="center"/>
              <w:rPr>
                <w:rFonts w:ascii="Arial" w:hAnsi="Arial" w:cs="Arial"/>
                <w:bdr w:val="single" w:sz="4" w:space="0" w:color="auto"/>
                <w:lang w:val="en-GB"/>
              </w:rPr>
            </w:pPr>
            <w:bookmarkStart w:id="0" w:name="_GoBack"/>
            <w:bookmarkEnd w:id="0"/>
          </w:p>
        </w:tc>
      </w:tr>
      <w:tr w:rsidR="002123E1" w:rsidRPr="004F1EA4" w14:paraId="47CA96C7" w14:textId="5F4DCD73" w:rsidTr="002123E1">
        <w:tc>
          <w:tcPr>
            <w:tcW w:w="5000" w:type="pct"/>
          </w:tcPr>
          <w:p w14:paraId="440B1D77" w14:textId="77777777" w:rsidR="002123E1" w:rsidRPr="004F1EA4" w:rsidRDefault="002123E1" w:rsidP="007314CB">
            <w:pPr>
              <w:pStyle w:val="BodyText2"/>
              <w:tabs>
                <w:tab w:val="left" w:pos="-720"/>
              </w:tabs>
              <w:suppressAutoHyphens/>
              <w:spacing w:line="480" w:lineRule="auto"/>
              <w:jc w:val="both"/>
              <w:rPr>
                <w:rFonts w:ascii="Arial" w:hAnsi="Arial" w:cs="Arial"/>
                <w:lang w:val="en-GB"/>
              </w:rPr>
            </w:pPr>
          </w:p>
        </w:tc>
      </w:tr>
      <w:tr w:rsidR="002123E1" w:rsidRPr="004F1EA4" w14:paraId="2FFE0FBE" w14:textId="2833E04F" w:rsidTr="002123E1">
        <w:tc>
          <w:tcPr>
            <w:tcW w:w="5000" w:type="pct"/>
          </w:tcPr>
          <w:p w14:paraId="2AA58C78" w14:textId="77777777" w:rsidR="002123E1" w:rsidRPr="004F1EA4" w:rsidRDefault="002123E1" w:rsidP="007314CB">
            <w:pPr>
              <w:pStyle w:val="BodyText2"/>
              <w:tabs>
                <w:tab w:val="left" w:pos="-720"/>
              </w:tabs>
              <w:suppressAutoHyphens/>
              <w:spacing w:line="480" w:lineRule="auto"/>
              <w:jc w:val="both"/>
              <w:rPr>
                <w:rFonts w:ascii="Arial" w:hAnsi="Arial" w:cs="Arial"/>
                <w:lang w:val="en-GB"/>
              </w:rPr>
            </w:pPr>
            <w:r w:rsidRPr="004F1EA4">
              <w:rPr>
                <w:rFonts w:ascii="Arial" w:hAnsi="Arial" w:cs="Arial"/>
                <w:lang w:val="en-GB"/>
              </w:rPr>
              <w:t xml:space="preserve">SCHEDULING STATUS:  </w:t>
            </w:r>
            <w:r w:rsidRPr="004F1EA4">
              <w:rPr>
                <w:rFonts w:ascii="Arial" w:hAnsi="Arial" w:cs="Arial"/>
                <w:bdr w:val="single" w:sz="4" w:space="0" w:color="auto"/>
                <w:lang w:val="en-GB"/>
              </w:rPr>
              <w:t>S4</w:t>
            </w:r>
          </w:p>
        </w:tc>
      </w:tr>
      <w:tr w:rsidR="002123E1" w:rsidRPr="004F1EA4" w14:paraId="0877F170" w14:textId="1580476B" w:rsidTr="002123E1">
        <w:tc>
          <w:tcPr>
            <w:tcW w:w="5000" w:type="pct"/>
          </w:tcPr>
          <w:p w14:paraId="0782B3A8" w14:textId="77777777" w:rsidR="002123E1" w:rsidRPr="004F1EA4" w:rsidRDefault="002123E1" w:rsidP="007314CB">
            <w:pPr>
              <w:pStyle w:val="BodyText2"/>
              <w:tabs>
                <w:tab w:val="left" w:pos="-720"/>
              </w:tabs>
              <w:suppressAutoHyphens/>
              <w:spacing w:line="480" w:lineRule="auto"/>
              <w:jc w:val="both"/>
              <w:rPr>
                <w:rFonts w:ascii="Arial" w:hAnsi="Arial" w:cs="Arial"/>
                <w:bdr w:val="single" w:sz="4" w:space="0" w:color="auto"/>
                <w:lang w:val="en-GB"/>
              </w:rPr>
            </w:pPr>
          </w:p>
        </w:tc>
      </w:tr>
      <w:tr w:rsidR="002123E1" w:rsidRPr="004F1EA4" w14:paraId="2214F54F" w14:textId="489DA71B" w:rsidTr="002123E1">
        <w:tc>
          <w:tcPr>
            <w:tcW w:w="5000" w:type="pct"/>
          </w:tcPr>
          <w:p w14:paraId="7B61DA00" w14:textId="75401AEA" w:rsidR="002123E1" w:rsidRPr="004F1EA4" w:rsidRDefault="002123E1" w:rsidP="00B538A4">
            <w:pPr>
              <w:pStyle w:val="ListParagraph"/>
              <w:numPr>
                <w:ilvl w:val="0"/>
                <w:numId w:val="3"/>
              </w:numPr>
              <w:tabs>
                <w:tab w:val="left" w:pos="-720"/>
              </w:tabs>
              <w:suppressAutoHyphens/>
              <w:spacing w:line="480" w:lineRule="auto"/>
              <w:ind w:left="316" w:hanging="270"/>
              <w:jc w:val="both"/>
              <w:rPr>
                <w:rFonts w:ascii="Arial" w:hAnsi="Arial" w:cs="Arial"/>
                <w:b/>
                <w:sz w:val="20"/>
                <w:szCs w:val="20"/>
                <w:lang w:val="en-GB"/>
              </w:rPr>
            </w:pPr>
            <w:r w:rsidRPr="004F1EA4">
              <w:rPr>
                <w:rFonts w:ascii="Arial" w:hAnsi="Arial" w:cs="Arial"/>
                <w:b/>
                <w:sz w:val="20"/>
                <w:szCs w:val="20"/>
                <w:lang w:val="en-GB"/>
              </w:rPr>
              <w:t>NAME OF THE MEDICINE</w:t>
            </w:r>
          </w:p>
        </w:tc>
      </w:tr>
      <w:tr w:rsidR="002123E1" w:rsidRPr="004F1EA4" w14:paraId="0473ED1E" w14:textId="73FAFABB" w:rsidTr="002123E1">
        <w:tc>
          <w:tcPr>
            <w:tcW w:w="5000" w:type="pct"/>
          </w:tcPr>
          <w:p w14:paraId="7876DE4B" w14:textId="01DB3295" w:rsidR="002123E1" w:rsidRPr="004F1EA4" w:rsidRDefault="002123E1" w:rsidP="00480D42">
            <w:pPr>
              <w:tabs>
                <w:tab w:val="left" w:pos="-720"/>
              </w:tabs>
              <w:suppressAutoHyphens/>
              <w:spacing w:line="480" w:lineRule="auto"/>
              <w:jc w:val="both"/>
              <w:rPr>
                <w:rFonts w:ascii="Arial" w:hAnsi="Arial" w:cs="Arial"/>
                <w:sz w:val="20"/>
                <w:szCs w:val="20"/>
                <w:lang w:val="en-GB"/>
              </w:rPr>
            </w:pPr>
            <w:r w:rsidRPr="004F1EA4">
              <w:rPr>
                <w:rFonts w:ascii="Arial" w:hAnsi="Arial" w:cs="Arial"/>
                <w:sz w:val="20"/>
                <w:szCs w:val="20"/>
                <w:lang w:val="en-GB"/>
              </w:rPr>
              <w:t>XELJANZ</w:t>
            </w:r>
            <w:r w:rsidRPr="004F1EA4">
              <w:rPr>
                <w:rFonts w:ascii="Arial" w:hAnsi="Arial" w:cs="Arial"/>
                <w:sz w:val="20"/>
                <w:szCs w:val="20"/>
                <w:vertAlign w:val="superscript"/>
                <w:lang w:val="en-GB"/>
              </w:rPr>
              <w:t xml:space="preserve">® </w:t>
            </w:r>
            <w:r w:rsidRPr="004F1EA4">
              <w:rPr>
                <w:rFonts w:ascii="Arial" w:hAnsi="Arial" w:cs="Arial"/>
                <w:sz w:val="20"/>
                <w:szCs w:val="20"/>
                <w:lang w:val="en-GB"/>
              </w:rPr>
              <w:t>5 mg film-coated tablets</w:t>
            </w:r>
          </w:p>
        </w:tc>
      </w:tr>
      <w:tr w:rsidR="002123E1" w:rsidRPr="004F1EA4" w14:paraId="61737247" w14:textId="70554A45" w:rsidTr="002123E1">
        <w:tc>
          <w:tcPr>
            <w:tcW w:w="5000" w:type="pct"/>
          </w:tcPr>
          <w:p w14:paraId="09275234" w14:textId="51303739" w:rsidR="002123E1" w:rsidRPr="004F1EA4" w:rsidRDefault="002123E1" w:rsidP="00480D42">
            <w:pPr>
              <w:tabs>
                <w:tab w:val="left" w:pos="-720"/>
              </w:tabs>
              <w:suppressAutoHyphens/>
              <w:spacing w:line="480" w:lineRule="auto"/>
              <w:jc w:val="both"/>
              <w:rPr>
                <w:rFonts w:ascii="Arial" w:hAnsi="Arial" w:cs="Arial"/>
                <w:sz w:val="20"/>
                <w:szCs w:val="20"/>
                <w:lang w:val="en-GB"/>
              </w:rPr>
            </w:pPr>
            <w:r w:rsidRPr="004F1EA4">
              <w:rPr>
                <w:rFonts w:ascii="Arial" w:hAnsi="Arial" w:cs="Arial"/>
                <w:sz w:val="20"/>
                <w:szCs w:val="20"/>
                <w:lang w:val="en-GB"/>
              </w:rPr>
              <w:t>XELJANZ</w:t>
            </w:r>
            <w:r w:rsidRPr="004F1EA4">
              <w:rPr>
                <w:rFonts w:ascii="Arial" w:hAnsi="Arial" w:cs="Arial"/>
                <w:sz w:val="20"/>
                <w:szCs w:val="20"/>
                <w:vertAlign w:val="superscript"/>
                <w:lang w:val="en-GB"/>
              </w:rPr>
              <w:t>®</w:t>
            </w:r>
            <w:r w:rsidRPr="004F1EA4">
              <w:rPr>
                <w:rFonts w:ascii="Arial" w:hAnsi="Arial" w:cs="Arial"/>
                <w:sz w:val="20"/>
                <w:szCs w:val="20"/>
                <w:lang w:val="en-GB"/>
              </w:rPr>
              <w:t xml:space="preserve"> 10 mg film-coated tablets</w:t>
            </w:r>
          </w:p>
        </w:tc>
      </w:tr>
      <w:tr w:rsidR="002123E1" w:rsidRPr="004F1EA4" w14:paraId="7363FFD0" w14:textId="4837B348" w:rsidTr="002123E1">
        <w:tc>
          <w:tcPr>
            <w:tcW w:w="5000" w:type="pct"/>
          </w:tcPr>
          <w:p w14:paraId="57850F2B" w14:textId="77777777" w:rsidR="002123E1" w:rsidRPr="004F1EA4" w:rsidRDefault="002123E1" w:rsidP="00480D42">
            <w:pPr>
              <w:pStyle w:val="ListParagraph"/>
              <w:tabs>
                <w:tab w:val="left" w:pos="-720"/>
              </w:tabs>
              <w:suppressAutoHyphens/>
              <w:spacing w:line="480" w:lineRule="auto"/>
              <w:ind w:left="316"/>
              <w:jc w:val="both"/>
              <w:rPr>
                <w:rFonts w:ascii="Arial" w:hAnsi="Arial" w:cs="Arial"/>
                <w:b/>
                <w:sz w:val="20"/>
                <w:szCs w:val="20"/>
                <w:lang w:val="en-GB"/>
              </w:rPr>
            </w:pPr>
          </w:p>
        </w:tc>
      </w:tr>
      <w:tr w:rsidR="002123E1" w:rsidRPr="004F1EA4" w14:paraId="7ADA916B" w14:textId="54E0AA2E" w:rsidTr="002123E1">
        <w:tc>
          <w:tcPr>
            <w:tcW w:w="5000" w:type="pct"/>
          </w:tcPr>
          <w:p w14:paraId="5516FB47" w14:textId="06CCBBEB" w:rsidR="002123E1" w:rsidRPr="004F1EA4" w:rsidRDefault="002123E1" w:rsidP="00B538A4">
            <w:pPr>
              <w:pStyle w:val="ListParagraph"/>
              <w:numPr>
                <w:ilvl w:val="0"/>
                <w:numId w:val="3"/>
              </w:numPr>
              <w:tabs>
                <w:tab w:val="left" w:pos="-720"/>
              </w:tabs>
              <w:suppressAutoHyphens/>
              <w:spacing w:line="480" w:lineRule="auto"/>
              <w:ind w:left="316" w:hanging="270"/>
              <w:jc w:val="both"/>
              <w:rPr>
                <w:rFonts w:ascii="Arial" w:hAnsi="Arial" w:cs="Arial"/>
                <w:b/>
                <w:sz w:val="20"/>
                <w:szCs w:val="20"/>
                <w:lang w:val="en-GB"/>
              </w:rPr>
            </w:pPr>
            <w:r w:rsidRPr="004F1EA4">
              <w:rPr>
                <w:rFonts w:ascii="Arial" w:hAnsi="Arial" w:cs="Arial"/>
                <w:b/>
                <w:sz w:val="20"/>
                <w:szCs w:val="20"/>
                <w:lang w:val="en-GB"/>
              </w:rPr>
              <w:t>QUALITATIVE AND QUANTITATIVE COMPOSITION</w:t>
            </w:r>
          </w:p>
        </w:tc>
      </w:tr>
      <w:tr w:rsidR="002123E1" w:rsidRPr="004F1EA4" w14:paraId="591E0F08" w14:textId="36BA1AC9" w:rsidTr="002123E1">
        <w:tc>
          <w:tcPr>
            <w:tcW w:w="5000" w:type="pct"/>
          </w:tcPr>
          <w:p w14:paraId="423C6F72" w14:textId="792B0F6E" w:rsidR="002123E1" w:rsidRPr="004F1EA4" w:rsidRDefault="002123E1" w:rsidP="007314CB">
            <w:pPr>
              <w:spacing w:line="480" w:lineRule="auto"/>
              <w:jc w:val="both"/>
              <w:rPr>
                <w:rFonts w:ascii="Arial" w:hAnsi="Arial" w:cs="Arial"/>
                <w:bCs/>
                <w:i/>
                <w:sz w:val="20"/>
                <w:szCs w:val="20"/>
                <w:lang w:val="en-GB"/>
              </w:rPr>
            </w:pPr>
            <w:r w:rsidRPr="004F1EA4">
              <w:rPr>
                <w:rFonts w:ascii="Arial" w:hAnsi="Arial" w:cs="Arial"/>
                <w:bCs/>
                <w:i/>
                <w:sz w:val="20"/>
                <w:szCs w:val="20"/>
                <w:lang w:val="en-GB"/>
              </w:rPr>
              <w:t>XELJANZ 5 mg film-coated tablets</w:t>
            </w:r>
          </w:p>
        </w:tc>
      </w:tr>
      <w:tr w:rsidR="002123E1" w:rsidRPr="004F1EA4" w14:paraId="3924F50F" w14:textId="1B46C9FD" w:rsidTr="002123E1">
        <w:tc>
          <w:tcPr>
            <w:tcW w:w="5000" w:type="pct"/>
          </w:tcPr>
          <w:p w14:paraId="60C3E808" w14:textId="77777777" w:rsidR="002123E1" w:rsidRPr="004F1EA4" w:rsidRDefault="002123E1" w:rsidP="007314CB">
            <w:pPr>
              <w:spacing w:line="480" w:lineRule="auto"/>
              <w:jc w:val="both"/>
              <w:rPr>
                <w:rFonts w:ascii="Arial" w:hAnsi="Arial" w:cs="Arial"/>
                <w:bCs/>
                <w:sz w:val="20"/>
                <w:szCs w:val="20"/>
                <w:lang w:val="en-GB"/>
              </w:rPr>
            </w:pPr>
            <w:r w:rsidRPr="004F1EA4">
              <w:rPr>
                <w:rFonts w:ascii="Arial" w:hAnsi="Arial" w:cs="Arial"/>
                <w:bCs/>
                <w:sz w:val="20"/>
                <w:szCs w:val="20"/>
                <w:lang w:val="en-GB"/>
              </w:rPr>
              <w:t>Each 5 mg film-coated tablet contains tofacitinib citrate, equivalent to 5 mg tofacitinib.</w:t>
            </w:r>
          </w:p>
        </w:tc>
      </w:tr>
      <w:tr w:rsidR="002123E1" w:rsidRPr="004F1EA4" w14:paraId="0B2DADD5" w14:textId="251B9240" w:rsidTr="002123E1">
        <w:tc>
          <w:tcPr>
            <w:tcW w:w="5000" w:type="pct"/>
          </w:tcPr>
          <w:p w14:paraId="1F1E1B55" w14:textId="5006D229" w:rsidR="002123E1" w:rsidRPr="004F1EA4" w:rsidRDefault="002123E1" w:rsidP="007314CB">
            <w:pPr>
              <w:spacing w:line="480" w:lineRule="auto"/>
              <w:jc w:val="both"/>
              <w:rPr>
                <w:rFonts w:ascii="Arial" w:hAnsi="Arial" w:cs="Arial"/>
                <w:bCs/>
                <w:sz w:val="20"/>
                <w:szCs w:val="20"/>
                <w:lang w:val="en-GB"/>
              </w:rPr>
            </w:pPr>
            <w:r w:rsidRPr="004F1EA4">
              <w:rPr>
                <w:rFonts w:ascii="Arial" w:hAnsi="Arial" w:cs="Arial"/>
                <w:bCs/>
                <w:sz w:val="20"/>
                <w:szCs w:val="20"/>
                <w:lang w:val="en-GB"/>
              </w:rPr>
              <w:t>Contains sugar (lactose</w:t>
            </w:r>
            <w:r>
              <w:t xml:space="preserve"> </w:t>
            </w:r>
            <w:r w:rsidRPr="00150B6B">
              <w:rPr>
                <w:rFonts w:ascii="Arial" w:hAnsi="Arial" w:cs="Arial"/>
                <w:bCs/>
                <w:sz w:val="20"/>
                <w:szCs w:val="20"/>
                <w:lang w:val="en-GB"/>
              </w:rPr>
              <w:t>monohydrate</w:t>
            </w:r>
            <w:r w:rsidRPr="004F1EA4">
              <w:rPr>
                <w:rFonts w:ascii="Arial" w:hAnsi="Arial" w:cs="Arial"/>
                <w:bCs/>
                <w:sz w:val="20"/>
                <w:szCs w:val="20"/>
                <w:lang w:val="en-GB"/>
              </w:rPr>
              <w:t>).</w:t>
            </w:r>
          </w:p>
        </w:tc>
      </w:tr>
      <w:tr w:rsidR="002123E1" w:rsidRPr="004F1EA4" w14:paraId="13F24221" w14:textId="2DDB07AA" w:rsidTr="002123E1">
        <w:tc>
          <w:tcPr>
            <w:tcW w:w="5000" w:type="pct"/>
          </w:tcPr>
          <w:p w14:paraId="0D21524A" w14:textId="77777777" w:rsidR="002123E1" w:rsidRPr="004F1EA4" w:rsidRDefault="002123E1" w:rsidP="007314CB">
            <w:pPr>
              <w:spacing w:line="480" w:lineRule="auto"/>
              <w:jc w:val="both"/>
              <w:rPr>
                <w:rFonts w:ascii="Arial" w:hAnsi="Arial" w:cs="Arial"/>
                <w:bCs/>
                <w:sz w:val="20"/>
                <w:szCs w:val="20"/>
                <w:lang w:val="en-GB"/>
              </w:rPr>
            </w:pPr>
          </w:p>
        </w:tc>
      </w:tr>
      <w:tr w:rsidR="002123E1" w:rsidRPr="004F1EA4" w14:paraId="43931DF0" w14:textId="14D91887" w:rsidTr="002123E1">
        <w:tc>
          <w:tcPr>
            <w:tcW w:w="5000" w:type="pct"/>
          </w:tcPr>
          <w:p w14:paraId="2D7B1213" w14:textId="1877B16F" w:rsidR="002123E1" w:rsidRPr="004F1EA4" w:rsidRDefault="002123E1" w:rsidP="007314CB">
            <w:pPr>
              <w:spacing w:line="480" w:lineRule="auto"/>
              <w:jc w:val="both"/>
              <w:rPr>
                <w:rFonts w:ascii="Arial" w:hAnsi="Arial" w:cs="Arial"/>
                <w:bCs/>
                <w:i/>
                <w:sz w:val="20"/>
                <w:szCs w:val="20"/>
                <w:lang w:val="en-GB"/>
              </w:rPr>
            </w:pPr>
            <w:r w:rsidRPr="004F1EA4">
              <w:rPr>
                <w:rFonts w:ascii="Arial" w:hAnsi="Arial" w:cs="Arial"/>
                <w:bCs/>
                <w:i/>
                <w:sz w:val="20"/>
                <w:szCs w:val="20"/>
                <w:lang w:val="en-GB"/>
              </w:rPr>
              <w:t>Excipient with known effect</w:t>
            </w:r>
          </w:p>
        </w:tc>
      </w:tr>
      <w:tr w:rsidR="002123E1" w:rsidRPr="004F1EA4" w14:paraId="20921625" w14:textId="668E6E60" w:rsidTr="002123E1">
        <w:tc>
          <w:tcPr>
            <w:tcW w:w="5000" w:type="pct"/>
          </w:tcPr>
          <w:p w14:paraId="08C04FF6" w14:textId="5B755915" w:rsidR="002123E1" w:rsidRPr="004F1EA4" w:rsidRDefault="002123E1" w:rsidP="007314CB">
            <w:pPr>
              <w:spacing w:line="480" w:lineRule="auto"/>
              <w:jc w:val="both"/>
              <w:rPr>
                <w:rFonts w:ascii="Arial" w:hAnsi="Arial" w:cs="Arial"/>
                <w:bCs/>
                <w:sz w:val="20"/>
                <w:szCs w:val="20"/>
                <w:lang w:val="en-GB"/>
              </w:rPr>
            </w:pPr>
            <w:r w:rsidRPr="004F1EA4">
              <w:rPr>
                <w:rFonts w:ascii="Arial" w:hAnsi="Arial" w:cs="Arial"/>
                <w:bCs/>
                <w:sz w:val="20"/>
                <w:szCs w:val="20"/>
                <w:lang w:val="en-GB"/>
              </w:rPr>
              <w:t>Each film-coated tablet contains 59,44 mg of lactose</w:t>
            </w:r>
            <w:r>
              <w:rPr>
                <w:rFonts w:ascii="Arial" w:hAnsi="Arial" w:cs="Arial"/>
                <w:bCs/>
                <w:sz w:val="20"/>
                <w:szCs w:val="20"/>
                <w:lang w:val="en-GB"/>
              </w:rPr>
              <w:t xml:space="preserve"> monohydrate</w:t>
            </w:r>
            <w:r w:rsidRPr="004F1EA4">
              <w:rPr>
                <w:rFonts w:ascii="Arial" w:hAnsi="Arial" w:cs="Arial"/>
                <w:bCs/>
                <w:sz w:val="20"/>
                <w:szCs w:val="20"/>
                <w:lang w:val="en-GB"/>
              </w:rPr>
              <w:t>.</w:t>
            </w:r>
          </w:p>
        </w:tc>
      </w:tr>
      <w:tr w:rsidR="002123E1" w:rsidRPr="004F1EA4" w14:paraId="130F12E7" w14:textId="3FC87397" w:rsidTr="002123E1">
        <w:tc>
          <w:tcPr>
            <w:tcW w:w="5000" w:type="pct"/>
          </w:tcPr>
          <w:p w14:paraId="7F8AF74B" w14:textId="77777777" w:rsidR="002123E1" w:rsidRPr="004F1EA4" w:rsidRDefault="002123E1" w:rsidP="007314CB">
            <w:pPr>
              <w:spacing w:line="480" w:lineRule="auto"/>
              <w:jc w:val="both"/>
              <w:rPr>
                <w:rFonts w:ascii="Arial" w:hAnsi="Arial" w:cs="Arial"/>
                <w:bCs/>
                <w:sz w:val="20"/>
                <w:szCs w:val="20"/>
                <w:lang w:val="en-GB"/>
              </w:rPr>
            </w:pPr>
          </w:p>
        </w:tc>
      </w:tr>
      <w:tr w:rsidR="002123E1" w:rsidRPr="004F1EA4" w14:paraId="277FE55E" w14:textId="18E90CE2" w:rsidTr="002123E1">
        <w:tc>
          <w:tcPr>
            <w:tcW w:w="5000" w:type="pct"/>
          </w:tcPr>
          <w:p w14:paraId="0A7974F0" w14:textId="73AB4913" w:rsidR="002123E1" w:rsidRPr="004F1EA4" w:rsidRDefault="002123E1" w:rsidP="007314CB">
            <w:pPr>
              <w:spacing w:line="480" w:lineRule="auto"/>
              <w:jc w:val="both"/>
              <w:rPr>
                <w:rFonts w:ascii="Arial" w:hAnsi="Arial" w:cs="Arial"/>
                <w:bCs/>
                <w:i/>
                <w:sz w:val="20"/>
                <w:szCs w:val="20"/>
                <w:lang w:val="en-GB"/>
              </w:rPr>
            </w:pPr>
            <w:r w:rsidRPr="004F1EA4">
              <w:rPr>
                <w:rFonts w:ascii="Arial" w:hAnsi="Arial" w:cs="Arial"/>
                <w:bCs/>
                <w:i/>
                <w:sz w:val="20"/>
                <w:szCs w:val="20"/>
                <w:lang w:val="en-GB"/>
              </w:rPr>
              <w:t>XELJANZ 10 mg film-coated tablets</w:t>
            </w:r>
          </w:p>
        </w:tc>
      </w:tr>
      <w:tr w:rsidR="002123E1" w:rsidRPr="004F1EA4" w14:paraId="4A67E707" w14:textId="746D23D1" w:rsidTr="002123E1">
        <w:tc>
          <w:tcPr>
            <w:tcW w:w="5000" w:type="pct"/>
          </w:tcPr>
          <w:p w14:paraId="3C19F0CB" w14:textId="77777777" w:rsidR="002123E1" w:rsidRPr="004F1EA4" w:rsidRDefault="002123E1" w:rsidP="007314CB">
            <w:pPr>
              <w:spacing w:line="480" w:lineRule="auto"/>
              <w:jc w:val="both"/>
              <w:rPr>
                <w:rFonts w:ascii="Arial" w:hAnsi="Arial" w:cs="Arial"/>
                <w:bCs/>
                <w:sz w:val="20"/>
                <w:szCs w:val="20"/>
                <w:lang w:val="en-GB"/>
              </w:rPr>
            </w:pPr>
            <w:r w:rsidRPr="004F1EA4">
              <w:rPr>
                <w:rFonts w:ascii="Arial" w:hAnsi="Arial" w:cs="Arial"/>
                <w:bCs/>
                <w:sz w:val="20"/>
                <w:szCs w:val="20"/>
                <w:lang w:val="en-GB"/>
              </w:rPr>
              <w:t>Each 10 mg film-coated tablet contains tofacitinib citrate, equivalent to 10 mg tofacitinib.</w:t>
            </w:r>
          </w:p>
        </w:tc>
      </w:tr>
      <w:tr w:rsidR="002123E1" w:rsidRPr="004F1EA4" w14:paraId="3F1DB3A9" w14:textId="24A8EDB9" w:rsidTr="002123E1">
        <w:tc>
          <w:tcPr>
            <w:tcW w:w="5000" w:type="pct"/>
          </w:tcPr>
          <w:p w14:paraId="7C230EF9" w14:textId="1C6BF38B" w:rsidR="002123E1" w:rsidRPr="004F1EA4" w:rsidRDefault="002123E1" w:rsidP="007314CB">
            <w:pPr>
              <w:spacing w:line="480" w:lineRule="auto"/>
              <w:jc w:val="both"/>
              <w:rPr>
                <w:rFonts w:ascii="Arial" w:hAnsi="Arial" w:cs="Arial"/>
                <w:bCs/>
                <w:sz w:val="20"/>
                <w:szCs w:val="20"/>
                <w:lang w:val="en-GB"/>
              </w:rPr>
            </w:pPr>
            <w:r w:rsidRPr="004F1EA4">
              <w:rPr>
                <w:rFonts w:ascii="Arial" w:hAnsi="Arial" w:cs="Arial"/>
                <w:bCs/>
                <w:sz w:val="20"/>
                <w:szCs w:val="20"/>
                <w:lang w:val="en-GB"/>
              </w:rPr>
              <w:t>Contains sugar (lactose</w:t>
            </w:r>
            <w:r>
              <w:rPr>
                <w:rFonts w:ascii="Arial" w:hAnsi="Arial" w:cs="Arial"/>
                <w:bCs/>
                <w:sz w:val="20"/>
                <w:szCs w:val="20"/>
                <w:lang w:val="en-GB"/>
              </w:rPr>
              <w:t xml:space="preserve"> monohydrate</w:t>
            </w:r>
            <w:r w:rsidRPr="004F1EA4">
              <w:rPr>
                <w:rFonts w:ascii="Arial" w:hAnsi="Arial" w:cs="Arial"/>
                <w:bCs/>
                <w:sz w:val="20"/>
                <w:szCs w:val="20"/>
                <w:lang w:val="en-GB"/>
              </w:rPr>
              <w:t>).</w:t>
            </w:r>
          </w:p>
        </w:tc>
      </w:tr>
      <w:tr w:rsidR="002123E1" w:rsidRPr="004F1EA4" w14:paraId="11F8C500" w14:textId="509B0125" w:rsidTr="002123E1">
        <w:tc>
          <w:tcPr>
            <w:tcW w:w="5000" w:type="pct"/>
          </w:tcPr>
          <w:p w14:paraId="258E67D5" w14:textId="77777777" w:rsidR="002123E1" w:rsidRPr="004F1EA4" w:rsidRDefault="002123E1" w:rsidP="007314CB">
            <w:pPr>
              <w:spacing w:line="480" w:lineRule="auto"/>
              <w:jc w:val="both"/>
              <w:rPr>
                <w:rFonts w:ascii="Arial" w:hAnsi="Arial" w:cs="Arial"/>
                <w:bCs/>
                <w:sz w:val="20"/>
                <w:szCs w:val="20"/>
                <w:lang w:val="en-GB"/>
              </w:rPr>
            </w:pPr>
          </w:p>
        </w:tc>
      </w:tr>
      <w:tr w:rsidR="002123E1" w:rsidRPr="004F1EA4" w14:paraId="7FE1C712" w14:textId="239F9C8E" w:rsidTr="002123E1">
        <w:tc>
          <w:tcPr>
            <w:tcW w:w="5000" w:type="pct"/>
          </w:tcPr>
          <w:p w14:paraId="28CD6DFB" w14:textId="02B7A8DC" w:rsidR="002123E1" w:rsidRPr="004F1EA4" w:rsidRDefault="002123E1" w:rsidP="007314CB">
            <w:pPr>
              <w:spacing w:line="480" w:lineRule="auto"/>
              <w:jc w:val="both"/>
              <w:rPr>
                <w:rFonts w:ascii="Arial" w:hAnsi="Arial" w:cs="Arial"/>
                <w:bCs/>
                <w:i/>
                <w:sz w:val="20"/>
                <w:szCs w:val="20"/>
                <w:lang w:val="en-GB"/>
              </w:rPr>
            </w:pPr>
            <w:r w:rsidRPr="004F1EA4">
              <w:rPr>
                <w:rFonts w:ascii="Arial" w:hAnsi="Arial" w:cs="Arial"/>
                <w:bCs/>
                <w:i/>
                <w:sz w:val="20"/>
                <w:szCs w:val="20"/>
                <w:lang w:val="en-GB"/>
              </w:rPr>
              <w:t>Excipient with known effect</w:t>
            </w:r>
          </w:p>
        </w:tc>
      </w:tr>
      <w:tr w:rsidR="002123E1" w:rsidRPr="004F1EA4" w14:paraId="2CDC2DE4" w14:textId="3773FC77" w:rsidTr="002123E1">
        <w:tc>
          <w:tcPr>
            <w:tcW w:w="5000" w:type="pct"/>
          </w:tcPr>
          <w:p w14:paraId="57731D02" w14:textId="22BC3336" w:rsidR="002123E1" w:rsidRPr="004F1EA4" w:rsidRDefault="002123E1" w:rsidP="007314CB">
            <w:pPr>
              <w:spacing w:line="480" w:lineRule="auto"/>
              <w:jc w:val="both"/>
              <w:rPr>
                <w:rFonts w:ascii="Arial" w:hAnsi="Arial" w:cs="Arial"/>
                <w:bCs/>
                <w:sz w:val="20"/>
                <w:szCs w:val="20"/>
                <w:lang w:val="en-GB"/>
              </w:rPr>
            </w:pPr>
            <w:r w:rsidRPr="004F1EA4">
              <w:rPr>
                <w:rFonts w:ascii="Arial" w:hAnsi="Arial" w:cs="Arial"/>
                <w:bCs/>
                <w:sz w:val="20"/>
                <w:szCs w:val="20"/>
                <w:lang w:val="en-GB"/>
              </w:rPr>
              <w:t>Each film-coated tablet contains 118,88 mg of lactose</w:t>
            </w:r>
            <w:r>
              <w:rPr>
                <w:rFonts w:ascii="Arial" w:hAnsi="Arial" w:cs="Arial"/>
                <w:bCs/>
                <w:sz w:val="20"/>
                <w:szCs w:val="20"/>
                <w:lang w:val="en-GB"/>
              </w:rPr>
              <w:t xml:space="preserve"> monohydrate</w:t>
            </w:r>
            <w:r w:rsidRPr="004F1EA4">
              <w:rPr>
                <w:rFonts w:ascii="Arial" w:hAnsi="Arial" w:cs="Arial"/>
                <w:bCs/>
                <w:sz w:val="20"/>
                <w:szCs w:val="20"/>
                <w:lang w:val="en-GB"/>
              </w:rPr>
              <w:t>.</w:t>
            </w:r>
          </w:p>
        </w:tc>
      </w:tr>
      <w:tr w:rsidR="002123E1" w:rsidRPr="004F1EA4" w14:paraId="6C7092D0" w14:textId="2EE21A87" w:rsidTr="002123E1">
        <w:tc>
          <w:tcPr>
            <w:tcW w:w="5000" w:type="pct"/>
          </w:tcPr>
          <w:p w14:paraId="4BFA1CAD" w14:textId="77777777" w:rsidR="002123E1" w:rsidRPr="004F1EA4" w:rsidRDefault="002123E1" w:rsidP="007314CB">
            <w:pPr>
              <w:spacing w:line="480" w:lineRule="auto"/>
              <w:jc w:val="both"/>
              <w:rPr>
                <w:rFonts w:ascii="Arial" w:hAnsi="Arial" w:cs="Arial"/>
                <w:b/>
                <w:bCs/>
                <w:sz w:val="20"/>
                <w:szCs w:val="20"/>
                <w:lang w:val="en-GB"/>
              </w:rPr>
            </w:pPr>
          </w:p>
        </w:tc>
      </w:tr>
      <w:tr w:rsidR="002123E1" w:rsidRPr="004F1EA4" w14:paraId="0D681179" w14:textId="7FDDF50C" w:rsidTr="002123E1">
        <w:tc>
          <w:tcPr>
            <w:tcW w:w="5000" w:type="pct"/>
          </w:tcPr>
          <w:p w14:paraId="34F2C6E7" w14:textId="77777777" w:rsidR="002123E1" w:rsidRPr="004F1EA4" w:rsidRDefault="002123E1" w:rsidP="007314CB">
            <w:pPr>
              <w:spacing w:line="480" w:lineRule="auto"/>
              <w:jc w:val="both"/>
              <w:rPr>
                <w:rFonts w:ascii="Arial" w:hAnsi="Arial" w:cs="Arial"/>
                <w:bCs/>
                <w:sz w:val="20"/>
                <w:szCs w:val="20"/>
                <w:lang w:val="en-GB"/>
              </w:rPr>
            </w:pPr>
            <w:r w:rsidRPr="004F1EA4">
              <w:rPr>
                <w:rFonts w:ascii="Arial" w:hAnsi="Arial" w:cs="Arial"/>
                <w:bCs/>
                <w:sz w:val="20"/>
                <w:szCs w:val="20"/>
                <w:lang w:val="en-GB"/>
              </w:rPr>
              <w:t>For the full list of excipients, see section 6.1.</w:t>
            </w:r>
          </w:p>
        </w:tc>
      </w:tr>
      <w:tr w:rsidR="002123E1" w:rsidRPr="004F1EA4" w14:paraId="673944F7" w14:textId="31CE0998" w:rsidTr="002123E1">
        <w:tc>
          <w:tcPr>
            <w:tcW w:w="5000" w:type="pct"/>
          </w:tcPr>
          <w:p w14:paraId="16252BFC" w14:textId="77777777" w:rsidR="002123E1" w:rsidRPr="004F1EA4" w:rsidRDefault="002123E1" w:rsidP="007314CB">
            <w:pPr>
              <w:spacing w:line="480" w:lineRule="auto"/>
              <w:jc w:val="both"/>
              <w:rPr>
                <w:rFonts w:ascii="Arial" w:hAnsi="Arial" w:cs="Arial"/>
                <w:b/>
                <w:bCs/>
                <w:sz w:val="20"/>
                <w:szCs w:val="20"/>
                <w:lang w:val="en-GB"/>
              </w:rPr>
            </w:pPr>
          </w:p>
        </w:tc>
      </w:tr>
      <w:tr w:rsidR="002123E1" w:rsidRPr="004F1EA4" w14:paraId="21208B45" w14:textId="2B823677" w:rsidTr="002123E1">
        <w:tc>
          <w:tcPr>
            <w:tcW w:w="5000" w:type="pct"/>
          </w:tcPr>
          <w:p w14:paraId="746BC65C" w14:textId="77777777" w:rsidR="002123E1" w:rsidRPr="004F1EA4" w:rsidRDefault="002123E1" w:rsidP="007314CB">
            <w:pPr>
              <w:spacing w:line="480" w:lineRule="auto"/>
              <w:jc w:val="both"/>
              <w:rPr>
                <w:rFonts w:ascii="Arial" w:hAnsi="Arial" w:cs="Arial"/>
                <w:b/>
                <w:bCs/>
                <w:sz w:val="20"/>
                <w:szCs w:val="20"/>
                <w:lang w:val="en-GB"/>
              </w:rPr>
            </w:pPr>
            <w:r w:rsidRPr="004F1EA4">
              <w:rPr>
                <w:rFonts w:ascii="Arial" w:hAnsi="Arial" w:cs="Arial"/>
                <w:b/>
                <w:bCs/>
                <w:sz w:val="20"/>
                <w:szCs w:val="20"/>
                <w:lang w:val="en-GB"/>
              </w:rPr>
              <w:t>3. PHARMACEUTICAL FORM</w:t>
            </w:r>
          </w:p>
        </w:tc>
      </w:tr>
      <w:tr w:rsidR="002123E1" w:rsidRPr="004F1EA4" w14:paraId="2B995D5B" w14:textId="17102B4F" w:rsidTr="002123E1">
        <w:tc>
          <w:tcPr>
            <w:tcW w:w="5000" w:type="pct"/>
          </w:tcPr>
          <w:p w14:paraId="476FB50A" w14:textId="78B77B7A" w:rsidR="002123E1" w:rsidRPr="004F1EA4" w:rsidRDefault="002123E1" w:rsidP="007314CB">
            <w:pPr>
              <w:spacing w:line="480" w:lineRule="auto"/>
              <w:jc w:val="both"/>
              <w:rPr>
                <w:rFonts w:ascii="Arial" w:hAnsi="Arial" w:cs="Arial"/>
                <w:sz w:val="20"/>
                <w:szCs w:val="20"/>
                <w:lang w:val="en-GB"/>
              </w:rPr>
            </w:pPr>
            <w:r w:rsidRPr="004F1EA4">
              <w:rPr>
                <w:rFonts w:ascii="Arial" w:hAnsi="Arial" w:cs="Arial"/>
                <w:sz w:val="20"/>
                <w:szCs w:val="20"/>
                <w:lang w:val="en-GB"/>
              </w:rPr>
              <w:t xml:space="preserve">Film-coated tablets </w:t>
            </w:r>
          </w:p>
        </w:tc>
      </w:tr>
      <w:tr w:rsidR="002123E1" w:rsidRPr="004F1EA4" w14:paraId="5F4E1C67" w14:textId="579E09DE" w:rsidTr="002123E1">
        <w:tc>
          <w:tcPr>
            <w:tcW w:w="5000" w:type="pct"/>
          </w:tcPr>
          <w:p w14:paraId="23500BDF" w14:textId="08520FFE" w:rsidR="002123E1" w:rsidRPr="004F1EA4" w:rsidRDefault="002123E1" w:rsidP="007314CB">
            <w:pPr>
              <w:spacing w:line="480" w:lineRule="auto"/>
              <w:jc w:val="both"/>
              <w:rPr>
                <w:rFonts w:ascii="Arial" w:hAnsi="Arial" w:cs="Arial"/>
                <w:i/>
                <w:sz w:val="20"/>
                <w:szCs w:val="20"/>
                <w:lang w:val="en-GB"/>
              </w:rPr>
            </w:pPr>
            <w:r w:rsidRPr="004F1EA4">
              <w:rPr>
                <w:rFonts w:ascii="Arial" w:hAnsi="Arial" w:cs="Arial"/>
                <w:i/>
                <w:sz w:val="20"/>
                <w:szCs w:val="20"/>
                <w:lang w:val="en-GB"/>
              </w:rPr>
              <w:t>XELJANZ 5 mg film-coated tablets</w:t>
            </w:r>
          </w:p>
        </w:tc>
      </w:tr>
      <w:tr w:rsidR="002123E1" w:rsidRPr="004F1EA4" w14:paraId="30519E00" w14:textId="014278BB" w:rsidTr="002123E1">
        <w:tc>
          <w:tcPr>
            <w:tcW w:w="5000" w:type="pct"/>
          </w:tcPr>
          <w:p w14:paraId="0AA6317B" w14:textId="77777777" w:rsidR="002123E1" w:rsidRPr="004F1EA4" w:rsidRDefault="002123E1" w:rsidP="007314CB">
            <w:pPr>
              <w:spacing w:line="480" w:lineRule="auto"/>
              <w:jc w:val="both"/>
              <w:rPr>
                <w:rFonts w:ascii="Arial" w:hAnsi="Arial" w:cs="Arial"/>
                <w:sz w:val="20"/>
                <w:szCs w:val="20"/>
                <w:lang w:val="en-GB"/>
              </w:rPr>
            </w:pPr>
            <w:r w:rsidRPr="004F1EA4">
              <w:rPr>
                <w:rFonts w:ascii="Arial" w:hAnsi="Arial" w:cs="Arial"/>
                <w:sz w:val="20"/>
                <w:szCs w:val="20"/>
                <w:lang w:val="en-GB"/>
              </w:rPr>
              <w:t>White, round tablet of 7,9 mm diameter, debossed “Pfizer” on one side and “JKI 5” on the other.</w:t>
            </w:r>
          </w:p>
        </w:tc>
      </w:tr>
      <w:tr w:rsidR="002123E1" w:rsidRPr="004F1EA4" w14:paraId="3ADE1AD9" w14:textId="1E7BDFEC" w:rsidTr="002123E1">
        <w:tc>
          <w:tcPr>
            <w:tcW w:w="5000" w:type="pct"/>
          </w:tcPr>
          <w:p w14:paraId="1BB021DF" w14:textId="77777777" w:rsidR="002123E1" w:rsidRPr="004F1EA4" w:rsidRDefault="002123E1" w:rsidP="007314CB">
            <w:pPr>
              <w:spacing w:line="480" w:lineRule="auto"/>
              <w:jc w:val="both"/>
              <w:rPr>
                <w:rFonts w:ascii="Arial" w:hAnsi="Arial" w:cs="Arial"/>
                <w:sz w:val="20"/>
                <w:szCs w:val="20"/>
                <w:lang w:val="en-GB"/>
              </w:rPr>
            </w:pPr>
          </w:p>
        </w:tc>
      </w:tr>
      <w:tr w:rsidR="002123E1" w:rsidRPr="004F1EA4" w14:paraId="7E173E8D" w14:textId="61A5B0E9" w:rsidTr="002123E1">
        <w:tc>
          <w:tcPr>
            <w:tcW w:w="5000" w:type="pct"/>
          </w:tcPr>
          <w:p w14:paraId="4A9AF127" w14:textId="1BCD4ACC" w:rsidR="002123E1" w:rsidRPr="004F1EA4" w:rsidRDefault="002123E1" w:rsidP="007314CB">
            <w:pPr>
              <w:spacing w:line="480" w:lineRule="auto"/>
              <w:jc w:val="both"/>
              <w:rPr>
                <w:rFonts w:ascii="Arial" w:hAnsi="Arial" w:cs="Arial"/>
                <w:i/>
                <w:sz w:val="20"/>
                <w:szCs w:val="20"/>
                <w:lang w:val="en-GB"/>
              </w:rPr>
            </w:pPr>
            <w:r w:rsidRPr="004F1EA4">
              <w:rPr>
                <w:rFonts w:ascii="Arial" w:hAnsi="Arial" w:cs="Arial"/>
                <w:i/>
                <w:sz w:val="20"/>
                <w:szCs w:val="20"/>
                <w:lang w:val="en-GB"/>
              </w:rPr>
              <w:t>XELJANZ 10 mg film-coated tablets</w:t>
            </w:r>
          </w:p>
        </w:tc>
      </w:tr>
      <w:tr w:rsidR="002123E1" w:rsidRPr="004F1EA4" w14:paraId="30C1EBD7" w14:textId="60930AFA" w:rsidTr="002123E1">
        <w:tc>
          <w:tcPr>
            <w:tcW w:w="5000" w:type="pct"/>
          </w:tcPr>
          <w:p w14:paraId="7046EB2C" w14:textId="77777777" w:rsidR="002123E1" w:rsidRPr="004F1EA4" w:rsidRDefault="002123E1" w:rsidP="007314CB">
            <w:pPr>
              <w:spacing w:line="480" w:lineRule="auto"/>
              <w:jc w:val="both"/>
              <w:rPr>
                <w:rFonts w:ascii="Arial" w:hAnsi="Arial" w:cs="Arial"/>
                <w:sz w:val="20"/>
                <w:szCs w:val="20"/>
                <w:lang w:val="en-GB"/>
              </w:rPr>
            </w:pPr>
            <w:r w:rsidRPr="004F1EA4">
              <w:rPr>
                <w:rFonts w:ascii="Arial" w:hAnsi="Arial" w:cs="Arial"/>
                <w:sz w:val="20"/>
                <w:szCs w:val="20"/>
                <w:lang w:val="en-GB"/>
              </w:rPr>
              <w:t>Blue, round tablet of 9,5 mm diameter, debossed “Pfizer” on one side and “JKI 10” on the other.</w:t>
            </w:r>
          </w:p>
        </w:tc>
      </w:tr>
      <w:tr w:rsidR="002123E1" w:rsidRPr="004F1EA4" w14:paraId="7E5C9A47" w14:textId="4D4D019E" w:rsidTr="002123E1">
        <w:tc>
          <w:tcPr>
            <w:tcW w:w="5000" w:type="pct"/>
          </w:tcPr>
          <w:p w14:paraId="70BA5DE6" w14:textId="77777777" w:rsidR="002123E1" w:rsidRPr="004F1EA4" w:rsidRDefault="002123E1" w:rsidP="007314CB">
            <w:pPr>
              <w:spacing w:line="480" w:lineRule="auto"/>
              <w:jc w:val="both"/>
              <w:rPr>
                <w:rFonts w:ascii="Arial" w:hAnsi="Arial" w:cs="Arial"/>
                <w:sz w:val="20"/>
                <w:szCs w:val="20"/>
                <w:lang w:val="en-GB"/>
              </w:rPr>
            </w:pPr>
          </w:p>
        </w:tc>
      </w:tr>
      <w:tr w:rsidR="002123E1" w:rsidRPr="004F1EA4" w14:paraId="1A86F93C" w14:textId="2C8995FD" w:rsidTr="002123E1">
        <w:tc>
          <w:tcPr>
            <w:tcW w:w="5000" w:type="pct"/>
          </w:tcPr>
          <w:p w14:paraId="6FCC8485" w14:textId="77777777" w:rsidR="002123E1" w:rsidRPr="004F1EA4" w:rsidRDefault="002123E1" w:rsidP="007314CB">
            <w:pPr>
              <w:spacing w:line="480" w:lineRule="auto"/>
              <w:jc w:val="both"/>
              <w:rPr>
                <w:rFonts w:ascii="Arial" w:hAnsi="Arial" w:cs="Arial"/>
                <w:b/>
                <w:sz w:val="20"/>
                <w:szCs w:val="20"/>
                <w:lang w:val="en-GB"/>
              </w:rPr>
            </w:pPr>
            <w:r w:rsidRPr="004F1EA4">
              <w:rPr>
                <w:rFonts w:ascii="Arial" w:hAnsi="Arial" w:cs="Arial"/>
                <w:b/>
                <w:sz w:val="20"/>
                <w:szCs w:val="20"/>
                <w:lang w:val="en-GB"/>
              </w:rPr>
              <w:t>4. CLINICAL PARTICULARS</w:t>
            </w:r>
          </w:p>
        </w:tc>
      </w:tr>
      <w:tr w:rsidR="002123E1" w:rsidRPr="004F1EA4" w14:paraId="3FAED938" w14:textId="3C11E5BB" w:rsidTr="002123E1">
        <w:tc>
          <w:tcPr>
            <w:tcW w:w="5000" w:type="pct"/>
          </w:tcPr>
          <w:p w14:paraId="6E7F9565" w14:textId="77777777" w:rsidR="002123E1" w:rsidRPr="004F1EA4" w:rsidRDefault="002123E1" w:rsidP="007314CB">
            <w:pPr>
              <w:spacing w:line="480" w:lineRule="auto"/>
              <w:jc w:val="both"/>
              <w:rPr>
                <w:rFonts w:ascii="Arial" w:hAnsi="Arial" w:cs="Arial"/>
                <w:b/>
                <w:sz w:val="20"/>
                <w:szCs w:val="20"/>
                <w:lang w:val="en-GB"/>
              </w:rPr>
            </w:pPr>
            <w:r w:rsidRPr="004F1EA4">
              <w:rPr>
                <w:rFonts w:ascii="Arial" w:hAnsi="Arial" w:cs="Arial"/>
                <w:b/>
                <w:sz w:val="20"/>
                <w:szCs w:val="20"/>
                <w:lang w:val="en-GB"/>
              </w:rPr>
              <w:t xml:space="preserve">4.1. Therapeutic indications  </w:t>
            </w:r>
          </w:p>
        </w:tc>
      </w:tr>
      <w:tr w:rsidR="002123E1" w:rsidRPr="004F1EA4" w14:paraId="603871DE" w14:textId="46BC7C46" w:rsidTr="002123E1">
        <w:tc>
          <w:tcPr>
            <w:tcW w:w="5000" w:type="pct"/>
          </w:tcPr>
          <w:p w14:paraId="49C6CACE" w14:textId="6775EED4" w:rsidR="002123E1" w:rsidRPr="004F1EA4" w:rsidRDefault="002123E1" w:rsidP="007314CB">
            <w:pPr>
              <w:spacing w:line="480" w:lineRule="auto"/>
              <w:jc w:val="both"/>
              <w:rPr>
                <w:rFonts w:ascii="Arial" w:hAnsi="Arial" w:cs="Arial"/>
                <w:i/>
                <w:sz w:val="20"/>
                <w:szCs w:val="20"/>
                <w:lang w:val="en-GB"/>
              </w:rPr>
            </w:pPr>
            <w:r w:rsidRPr="004F1EA4">
              <w:rPr>
                <w:rFonts w:ascii="Arial" w:hAnsi="Arial" w:cs="Arial"/>
                <w:i/>
                <w:sz w:val="20"/>
                <w:szCs w:val="20"/>
                <w:lang w:val="en-GB"/>
              </w:rPr>
              <w:t>Rheumatoid arthritis</w:t>
            </w:r>
          </w:p>
        </w:tc>
      </w:tr>
      <w:tr w:rsidR="002123E1" w:rsidRPr="004F1EA4" w14:paraId="444383DD" w14:textId="1CAF3AA4" w:rsidTr="002123E1">
        <w:trPr>
          <w:trHeight w:val="2196"/>
        </w:trPr>
        <w:tc>
          <w:tcPr>
            <w:tcW w:w="5000" w:type="pct"/>
          </w:tcPr>
          <w:p w14:paraId="5D1D2909" w14:textId="311EF3BC" w:rsidR="002123E1" w:rsidRPr="004F1EA4" w:rsidRDefault="002123E1" w:rsidP="007314CB">
            <w:pPr>
              <w:spacing w:line="480" w:lineRule="auto"/>
              <w:jc w:val="both"/>
              <w:rPr>
                <w:rFonts w:ascii="Arial" w:hAnsi="Arial" w:cs="Arial"/>
                <w:sz w:val="20"/>
                <w:szCs w:val="20"/>
                <w:lang w:val="en-GB"/>
              </w:rPr>
            </w:pPr>
            <w:r w:rsidRPr="004F1EA4">
              <w:rPr>
                <w:rFonts w:ascii="Arial" w:hAnsi="Arial" w:cs="Arial"/>
                <w:sz w:val="20"/>
                <w:szCs w:val="20"/>
                <w:lang w:val="en-GB"/>
              </w:rPr>
              <w:t>XELJANZ in combination with methotrexate (MTX) is indicated for the treatment of moderate to severe active rheumatoid arthritis (RA) in adult patients who have responded inadequately to, or who are intolerant to one or more disease-modifying antirheumatic drugs. XELJANZ can be given as monotherapy in case of intolerance to MTX or when treatment with MTX is inappropriate (see sections 4.4 and 4.5).</w:t>
            </w:r>
          </w:p>
        </w:tc>
      </w:tr>
      <w:tr w:rsidR="002123E1" w:rsidRPr="004F1EA4" w14:paraId="34AC920E" w14:textId="12062B59" w:rsidTr="002123E1">
        <w:trPr>
          <w:trHeight w:val="386"/>
        </w:trPr>
        <w:tc>
          <w:tcPr>
            <w:tcW w:w="5000" w:type="pct"/>
          </w:tcPr>
          <w:p w14:paraId="2FE1F4C5" w14:textId="370A0D98" w:rsidR="002123E1" w:rsidRPr="004F1EA4" w:rsidRDefault="002123E1" w:rsidP="007314CB">
            <w:pPr>
              <w:spacing w:line="480" w:lineRule="auto"/>
              <w:jc w:val="both"/>
              <w:rPr>
                <w:rFonts w:ascii="Arial" w:hAnsi="Arial" w:cs="Arial"/>
                <w:i/>
                <w:sz w:val="20"/>
                <w:szCs w:val="20"/>
                <w:lang w:val="en-GB"/>
              </w:rPr>
            </w:pPr>
            <w:bookmarkStart w:id="1" w:name="_Hlk17114204"/>
            <w:r w:rsidRPr="004F1EA4">
              <w:rPr>
                <w:rFonts w:ascii="Arial" w:hAnsi="Arial" w:cs="Arial"/>
                <w:i/>
                <w:sz w:val="20"/>
                <w:szCs w:val="20"/>
                <w:lang w:val="en-GB"/>
              </w:rPr>
              <w:t>Psoriatic arthritis</w:t>
            </w:r>
          </w:p>
        </w:tc>
      </w:tr>
      <w:bookmarkEnd w:id="1"/>
      <w:tr w:rsidR="002123E1" w:rsidRPr="004F1EA4" w14:paraId="43130934" w14:textId="1ABBDCCE" w:rsidTr="002123E1">
        <w:tc>
          <w:tcPr>
            <w:tcW w:w="5000" w:type="pct"/>
          </w:tcPr>
          <w:p w14:paraId="1D671FA0" w14:textId="0E57013A" w:rsidR="002123E1" w:rsidRPr="004F1EA4" w:rsidRDefault="002123E1" w:rsidP="007314CB">
            <w:pPr>
              <w:spacing w:line="480" w:lineRule="auto"/>
              <w:jc w:val="both"/>
              <w:rPr>
                <w:rFonts w:ascii="Arial" w:hAnsi="Arial" w:cs="Arial"/>
                <w:sz w:val="20"/>
                <w:szCs w:val="20"/>
                <w:lang w:val="en-GB"/>
              </w:rPr>
            </w:pPr>
            <w:r w:rsidRPr="004F1EA4">
              <w:rPr>
                <w:rFonts w:ascii="Arial" w:hAnsi="Arial" w:cs="Arial"/>
                <w:sz w:val="20"/>
                <w:szCs w:val="20"/>
                <w:lang w:val="en-GB"/>
              </w:rPr>
              <w:t>XELJANZ in combination with MTX is indicated for the treatment of active psoriatic arthritis (</w:t>
            </w:r>
            <w:proofErr w:type="spellStart"/>
            <w:r w:rsidRPr="004F1EA4">
              <w:rPr>
                <w:rFonts w:ascii="Arial" w:hAnsi="Arial" w:cs="Arial"/>
                <w:sz w:val="20"/>
                <w:szCs w:val="20"/>
                <w:lang w:val="en-GB"/>
              </w:rPr>
              <w:t>PsA</w:t>
            </w:r>
            <w:proofErr w:type="spellEnd"/>
            <w:r w:rsidRPr="004F1EA4">
              <w:rPr>
                <w:rFonts w:ascii="Arial" w:hAnsi="Arial" w:cs="Arial"/>
                <w:sz w:val="20"/>
                <w:szCs w:val="20"/>
                <w:lang w:val="en-GB"/>
              </w:rPr>
              <w:t>) in adult patients who have had an inadequate response or who have been intolerant to a prior disease modifying antirheumatic drug (DMARD) therapy (see section 5.1).</w:t>
            </w:r>
          </w:p>
        </w:tc>
      </w:tr>
      <w:tr w:rsidR="002123E1" w:rsidRPr="004F1EA4" w14:paraId="16BA0EE0" w14:textId="461142E3" w:rsidTr="002123E1">
        <w:tc>
          <w:tcPr>
            <w:tcW w:w="5000" w:type="pct"/>
          </w:tcPr>
          <w:p w14:paraId="418C16B0" w14:textId="77777777" w:rsidR="002123E1" w:rsidRPr="004F1EA4" w:rsidRDefault="002123E1" w:rsidP="007314CB">
            <w:pPr>
              <w:spacing w:line="480" w:lineRule="auto"/>
              <w:jc w:val="both"/>
              <w:rPr>
                <w:rFonts w:ascii="Arial" w:hAnsi="Arial" w:cs="Arial"/>
                <w:sz w:val="20"/>
                <w:szCs w:val="20"/>
                <w:lang w:val="en-GB"/>
              </w:rPr>
            </w:pPr>
          </w:p>
        </w:tc>
      </w:tr>
      <w:tr w:rsidR="002123E1" w:rsidRPr="004F1EA4" w14:paraId="7014E2AA" w14:textId="704B6F24" w:rsidTr="002123E1">
        <w:trPr>
          <w:trHeight w:val="233"/>
        </w:trPr>
        <w:tc>
          <w:tcPr>
            <w:tcW w:w="5000" w:type="pct"/>
          </w:tcPr>
          <w:p w14:paraId="6EBA5212" w14:textId="024BDBC0" w:rsidR="002123E1" w:rsidRPr="004F1EA4" w:rsidRDefault="002123E1" w:rsidP="007314CB">
            <w:pPr>
              <w:spacing w:line="480" w:lineRule="auto"/>
              <w:jc w:val="both"/>
              <w:rPr>
                <w:rFonts w:ascii="Arial" w:hAnsi="Arial" w:cs="Arial"/>
                <w:i/>
                <w:sz w:val="20"/>
                <w:szCs w:val="20"/>
                <w:lang w:val="en-GB"/>
              </w:rPr>
            </w:pPr>
            <w:r w:rsidRPr="004F1EA4">
              <w:rPr>
                <w:rFonts w:ascii="Arial" w:hAnsi="Arial" w:cs="Arial"/>
                <w:i/>
                <w:sz w:val="20"/>
                <w:szCs w:val="20"/>
                <w:lang w:val="en-GB"/>
              </w:rPr>
              <w:t>Ulcerative colitis</w:t>
            </w:r>
          </w:p>
        </w:tc>
      </w:tr>
      <w:tr w:rsidR="002123E1" w:rsidRPr="004F1EA4" w14:paraId="6D945ED7" w14:textId="58BDB63B" w:rsidTr="002123E1">
        <w:tc>
          <w:tcPr>
            <w:tcW w:w="5000" w:type="pct"/>
          </w:tcPr>
          <w:p w14:paraId="37B1927E" w14:textId="48026B3C" w:rsidR="002123E1" w:rsidRPr="004F1EA4" w:rsidRDefault="002123E1" w:rsidP="007314CB">
            <w:pPr>
              <w:spacing w:line="480" w:lineRule="auto"/>
              <w:jc w:val="both"/>
              <w:rPr>
                <w:rFonts w:ascii="Arial" w:hAnsi="Arial" w:cs="Arial"/>
                <w:sz w:val="20"/>
                <w:szCs w:val="20"/>
                <w:lang w:val="en-GB"/>
              </w:rPr>
            </w:pPr>
            <w:r w:rsidRPr="004F1EA4">
              <w:rPr>
                <w:rFonts w:ascii="Arial" w:hAnsi="Arial" w:cs="Arial"/>
                <w:sz w:val="20"/>
                <w:szCs w:val="20"/>
                <w:lang w:val="en-GB"/>
              </w:rPr>
              <w:t>XELJANZ is indicated for the treatment of adult patients with moderately to severely active ulcerative colitis (UC) who have had an inadequate response, lost response, or were intolerant to either conventional therapy or a biologic medicine (see section 5.1).</w:t>
            </w:r>
          </w:p>
        </w:tc>
      </w:tr>
      <w:tr w:rsidR="002123E1" w:rsidRPr="004F1EA4" w14:paraId="6A087141" w14:textId="3128DB40" w:rsidTr="002123E1">
        <w:tc>
          <w:tcPr>
            <w:tcW w:w="5000" w:type="pct"/>
          </w:tcPr>
          <w:p w14:paraId="658610C6" w14:textId="77777777" w:rsidR="002123E1" w:rsidRPr="004F1EA4" w:rsidRDefault="002123E1" w:rsidP="007314CB">
            <w:pPr>
              <w:spacing w:line="480" w:lineRule="auto"/>
              <w:jc w:val="both"/>
              <w:rPr>
                <w:rFonts w:ascii="Arial" w:hAnsi="Arial" w:cs="Arial"/>
                <w:sz w:val="20"/>
                <w:szCs w:val="20"/>
                <w:lang w:val="en-GB"/>
              </w:rPr>
            </w:pPr>
          </w:p>
        </w:tc>
      </w:tr>
      <w:tr w:rsidR="002123E1" w:rsidRPr="004F1EA4" w14:paraId="170F4F9E" w14:textId="6AB29E37" w:rsidTr="002123E1">
        <w:tc>
          <w:tcPr>
            <w:tcW w:w="5000" w:type="pct"/>
          </w:tcPr>
          <w:p w14:paraId="7F537B69" w14:textId="77777777" w:rsidR="002123E1" w:rsidRPr="004F1EA4" w:rsidRDefault="002123E1" w:rsidP="007314CB">
            <w:pPr>
              <w:spacing w:line="480" w:lineRule="auto"/>
              <w:jc w:val="both"/>
              <w:rPr>
                <w:rFonts w:ascii="Arial" w:hAnsi="Arial" w:cs="Arial"/>
                <w:b/>
                <w:sz w:val="20"/>
                <w:szCs w:val="20"/>
                <w:lang w:val="en-GB"/>
              </w:rPr>
            </w:pPr>
            <w:r w:rsidRPr="004F1EA4">
              <w:rPr>
                <w:rFonts w:ascii="Arial" w:hAnsi="Arial" w:cs="Arial"/>
                <w:b/>
                <w:sz w:val="20"/>
                <w:szCs w:val="20"/>
                <w:lang w:val="en-GB"/>
              </w:rPr>
              <w:t>4.2. Posology and method of administration</w:t>
            </w:r>
          </w:p>
        </w:tc>
      </w:tr>
      <w:tr w:rsidR="002123E1" w:rsidRPr="004F1EA4" w14:paraId="352049F2" w14:textId="1AFF9908" w:rsidTr="002123E1">
        <w:tc>
          <w:tcPr>
            <w:tcW w:w="5000" w:type="pct"/>
          </w:tcPr>
          <w:p w14:paraId="387B98D9" w14:textId="3BC7E5FF" w:rsidR="002123E1" w:rsidRPr="004F1EA4" w:rsidRDefault="002123E1" w:rsidP="007314CB">
            <w:pPr>
              <w:pStyle w:val="Header"/>
              <w:tabs>
                <w:tab w:val="clear" w:pos="4320"/>
                <w:tab w:val="clear" w:pos="8640"/>
              </w:tabs>
              <w:spacing w:line="480" w:lineRule="auto"/>
              <w:jc w:val="both"/>
              <w:rPr>
                <w:rFonts w:ascii="Arial" w:hAnsi="Arial" w:cs="Arial"/>
                <w:lang w:val="en-GB"/>
              </w:rPr>
            </w:pPr>
            <w:r w:rsidRPr="004F1EA4">
              <w:rPr>
                <w:rFonts w:ascii="Arial" w:hAnsi="Arial" w:cs="Arial"/>
                <w:lang w:val="en-GB"/>
              </w:rPr>
              <w:t>Treatment should be initiated and supervised by medical practitioners experienced in the diagnosis and treatment of conditions for which XELJANZ is indicated.</w:t>
            </w:r>
          </w:p>
        </w:tc>
      </w:tr>
      <w:tr w:rsidR="002123E1" w:rsidRPr="004F1EA4" w14:paraId="028B15C3" w14:textId="10D88345" w:rsidTr="002123E1">
        <w:tc>
          <w:tcPr>
            <w:tcW w:w="5000" w:type="pct"/>
          </w:tcPr>
          <w:p w14:paraId="46407DCF" w14:textId="75A267AA" w:rsidR="002123E1" w:rsidRPr="004F1EA4" w:rsidRDefault="002123E1" w:rsidP="007314CB">
            <w:pPr>
              <w:pStyle w:val="Header"/>
              <w:tabs>
                <w:tab w:val="clear" w:pos="4320"/>
                <w:tab w:val="clear" w:pos="8640"/>
              </w:tabs>
              <w:spacing w:line="480" w:lineRule="auto"/>
              <w:jc w:val="both"/>
              <w:rPr>
                <w:rFonts w:ascii="Arial" w:hAnsi="Arial" w:cs="Arial"/>
                <w:lang w:val="en-GB"/>
              </w:rPr>
            </w:pPr>
          </w:p>
        </w:tc>
      </w:tr>
      <w:tr w:rsidR="002123E1" w:rsidRPr="004F1EA4" w14:paraId="5DFDF724" w14:textId="312D3B14" w:rsidTr="002123E1">
        <w:tc>
          <w:tcPr>
            <w:tcW w:w="5000" w:type="pct"/>
          </w:tcPr>
          <w:p w14:paraId="08E28731" w14:textId="77777777" w:rsidR="002123E1" w:rsidRPr="004F1EA4" w:rsidRDefault="002123E1" w:rsidP="007314CB">
            <w:pPr>
              <w:pStyle w:val="Header"/>
              <w:tabs>
                <w:tab w:val="clear" w:pos="4320"/>
                <w:tab w:val="clear" w:pos="8640"/>
              </w:tabs>
              <w:spacing w:line="480" w:lineRule="auto"/>
              <w:jc w:val="both"/>
              <w:rPr>
                <w:rFonts w:ascii="Arial" w:hAnsi="Arial" w:cs="Arial"/>
                <w:b/>
                <w:lang w:val="en-GB"/>
              </w:rPr>
            </w:pPr>
            <w:r w:rsidRPr="004F1EA4">
              <w:rPr>
                <w:rFonts w:ascii="Arial" w:hAnsi="Arial" w:cs="Arial"/>
                <w:b/>
                <w:lang w:val="en-GB"/>
              </w:rPr>
              <w:t>Posology</w:t>
            </w:r>
          </w:p>
        </w:tc>
      </w:tr>
      <w:tr w:rsidR="002123E1" w:rsidRPr="004F1EA4" w14:paraId="5A0B4572" w14:textId="4E4F1A2C" w:rsidTr="002123E1">
        <w:tc>
          <w:tcPr>
            <w:tcW w:w="5000" w:type="pct"/>
          </w:tcPr>
          <w:p w14:paraId="3D729F44" w14:textId="046394DC" w:rsidR="002123E1" w:rsidRPr="004F1EA4" w:rsidRDefault="002123E1" w:rsidP="007314CB">
            <w:pPr>
              <w:pStyle w:val="Header"/>
              <w:tabs>
                <w:tab w:val="clear" w:pos="4320"/>
                <w:tab w:val="clear" w:pos="8640"/>
              </w:tabs>
              <w:spacing w:line="480" w:lineRule="auto"/>
              <w:jc w:val="both"/>
              <w:rPr>
                <w:rFonts w:ascii="Arial" w:hAnsi="Arial" w:cs="Arial"/>
                <w:i/>
                <w:lang w:val="en-GB"/>
              </w:rPr>
            </w:pPr>
            <w:r w:rsidRPr="004F1EA4">
              <w:rPr>
                <w:rFonts w:ascii="Arial" w:hAnsi="Arial" w:cs="Arial"/>
                <w:i/>
                <w:lang w:val="en-GB"/>
              </w:rPr>
              <w:t>Rheumatoid arthritis and psoriatic arthritis</w:t>
            </w:r>
          </w:p>
        </w:tc>
      </w:tr>
      <w:tr w:rsidR="002123E1" w:rsidRPr="004F1EA4" w14:paraId="5FAB5687" w14:textId="1D529BB0" w:rsidTr="002123E1">
        <w:tc>
          <w:tcPr>
            <w:tcW w:w="5000" w:type="pct"/>
          </w:tcPr>
          <w:p w14:paraId="6AC3DB09" w14:textId="77777777" w:rsidR="002123E1" w:rsidRPr="004F1EA4" w:rsidRDefault="002123E1" w:rsidP="007314CB">
            <w:pPr>
              <w:pStyle w:val="Header"/>
              <w:tabs>
                <w:tab w:val="clear" w:pos="4320"/>
                <w:tab w:val="clear" w:pos="8640"/>
              </w:tabs>
              <w:spacing w:line="480" w:lineRule="auto"/>
              <w:jc w:val="both"/>
              <w:rPr>
                <w:rFonts w:ascii="Arial" w:hAnsi="Arial" w:cs="Arial"/>
                <w:lang w:val="en-GB"/>
              </w:rPr>
            </w:pPr>
            <w:r w:rsidRPr="004F1EA4">
              <w:rPr>
                <w:rFonts w:ascii="Arial" w:hAnsi="Arial" w:cs="Arial"/>
                <w:lang w:val="en-GB"/>
              </w:rPr>
              <w:t>The recommended dose is 5 mg administered twice daily.</w:t>
            </w:r>
          </w:p>
        </w:tc>
      </w:tr>
      <w:tr w:rsidR="002123E1" w:rsidRPr="004F1EA4" w14:paraId="062A4CE5" w14:textId="6E42B8F8" w:rsidTr="002123E1">
        <w:tc>
          <w:tcPr>
            <w:tcW w:w="5000" w:type="pct"/>
          </w:tcPr>
          <w:p w14:paraId="271DE388" w14:textId="77777777" w:rsidR="002123E1" w:rsidRPr="004F1EA4" w:rsidRDefault="002123E1" w:rsidP="007314CB">
            <w:pPr>
              <w:pStyle w:val="Header"/>
              <w:tabs>
                <w:tab w:val="clear" w:pos="4320"/>
                <w:tab w:val="clear" w:pos="8640"/>
              </w:tabs>
              <w:spacing w:line="480" w:lineRule="auto"/>
              <w:jc w:val="both"/>
              <w:rPr>
                <w:rFonts w:ascii="Arial" w:hAnsi="Arial" w:cs="Arial"/>
                <w:lang w:val="en-GB"/>
              </w:rPr>
            </w:pPr>
          </w:p>
        </w:tc>
      </w:tr>
      <w:tr w:rsidR="002123E1" w:rsidRPr="004F1EA4" w14:paraId="7BF1E6B7" w14:textId="072A5901" w:rsidTr="002123E1">
        <w:tc>
          <w:tcPr>
            <w:tcW w:w="5000" w:type="pct"/>
          </w:tcPr>
          <w:p w14:paraId="3A3E9C24" w14:textId="239F9834" w:rsidR="002123E1" w:rsidRPr="004F1EA4" w:rsidRDefault="002123E1" w:rsidP="007314CB">
            <w:pPr>
              <w:spacing w:line="480" w:lineRule="auto"/>
              <w:jc w:val="both"/>
              <w:rPr>
                <w:rFonts w:ascii="Arial" w:hAnsi="Arial" w:cs="Arial"/>
                <w:i/>
                <w:sz w:val="20"/>
                <w:szCs w:val="20"/>
                <w:lang w:val="en-GB"/>
              </w:rPr>
            </w:pPr>
            <w:r w:rsidRPr="004F1EA4">
              <w:rPr>
                <w:rFonts w:ascii="Arial" w:hAnsi="Arial" w:cs="Arial"/>
                <w:i/>
                <w:sz w:val="20"/>
                <w:szCs w:val="20"/>
                <w:lang w:val="en-GB"/>
              </w:rPr>
              <w:t>Dose adjustment</w:t>
            </w:r>
          </w:p>
        </w:tc>
      </w:tr>
      <w:tr w:rsidR="002123E1" w:rsidRPr="004F1EA4" w14:paraId="45D680A0" w14:textId="20A12FB0" w:rsidTr="002123E1">
        <w:tc>
          <w:tcPr>
            <w:tcW w:w="5000" w:type="pct"/>
          </w:tcPr>
          <w:p w14:paraId="7A775EDF" w14:textId="77777777" w:rsidR="002123E1" w:rsidRPr="004F1EA4" w:rsidRDefault="002123E1" w:rsidP="007314CB">
            <w:pPr>
              <w:spacing w:line="480" w:lineRule="auto"/>
              <w:jc w:val="both"/>
              <w:rPr>
                <w:rFonts w:ascii="Arial" w:hAnsi="Arial" w:cs="Arial"/>
                <w:sz w:val="20"/>
                <w:szCs w:val="20"/>
                <w:lang w:val="en-GB"/>
              </w:rPr>
            </w:pPr>
            <w:r w:rsidRPr="004F1EA4">
              <w:rPr>
                <w:rFonts w:ascii="Arial" w:hAnsi="Arial" w:cs="Arial"/>
                <w:sz w:val="20"/>
                <w:szCs w:val="20"/>
                <w:lang w:val="en-GB"/>
              </w:rPr>
              <w:t>No dose adjustment is required when used in combination with MTX.</w:t>
            </w:r>
          </w:p>
        </w:tc>
      </w:tr>
      <w:tr w:rsidR="002123E1" w:rsidRPr="004F1EA4" w14:paraId="73171293" w14:textId="758C74BA" w:rsidTr="002123E1">
        <w:tc>
          <w:tcPr>
            <w:tcW w:w="5000" w:type="pct"/>
          </w:tcPr>
          <w:p w14:paraId="216D154B" w14:textId="77777777" w:rsidR="002123E1" w:rsidRPr="004F1EA4" w:rsidRDefault="002123E1" w:rsidP="007314CB">
            <w:pPr>
              <w:spacing w:line="480" w:lineRule="auto"/>
              <w:jc w:val="both"/>
              <w:rPr>
                <w:rFonts w:ascii="Arial" w:hAnsi="Arial" w:cs="Arial"/>
                <w:sz w:val="20"/>
                <w:szCs w:val="20"/>
                <w:lang w:val="en-GB"/>
              </w:rPr>
            </w:pPr>
          </w:p>
        </w:tc>
      </w:tr>
      <w:tr w:rsidR="002123E1" w:rsidRPr="004F1EA4" w14:paraId="75B62AAE" w14:textId="11FA60D6" w:rsidTr="002123E1">
        <w:tc>
          <w:tcPr>
            <w:tcW w:w="5000" w:type="pct"/>
          </w:tcPr>
          <w:p w14:paraId="7AED5478" w14:textId="61F0CD33" w:rsidR="002123E1" w:rsidRPr="004F1EA4" w:rsidRDefault="002123E1" w:rsidP="007314CB">
            <w:pPr>
              <w:spacing w:line="480" w:lineRule="auto"/>
              <w:jc w:val="both"/>
              <w:rPr>
                <w:rFonts w:ascii="Arial" w:hAnsi="Arial" w:cs="Arial"/>
                <w:i/>
                <w:sz w:val="20"/>
                <w:szCs w:val="20"/>
                <w:lang w:val="en-GB"/>
              </w:rPr>
            </w:pPr>
            <w:r w:rsidRPr="004F1EA4">
              <w:rPr>
                <w:rFonts w:ascii="Arial" w:hAnsi="Arial" w:cs="Arial"/>
                <w:sz w:val="20"/>
                <w:szCs w:val="20"/>
                <w:lang w:val="en-GB"/>
              </w:rPr>
              <w:t xml:space="preserve"> </w:t>
            </w:r>
            <w:r w:rsidRPr="004F1EA4">
              <w:rPr>
                <w:rFonts w:ascii="Arial" w:hAnsi="Arial" w:cs="Arial"/>
                <w:i/>
                <w:sz w:val="20"/>
                <w:szCs w:val="20"/>
                <w:lang w:val="en-GB"/>
              </w:rPr>
              <w:t>Ulcerative colitis</w:t>
            </w:r>
          </w:p>
        </w:tc>
      </w:tr>
      <w:tr w:rsidR="002123E1" w:rsidRPr="004F1EA4" w14:paraId="6F48E968" w14:textId="3795F54C" w:rsidTr="002123E1">
        <w:tc>
          <w:tcPr>
            <w:tcW w:w="5000" w:type="pct"/>
          </w:tcPr>
          <w:p w14:paraId="011BB86F" w14:textId="77777777" w:rsidR="002123E1" w:rsidRPr="004F1EA4" w:rsidRDefault="002123E1" w:rsidP="00FE6A47">
            <w:pPr>
              <w:spacing w:line="480" w:lineRule="auto"/>
              <w:jc w:val="both"/>
              <w:rPr>
                <w:rFonts w:ascii="Arial" w:hAnsi="Arial" w:cs="Arial"/>
                <w:bCs/>
                <w:sz w:val="20"/>
                <w:szCs w:val="20"/>
                <w:lang w:val="en-GB"/>
              </w:rPr>
            </w:pPr>
            <w:r w:rsidRPr="004F1EA4">
              <w:rPr>
                <w:rFonts w:ascii="Arial" w:hAnsi="Arial" w:cs="Arial"/>
                <w:bCs/>
                <w:sz w:val="20"/>
                <w:szCs w:val="20"/>
                <w:lang w:val="en-GB"/>
              </w:rPr>
              <w:t xml:space="preserve">The recommended dose is 10 mg given orally twice daily for induction for 8 weeks and 5 mg given twice daily for maintenance. </w:t>
            </w:r>
          </w:p>
        </w:tc>
      </w:tr>
      <w:tr w:rsidR="002123E1" w:rsidRPr="004F1EA4" w14:paraId="52F5363E" w14:textId="33282179" w:rsidTr="002123E1">
        <w:tc>
          <w:tcPr>
            <w:tcW w:w="5000" w:type="pct"/>
          </w:tcPr>
          <w:p w14:paraId="3D73DD24" w14:textId="77777777" w:rsidR="002123E1" w:rsidRPr="004F1EA4" w:rsidRDefault="002123E1" w:rsidP="00FE6A47">
            <w:pPr>
              <w:spacing w:line="480" w:lineRule="auto"/>
              <w:jc w:val="both"/>
              <w:rPr>
                <w:rFonts w:ascii="Arial" w:hAnsi="Arial" w:cs="Arial"/>
                <w:bCs/>
                <w:sz w:val="20"/>
                <w:szCs w:val="20"/>
                <w:lang w:val="en-GB"/>
              </w:rPr>
            </w:pPr>
          </w:p>
        </w:tc>
      </w:tr>
      <w:tr w:rsidR="002123E1" w:rsidRPr="004F1EA4" w14:paraId="786FA656" w14:textId="78E0D807" w:rsidTr="002123E1">
        <w:tc>
          <w:tcPr>
            <w:tcW w:w="5000" w:type="pct"/>
          </w:tcPr>
          <w:p w14:paraId="0DA55CFE" w14:textId="2AAC3399" w:rsidR="002123E1" w:rsidRPr="004F1EA4" w:rsidRDefault="002123E1" w:rsidP="00FE6A47">
            <w:pPr>
              <w:spacing w:line="480" w:lineRule="auto"/>
              <w:jc w:val="both"/>
              <w:rPr>
                <w:rFonts w:ascii="Arial" w:hAnsi="Arial" w:cs="Arial"/>
                <w:bCs/>
                <w:sz w:val="20"/>
                <w:szCs w:val="20"/>
                <w:lang w:val="en-GB"/>
              </w:rPr>
            </w:pPr>
            <w:r w:rsidRPr="004F1EA4">
              <w:rPr>
                <w:rFonts w:ascii="Arial" w:hAnsi="Arial" w:cs="Arial"/>
                <w:bCs/>
                <w:sz w:val="20"/>
                <w:szCs w:val="20"/>
                <w:lang w:val="en-GB"/>
              </w:rPr>
              <w:t>For patients who do not achieve adequate therapeutic benefit by week 8, the induction dose of 10 mg twice daily can be extended for an additional 8 weeks (16 weeks total), followed by 5 mg twice daily for maintenance. XELJANZ induction therapy should be discontinued in any patient who shows no evidence of therapeutic benefit by week 16.</w:t>
            </w:r>
          </w:p>
        </w:tc>
      </w:tr>
      <w:tr w:rsidR="002123E1" w:rsidRPr="004F1EA4" w14:paraId="524E7BDF" w14:textId="14528D9E" w:rsidTr="002123E1">
        <w:tc>
          <w:tcPr>
            <w:tcW w:w="5000" w:type="pct"/>
          </w:tcPr>
          <w:p w14:paraId="78AFC36D" w14:textId="77777777" w:rsidR="002123E1" w:rsidRPr="004F1EA4" w:rsidRDefault="002123E1" w:rsidP="00FE6A47">
            <w:pPr>
              <w:spacing w:line="480" w:lineRule="auto"/>
              <w:jc w:val="both"/>
              <w:rPr>
                <w:rFonts w:ascii="Arial" w:hAnsi="Arial" w:cs="Arial"/>
                <w:bCs/>
                <w:sz w:val="20"/>
                <w:szCs w:val="20"/>
                <w:lang w:val="en-GB"/>
              </w:rPr>
            </w:pPr>
          </w:p>
        </w:tc>
      </w:tr>
      <w:tr w:rsidR="002123E1" w:rsidRPr="004F1EA4" w14:paraId="0CF80ACF" w14:textId="797A81EE" w:rsidTr="002123E1">
        <w:tc>
          <w:tcPr>
            <w:tcW w:w="5000" w:type="pct"/>
          </w:tcPr>
          <w:p w14:paraId="2988B98C" w14:textId="7C1C5C43" w:rsidR="002123E1" w:rsidRPr="004F1EA4" w:rsidRDefault="002123E1" w:rsidP="00FE6A47">
            <w:pPr>
              <w:spacing w:line="480" w:lineRule="auto"/>
              <w:jc w:val="both"/>
              <w:rPr>
                <w:rFonts w:ascii="Arial" w:hAnsi="Arial" w:cs="Arial"/>
                <w:bCs/>
                <w:sz w:val="20"/>
                <w:szCs w:val="20"/>
                <w:lang w:val="en-GB"/>
              </w:rPr>
            </w:pPr>
            <w:r w:rsidRPr="004F1EA4">
              <w:rPr>
                <w:rFonts w:ascii="Arial" w:hAnsi="Arial" w:cs="Arial"/>
                <w:bCs/>
                <w:sz w:val="20"/>
                <w:szCs w:val="20"/>
                <w:lang w:val="en-GB"/>
              </w:rPr>
              <w:t>For some patients, such as those who have failed prior tumour necrosis factor (TNF) antagonist therapy, consideration should be given to continuation of the 10 mg twice daily dose for maintenance in order to maintain therapeutic benefit (see section 5.1).</w:t>
            </w:r>
          </w:p>
        </w:tc>
      </w:tr>
      <w:tr w:rsidR="002123E1" w:rsidRPr="004F1EA4" w14:paraId="14F285BB" w14:textId="444BCFA6" w:rsidTr="002123E1">
        <w:tc>
          <w:tcPr>
            <w:tcW w:w="5000" w:type="pct"/>
          </w:tcPr>
          <w:p w14:paraId="1260ABAD" w14:textId="77777777" w:rsidR="002123E1" w:rsidRPr="004F1EA4" w:rsidRDefault="002123E1" w:rsidP="00FE6A47">
            <w:pPr>
              <w:spacing w:line="480" w:lineRule="auto"/>
              <w:jc w:val="both"/>
              <w:rPr>
                <w:rFonts w:ascii="Arial" w:hAnsi="Arial" w:cs="Arial"/>
                <w:bCs/>
                <w:sz w:val="20"/>
                <w:szCs w:val="20"/>
                <w:lang w:val="en-GB"/>
              </w:rPr>
            </w:pPr>
          </w:p>
        </w:tc>
      </w:tr>
      <w:tr w:rsidR="002123E1" w:rsidRPr="004F1EA4" w14:paraId="3A8B1C14" w14:textId="195F7A41" w:rsidTr="002123E1">
        <w:trPr>
          <w:trHeight w:val="737"/>
        </w:trPr>
        <w:tc>
          <w:tcPr>
            <w:tcW w:w="5000" w:type="pct"/>
          </w:tcPr>
          <w:p w14:paraId="3E4ECFEE" w14:textId="74D9E01C" w:rsidR="002123E1" w:rsidRPr="004F1EA4" w:rsidRDefault="002123E1" w:rsidP="007314CB">
            <w:pPr>
              <w:spacing w:line="480" w:lineRule="auto"/>
              <w:jc w:val="both"/>
              <w:rPr>
                <w:rFonts w:ascii="Arial" w:hAnsi="Arial" w:cs="Arial"/>
                <w:bCs/>
                <w:sz w:val="20"/>
                <w:szCs w:val="20"/>
                <w:lang w:val="en-GB"/>
              </w:rPr>
            </w:pPr>
            <w:r w:rsidRPr="004F1EA4">
              <w:rPr>
                <w:rFonts w:ascii="Arial" w:hAnsi="Arial" w:cs="Arial"/>
                <w:bCs/>
                <w:sz w:val="20"/>
                <w:szCs w:val="20"/>
                <w:lang w:val="en-GB"/>
              </w:rPr>
              <w:t xml:space="preserve">Patients who experience a decrease in response on XELJANZ 5 mg twice daily maintenance therapy may benefit from an increase to XELJANZ 10 mg administered twice daily. </w:t>
            </w:r>
          </w:p>
        </w:tc>
      </w:tr>
      <w:tr w:rsidR="002123E1" w:rsidRPr="004F1EA4" w14:paraId="6BE03938" w14:textId="3878BED6" w:rsidTr="002123E1">
        <w:tc>
          <w:tcPr>
            <w:tcW w:w="5000" w:type="pct"/>
          </w:tcPr>
          <w:p w14:paraId="560DCF96" w14:textId="77777777" w:rsidR="002123E1" w:rsidRPr="004F1EA4" w:rsidRDefault="002123E1" w:rsidP="00FE6A47">
            <w:pPr>
              <w:spacing w:line="480" w:lineRule="auto"/>
              <w:jc w:val="both"/>
              <w:rPr>
                <w:rFonts w:ascii="Arial" w:hAnsi="Arial" w:cs="Arial"/>
                <w:bCs/>
                <w:sz w:val="20"/>
                <w:szCs w:val="20"/>
                <w:lang w:val="en-GB"/>
              </w:rPr>
            </w:pPr>
          </w:p>
        </w:tc>
      </w:tr>
      <w:tr w:rsidR="002123E1" w:rsidRPr="004F1EA4" w14:paraId="22726B33" w14:textId="5FF14F40" w:rsidTr="002123E1">
        <w:trPr>
          <w:trHeight w:val="755"/>
        </w:trPr>
        <w:tc>
          <w:tcPr>
            <w:tcW w:w="5000" w:type="pct"/>
          </w:tcPr>
          <w:p w14:paraId="5DE49B06" w14:textId="77777777" w:rsidR="002123E1" w:rsidRPr="000B7F4D" w:rsidRDefault="002123E1" w:rsidP="005D3196">
            <w:pPr>
              <w:spacing w:line="480" w:lineRule="auto"/>
              <w:jc w:val="both"/>
              <w:rPr>
                <w:rFonts w:ascii="Arial" w:hAnsi="Arial" w:cs="Arial"/>
                <w:sz w:val="20"/>
                <w:szCs w:val="20"/>
                <w:lang w:val="en-GB"/>
              </w:rPr>
            </w:pPr>
            <w:r w:rsidRPr="000B7F4D">
              <w:rPr>
                <w:rFonts w:ascii="Arial" w:hAnsi="Arial" w:cs="Arial"/>
                <w:bCs/>
                <w:sz w:val="20"/>
                <w:szCs w:val="20"/>
                <w:lang w:val="en-GB"/>
              </w:rPr>
              <w:t xml:space="preserve">In patients who have responded to treatment with XELJANZ, </w:t>
            </w:r>
            <w:bookmarkStart w:id="2" w:name="_Hlk19537733"/>
            <w:r w:rsidRPr="000B7F4D">
              <w:rPr>
                <w:rFonts w:ascii="Arial" w:hAnsi="Arial" w:cs="Arial"/>
                <w:bCs/>
                <w:sz w:val="20"/>
                <w:szCs w:val="20"/>
                <w:lang w:val="en-GB"/>
              </w:rPr>
              <w:t xml:space="preserve">corticosteroids </w:t>
            </w:r>
            <w:bookmarkEnd w:id="2"/>
            <w:r w:rsidRPr="000B7F4D">
              <w:rPr>
                <w:rFonts w:ascii="Arial" w:hAnsi="Arial" w:cs="Arial"/>
                <w:bCs/>
                <w:sz w:val="20"/>
                <w:szCs w:val="20"/>
                <w:lang w:val="en-GB"/>
              </w:rPr>
              <w:t>may be reduced and/or discontinued in accordance with standard of care.</w:t>
            </w:r>
          </w:p>
        </w:tc>
      </w:tr>
      <w:tr w:rsidR="002123E1" w:rsidRPr="004F1EA4" w14:paraId="06115899" w14:textId="13828888" w:rsidTr="002123E1">
        <w:tc>
          <w:tcPr>
            <w:tcW w:w="5000" w:type="pct"/>
          </w:tcPr>
          <w:p w14:paraId="0AFF0CA0" w14:textId="77777777" w:rsidR="008809D2" w:rsidRDefault="008809D2" w:rsidP="007314CB">
            <w:pPr>
              <w:pStyle w:val="Header"/>
              <w:tabs>
                <w:tab w:val="clear" w:pos="4320"/>
                <w:tab w:val="clear" w:pos="8640"/>
                <w:tab w:val="right" w:pos="7905"/>
                <w:tab w:val="right" w:pos="10173"/>
              </w:tabs>
              <w:spacing w:line="480" w:lineRule="auto"/>
              <w:jc w:val="both"/>
              <w:rPr>
                <w:rFonts w:ascii="Arial" w:hAnsi="Arial" w:cs="Arial"/>
                <w:i/>
                <w:lang w:val="en-GB"/>
              </w:rPr>
            </w:pPr>
            <w:bookmarkStart w:id="3" w:name="_Hlk19534123"/>
          </w:p>
          <w:p w14:paraId="568030C0" w14:textId="16E2846D" w:rsidR="002123E1" w:rsidRPr="0041148B" w:rsidRDefault="002123E1" w:rsidP="007314CB">
            <w:pPr>
              <w:pStyle w:val="Header"/>
              <w:tabs>
                <w:tab w:val="clear" w:pos="4320"/>
                <w:tab w:val="clear" w:pos="8640"/>
                <w:tab w:val="right" w:pos="7905"/>
                <w:tab w:val="right" w:pos="10173"/>
              </w:tabs>
              <w:spacing w:line="480" w:lineRule="auto"/>
              <w:jc w:val="both"/>
              <w:rPr>
                <w:rFonts w:ascii="Arial" w:hAnsi="Arial" w:cs="Arial"/>
                <w:i/>
                <w:lang w:val="en-GB"/>
              </w:rPr>
            </w:pPr>
            <w:r w:rsidRPr="0041148B">
              <w:rPr>
                <w:rFonts w:ascii="Arial" w:hAnsi="Arial" w:cs="Arial"/>
                <w:i/>
                <w:lang w:val="en-GB"/>
              </w:rPr>
              <w:t>Retreatment in UC</w:t>
            </w:r>
            <w:bookmarkEnd w:id="3"/>
          </w:p>
        </w:tc>
      </w:tr>
      <w:tr w:rsidR="002123E1" w:rsidRPr="004F1EA4" w14:paraId="35306A85" w14:textId="099F1E4A" w:rsidTr="002123E1">
        <w:trPr>
          <w:trHeight w:val="1808"/>
        </w:trPr>
        <w:tc>
          <w:tcPr>
            <w:tcW w:w="5000" w:type="pct"/>
          </w:tcPr>
          <w:p w14:paraId="7BE6D5D3" w14:textId="77777777" w:rsidR="002123E1" w:rsidRPr="0041148B" w:rsidRDefault="002123E1" w:rsidP="007314CB">
            <w:pPr>
              <w:pStyle w:val="Header"/>
              <w:tabs>
                <w:tab w:val="clear" w:pos="4320"/>
                <w:tab w:val="clear" w:pos="8640"/>
                <w:tab w:val="right" w:pos="7905"/>
                <w:tab w:val="right" w:pos="10173"/>
              </w:tabs>
              <w:spacing w:line="480" w:lineRule="auto"/>
              <w:jc w:val="both"/>
              <w:rPr>
                <w:rFonts w:ascii="Arial" w:hAnsi="Arial" w:cs="Arial"/>
                <w:lang w:val="en-GB"/>
              </w:rPr>
            </w:pPr>
            <w:r w:rsidRPr="0041148B">
              <w:rPr>
                <w:rFonts w:ascii="Arial" w:hAnsi="Arial" w:cs="Arial"/>
                <w:lang w:val="en-GB"/>
              </w:rPr>
              <w:t>If therapy is interrupted, restarting treatment with XELJANZ can be considered. If there has been a loss of response, reinduction with XELJANZ 10 mg twice daily may be considered. The treatment interruption period in clinical studies extended up to 1 year. Efficacy may be regained by 8 weeks of 10 mg twice daily therapy (see section 5.1).</w:t>
            </w:r>
          </w:p>
        </w:tc>
      </w:tr>
      <w:tr w:rsidR="002123E1" w:rsidRPr="004F1EA4" w14:paraId="0714C918" w14:textId="66A9AA3E" w:rsidTr="002123E1">
        <w:trPr>
          <w:trHeight w:val="15"/>
        </w:trPr>
        <w:tc>
          <w:tcPr>
            <w:tcW w:w="5000" w:type="pct"/>
          </w:tcPr>
          <w:p w14:paraId="6502D6FA" w14:textId="77777777" w:rsidR="002123E1" w:rsidRPr="004F1EA4" w:rsidRDefault="002123E1" w:rsidP="007314CB">
            <w:pPr>
              <w:spacing w:line="480" w:lineRule="auto"/>
              <w:jc w:val="both"/>
              <w:rPr>
                <w:rFonts w:ascii="Arial" w:hAnsi="Arial" w:cs="Arial"/>
                <w:sz w:val="20"/>
                <w:szCs w:val="20"/>
                <w:lang w:val="en-GB"/>
              </w:rPr>
            </w:pPr>
          </w:p>
        </w:tc>
      </w:tr>
      <w:tr w:rsidR="002123E1" w:rsidRPr="004F1EA4" w14:paraId="71B48B4A" w14:textId="734120E6" w:rsidTr="002123E1">
        <w:tc>
          <w:tcPr>
            <w:tcW w:w="5000" w:type="pct"/>
          </w:tcPr>
          <w:p w14:paraId="78F25D0E" w14:textId="02C49901" w:rsidR="002123E1" w:rsidRPr="00671EC9" w:rsidRDefault="002123E1" w:rsidP="007314CB">
            <w:pPr>
              <w:spacing w:line="480" w:lineRule="auto"/>
              <w:jc w:val="both"/>
              <w:rPr>
                <w:rFonts w:ascii="Arial" w:hAnsi="Arial" w:cs="Arial"/>
                <w:i/>
                <w:sz w:val="20"/>
                <w:szCs w:val="20"/>
                <w:lang w:val="en-GB"/>
              </w:rPr>
            </w:pPr>
            <w:r w:rsidRPr="00671EC9">
              <w:rPr>
                <w:rFonts w:ascii="Arial" w:hAnsi="Arial" w:cs="Arial"/>
                <w:i/>
                <w:sz w:val="20"/>
                <w:szCs w:val="20"/>
                <w:lang w:val="en-GB"/>
              </w:rPr>
              <w:lastRenderedPageBreak/>
              <w:t>Dose interruption and discontinuation</w:t>
            </w:r>
          </w:p>
        </w:tc>
      </w:tr>
      <w:tr w:rsidR="002123E1" w:rsidRPr="004F1EA4" w14:paraId="7F458B0D" w14:textId="75E62C7C" w:rsidTr="002123E1">
        <w:tc>
          <w:tcPr>
            <w:tcW w:w="5000" w:type="pct"/>
          </w:tcPr>
          <w:p w14:paraId="351F5C4A" w14:textId="1185591C" w:rsidR="002123E1" w:rsidRPr="00671EC9" w:rsidRDefault="002123E1" w:rsidP="00FD16C7">
            <w:pPr>
              <w:spacing w:line="480" w:lineRule="auto"/>
              <w:jc w:val="both"/>
              <w:rPr>
                <w:rFonts w:ascii="Arial" w:hAnsi="Arial" w:cs="Arial"/>
                <w:sz w:val="20"/>
                <w:szCs w:val="20"/>
                <w:lang w:val="en-GB"/>
              </w:rPr>
            </w:pPr>
            <w:r w:rsidRPr="00671EC9">
              <w:rPr>
                <w:rFonts w:ascii="Arial" w:hAnsi="Arial" w:cs="Arial"/>
                <w:sz w:val="20"/>
                <w:szCs w:val="20"/>
                <w:lang w:val="en-GB"/>
              </w:rPr>
              <w:t>XELJANZ treatment should be interrupted if a patient develops a serious infection until the infection is controlled.</w:t>
            </w:r>
          </w:p>
        </w:tc>
      </w:tr>
      <w:tr w:rsidR="002123E1" w:rsidRPr="004F1EA4" w14:paraId="0A1AE2DE" w14:textId="788C054F" w:rsidTr="002123E1">
        <w:tc>
          <w:tcPr>
            <w:tcW w:w="5000" w:type="pct"/>
          </w:tcPr>
          <w:p w14:paraId="49A73D3E" w14:textId="77777777" w:rsidR="002123E1" w:rsidRPr="00671EC9" w:rsidRDefault="002123E1" w:rsidP="007314CB">
            <w:pPr>
              <w:spacing w:line="480" w:lineRule="auto"/>
              <w:jc w:val="both"/>
              <w:rPr>
                <w:rFonts w:ascii="Arial" w:hAnsi="Arial" w:cs="Arial"/>
                <w:sz w:val="20"/>
                <w:szCs w:val="20"/>
                <w:lang w:val="en-GB"/>
              </w:rPr>
            </w:pPr>
          </w:p>
        </w:tc>
      </w:tr>
      <w:tr w:rsidR="002123E1" w:rsidRPr="004F1EA4" w14:paraId="010DF6D7" w14:textId="6249C9DE" w:rsidTr="002123E1">
        <w:tc>
          <w:tcPr>
            <w:tcW w:w="5000" w:type="pct"/>
          </w:tcPr>
          <w:p w14:paraId="64952141" w14:textId="1283EF0B" w:rsidR="002123E1" w:rsidRPr="00671EC9" w:rsidRDefault="002123E1" w:rsidP="007314CB">
            <w:pPr>
              <w:spacing w:line="480" w:lineRule="auto"/>
              <w:jc w:val="both"/>
              <w:rPr>
                <w:rFonts w:ascii="Arial" w:hAnsi="Arial" w:cs="Arial"/>
                <w:sz w:val="20"/>
                <w:szCs w:val="20"/>
                <w:lang w:val="en-GB"/>
              </w:rPr>
            </w:pPr>
            <w:r w:rsidRPr="00671EC9">
              <w:rPr>
                <w:rFonts w:ascii="Arial" w:hAnsi="Arial" w:cs="Arial"/>
                <w:sz w:val="20"/>
                <w:szCs w:val="20"/>
                <w:lang w:val="en-GB"/>
              </w:rPr>
              <w:t>Interruption of dosing may be needed for management of dose-related laboratory abnormalities including lymphopenia, neutropenia, and anaemia. As described in Tables 1, 2 and 3 below, recommendations for temporary dose interruption or permanent discontinuation of treatment are made according to the severity of laboratory abnormalities (see section 4.4).</w:t>
            </w:r>
          </w:p>
        </w:tc>
      </w:tr>
      <w:tr w:rsidR="002123E1" w:rsidRPr="004F1EA4" w14:paraId="4E284BC4" w14:textId="74F2272B" w:rsidTr="002123E1">
        <w:tc>
          <w:tcPr>
            <w:tcW w:w="5000" w:type="pct"/>
          </w:tcPr>
          <w:p w14:paraId="4B9AC753" w14:textId="77777777" w:rsidR="002123E1" w:rsidRPr="004F1EA4" w:rsidRDefault="002123E1" w:rsidP="007314CB">
            <w:pPr>
              <w:spacing w:line="480" w:lineRule="auto"/>
              <w:jc w:val="both"/>
              <w:rPr>
                <w:rFonts w:ascii="Arial" w:hAnsi="Arial" w:cs="Arial"/>
                <w:sz w:val="20"/>
                <w:szCs w:val="20"/>
                <w:vertAlign w:val="superscript"/>
                <w:lang w:val="en-GB"/>
              </w:rPr>
            </w:pPr>
          </w:p>
        </w:tc>
      </w:tr>
      <w:tr w:rsidR="002123E1" w:rsidRPr="004F1EA4" w14:paraId="1B96893D" w14:textId="0270248C" w:rsidTr="002123E1">
        <w:tc>
          <w:tcPr>
            <w:tcW w:w="5000" w:type="pct"/>
          </w:tcPr>
          <w:p w14:paraId="560B08E8" w14:textId="77777777" w:rsidR="002123E1" w:rsidRDefault="002123E1" w:rsidP="007314CB">
            <w:pPr>
              <w:spacing w:line="480" w:lineRule="auto"/>
              <w:jc w:val="both"/>
              <w:rPr>
                <w:rFonts w:ascii="Arial" w:hAnsi="Arial" w:cs="Arial"/>
                <w:sz w:val="20"/>
                <w:szCs w:val="20"/>
                <w:lang w:val="en-GB"/>
              </w:rPr>
            </w:pPr>
            <w:bookmarkStart w:id="4" w:name="_Hlk20133907"/>
            <w:r w:rsidRPr="00C42192">
              <w:rPr>
                <w:rFonts w:ascii="Arial" w:hAnsi="Arial" w:cs="Arial"/>
                <w:sz w:val="20"/>
                <w:szCs w:val="20"/>
                <w:lang w:val="en-GB"/>
              </w:rPr>
              <w:t>It is recommended not to initiate dosing in patients with an absolute lymphocyte count (ALC) less than 750 cells/mm</w:t>
            </w:r>
            <w:r w:rsidRPr="00C42192">
              <w:rPr>
                <w:rFonts w:ascii="Arial" w:hAnsi="Arial" w:cs="Arial"/>
                <w:sz w:val="20"/>
                <w:szCs w:val="20"/>
                <w:vertAlign w:val="superscript"/>
                <w:lang w:val="en-GB"/>
              </w:rPr>
              <w:t>3</w:t>
            </w:r>
            <w:r w:rsidRPr="00C42192">
              <w:rPr>
                <w:rFonts w:ascii="Arial" w:hAnsi="Arial" w:cs="Arial"/>
                <w:sz w:val="20"/>
                <w:szCs w:val="20"/>
                <w:lang w:val="en-GB"/>
              </w:rPr>
              <w:t>.</w:t>
            </w:r>
            <w:bookmarkEnd w:id="4"/>
          </w:p>
          <w:p w14:paraId="3A0F71AA" w14:textId="77777777" w:rsidR="008809D2" w:rsidRDefault="008809D2" w:rsidP="007314CB">
            <w:pPr>
              <w:spacing w:line="480" w:lineRule="auto"/>
              <w:jc w:val="both"/>
              <w:rPr>
                <w:rFonts w:ascii="Arial" w:hAnsi="Arial" w:cs="Arial"/>
                <w:sz w:val="20"/>
                <w:szCs w:val="20"/>
                <w:lang w:val="en-GB"/>
              </w:rPr>
            </w:pPr>
          </w:p>
          <w:p w14:paraId="73D4CECD" w14:textId="77777777" w:rsidR="008809D2" w:rsidRDefault="008809D2" w:rsidP="007314CB">
            <w:pPr>
              <w:spacing w:line="480" w:lineRule="auto"/>
              <w:jc w:val="both"/>
              <w:rPr>
                <w:rFonts w:ascii="Arial" w:hAnsi="Arial" w:cs="Arial"/>
                <w:sz w:val="20"/>
                <w:szCs w:val="20"/>
                <w:lang w:val="en-GB"/>
              </w:rPr>
            </w:pPr>
          </w:p>
          <w:p w14:paraId="368D1FB8" w14:textId="77777777" w:rsidR="008809D2" w:rsidRDefault="008809D2" w:rsidP="007314CB">
            <w:pPr>
              <w:spacing w:line="480" w:lineRule="auto"/>
              <w:jc w:val="both"/>
              <w:rPr>
                <w:rFonts w:ascii="Arial" w:hAnsi="Arial" w:cs="Arial"/>
                <w:sz w:val="20"/>
                <w:szCs w:val="20"/>
                <w:lang w:val="en-GB"/>
              </w:rPr>
            </w:pPr>
          </w:p>
          <w:p w14:paraId="1B27A56F" w14:textId="77777777" w:rsidR="008809D2" w:rsidRDefault="008809D2" w:rsidP="007314CB">
            <w:pPr>
              <w:spacing w:line="480" w:lineRule="auto"/>
              <w:jc w:val="both"/>
              <w:rPr>
                <w:rFonts w:ascii="Arial" w:hAnsi="Arial" w:cs="Arial"/>
                <w:sz w:val="20"/>
                <w:szCs w:val="20"/>
                <w:lang w:val="en-GB"/>
              </w:rPr>
            </w:pPr>
          </w:p>
          <w:p w14:paraId="04797495" w14:textId="77777777" w:rsidR="008809D2" w:rsidRDefault="008809D2" w:rsidP="007314CB">
            <w:pPr>
              <w:spacing w:line="480" w:lineRule="auto"/>
              <w:jc w:val="both"/>
              <w:rPr>
                <w:rFonts w:ascii="Arial" w:hAnsi="Arial" w:cs="Arial"/>
                <w:sz w:val="20"/>
                <w:szCs w:val="20"/>
                <w:lang w:val="en-GB"/>
              </w:rPr>
            </w:pPr>
          </w:p>
          <w:p w14:paraId="6679ED5D" w14:textId="77777777" w:rsidR="008809D2" w:rsidRDefault="008809D2" w:rsidP="007314CB">
            <w:pPr>
              <w:spacing w:line="480" w:lineRule="auto"/>
              <w:jc w:val="both"/>
              <w:rPr>
                <w:rFonts w:ascii="Arial" w:hAnsi="Arial" w:cs="Arial"/>
                <w:sz w:val="20"/>
                <w:szCs w:val="20"/>
                <w:lang w:val="en-GB"/>
              </w:rPr>
            </w:pPr>
          </w:p>
          <w:p w14:paraId="3CA5EC10" w14:textId="77777777" w:rsidR="008809D2" w:rsidRDefault="008809D2" w:rsidP="007314CB">
            <w:pPr>
              <w:spacing w:line="480" w:lineRule="auto"/>
              <w:jc w:val="both"/>
              <w:rPr>
                <w:rFonts w:ascii="Arial" w:hAnsi="Arial" w:cs="Arial"/>
                <w:sz w:val="20"/>
                <w:szCs w:val="20"/>
                <w:lang w:val="en-GB"/>
              </w:rPr>
            </w:pPr>
          </w:p>
          <w:p w14:paraId="6252E0F2" w14:textId="77777777" w:rsidR="008809D2" w:rsidRDefault="008809D2" w:rsidP="007314CB">
            <w:pPr>
              <w:spacing w:line="480" w:lineRule="auto"/>
              <w:jc w:val="both"/>
              <w:rPr>
                <w:rFonts w:ascii="Arial" w:hAnsi="Arial" w:cs="Arial"/>
                <w:sz w:val="20"/>
                <w:szCs w:val="20"/>
                <w:lang w:val="en-GB"/>
              </w:rPr>
            </w:pPr>
          </w:p>
          <w:p w14:paraId="4A3C95B7" w14:textId="77777777" w:rsidR="008809D2" w:rsidRDefault="008809D2" w:rsidP="007314CB">
            <w:pPr>
              <w:spacing w:line="480" w:lineRule="auto"/>
              <w:jc w:val="both"/>
              <w:rPr>
                <w:rFonts w:ascii="Arial" w:hAnsi="Arial" w:cs="Arial"/>
                <w:sz w:val="20"/>
                <w:szCs w:val="20"/>
                <w:lang w:val="en-GB"/>
              </w:rPr>
            </w:pPr>
          </w:p>
          <w:p w14:paraId="2096D323" w14:textId="77777777" w:rsidR="008809D2" w:rsidRDefault="008809D2" w:rsidP="007314CB">
            <w:pPr>
              <w:spacing w:line="480" w:lineRule="auto"/>
              <w:jc w:val="both"/>
              <w:rPr>
                <w:rFonts w:ascii="Arial" w:hAnsi="Arial" w:cs="Arial"/>
                <w:sz w:val="20"/>
                <w:szCs w:val="20"/>
                <w:lang w:val="en-GB"/>
              </w:rPr>
            </w:pPr>
          </w:p>
          <w:p w14:paraId="7AAE9C54" w14:textId="77777777" w:rsidR="008809D2" w:rsidRDefault="008809D2" w:rsidP="007314CB">
            <w:pPr>
              <w:spacing w:line="480" w:lineRule="auto"/>
              <w:jc w:val="both"/>
              <w:rPr>
                <w:rFonts w:ascii="Arial" w:hAnsi="Arial" w:cs="Arial"/>
                <w:sz w:val="20"/>
                <w:szCs w:val="20"/>
                <w:lang w:val="en-GB"/>
              </w:rPr>
            </w:pPr>
          </w:p>
          <w:p w14:paraId="5DDA3729" w14:textId="77777777" w:rsidR="008809D2" w:rsidRDefault="008809D2" w:rsidP="007314CB">
            <w:pPr>
              <w:spacing w:line="480" w:lineRule="auto"/>
              <w:jc w:val="both"/>
              <w:rPr>
                <w:rFonts w:ascii="Arial" w:hAnsi="Arial" w:cs="Arial"/>
                <w:sz w:val="20"/>
                <w:szCs w:val="20"/>
                <w:lang w:val="en-GB"/>
              </w:rPr>
            </w:pPr>
          </w:p>
          <w:p w14:paraId="1A092C90" w14:textId="77777777" w:rsidR="008809D2" w:rsidRDefault="008809D2" w:rsidP="007314CB">
            <w:pPr>
              <w:spacing w:line="480" w:lineRule="auto"/>
              <w:jc w:val="both"/>
              <w:rPr>
                <w:rFonts w:ascii="Arial" w:hAnsi="Arial" w:cs="Arial"/>
                <w:sz w:val="20"/>
                <w:szCs w:val="20"/>
                <w:lang w:val="en-GB"/>
              </w:rPr>
            </w:pPr>
          </w:p>
          <w:p w14:paraId="1854087F" w14:textId="77777777" w:rsidR="008809D2" w:rsidRDefault="008809D2" w:rsidP="007314CB">
            <w:pPr>
              <w:spacing w:line="480" w:lineRule="auto"/>
              <w:jc w:val="both"/>
              <w:rPr>
                <w:rFonts w:ascii="Arial" w:hAnsi="Arial" w:cs="Arial"/>
                <w:sz w:val="20"/>
                <w:szCs w:val="20"/>
                <w:lang w:val="en-GB"/>
              </w:rPr>
            </w:pPr>
          </w:p>
          <w:p w14:paraId="4971B723" w14:textId="77777777" w:rsidR="008809D2" w:rsidRDefault="008809D2" w:rsidP="007314CB">
            <w:pPr>
              <w:spacing w:line="480" w:lineRule="auto"/>
              <w:jc w:val="both"/>
              <w:rPr>
                <w:rFonts w:ascii="Arial" w:hAnsi="Arial" w:cs="Arial"/>
                <w:sz w:val="20"/>
                <w:szCs w:val="20"/>
                <w:lang w:val="en-GB"/>
              </w:rPr>
            </w:pPr>
          </w:p>
          <w:p w14:paraId="453B9C31" w14:textId="77777777" w:rsidR="008809D2" w:rsidRDefault="008809D2" w:rsidP="007314CB">
            <w:pPr>
              <w:spacing w:line="480" w:lineRule="auto"/>
              <w:jc w:val="both"/>
              <w:rPr>
                <w:rFonts w:ascii="Arial" w:hAnsi="Arial" w:cs="Arial"/>
                <w:sz w:val="20"/>
                <w:szCs w:val="20"/>
                <w:lang w:val="en-GB"/>
              </w:rPr>
            </w:pPr>
          </w:p>
          <w:p w14:paraId="33D46194" w14:textId="77777777" w:rsidR="008809D2" w:rsidRDefault="008809D2" w:rsidP="007314CB">
            <w:pPr>
              <w:spacing w:line="480" w:lineRule="auto"/>
              <w:jc w:val="both"/>
              <w:rPr>
                <w:rFonts w:ascii="Arial" w:hAnsi="Arial" w:cs="Arial"/>
                <w:sz w:val="20"/>
                <w:szCs w:val="20"/>
                <w:lang w:val="en-GB"/>
              </w:rPr>
            </w:pPr>
          </w:p>
          <w:p w14:paraId="4ED77B70" w14:textId="1AE3E4FC" w:rsidR="008809D2" w:rsidRPr="00C42192" w:rsidRDefault="008809D2" w:rsidP="007314CB">
            <w:pPr>
              <w:spacing w:line="480" w:lineRule="auto"/>
              <w:jc w:val="both"/>
              <w:rPr>
                <w:rFonts w:ascii="Arial" w:hAnsi="Arial" w:cs="Arial"/>
                <w:sz w:val="20"/>
                <w:szCs w:val="20"/>
                <w:lang w:val="en-GB"/>
              </w:rPr>
            </w:pPr>
          </w:p>
        </w:tc>
      </w:tr>
      <w:tr w:rsidR="002123E1" w:rsidRPr="004F1EA4" w14:paraId="30FB2E3D" w14:textId="23EA48BE" w:rsidTr="002123E1">
        <w:tc>
          <w:tcPr>
            <w:tcW w:w="5000" w:type="pct"/>
          </w:tcPr>
          <w:p w14:paraId="4B201C1B" w14:textId="77777777" w:rsidR="008809D2" w:rsidRDefault="008809D2" w:rsidP="007314CB">
            <w:pPr>
              <w:spacing w:line="480" w:lineRule="auto"/>
              <w:jc w:val="both"/>
              <w:rPr>
                <w:rFonts w:ascii="Arial" w:hAnsi="Arial" w:cs="Arial"/>
                <w:sz w:val="20"/>
                <w:szCs w:val="20"/>
                <w:lang w:val="en-GB"/>
              </w:rPr>
            </w:pPr>
          </w:p>
          <w:p w14:paraId="06A012CB" w14:textId="759408BC" w:rsidR="002123E1" w:rsidRPr="00C42192" w:rsidRDefault="002123E1" w:rsidP="007314CB">
            <w:pPr>
              <w:spacing w:line="480" w:lineRule="auto"/>
              <w:jc w:val="both"/>
              <w:rPr>
                <w:rFonts w:ascii="Arial" w:hAnsi="Arial" w:cs="Arial"/>
                <w:sz w:val="20"/>
                <w:szCs w:val="20"/>
                <w:lang w:val="en-GB"/>
              </w:rPr>
            </w:pPr>
            <w:r w:rsidRPr="00C42192">
              <w:rPr>
                <w:rFonts w:ascii="Arial" w:hAnsi="Arial" w:cs="Arial"/>
                <w:sz w:val="20"/>
                <w:szCs w:val="20"/>
                <w:lang w:val="en-GB"/>
              </w:rPr>
              <w:t>Table 1: Low absolute lymphocyte count</w:t>
            </w:r>
          </w:p>
        </w:tc>
      </w:tr>
      <w:tr w:rsidR="002123E1" w:rsidRPr="004F1EA4" w14:paraId="4A542901" w14:textId="77D442E0" w:rsidTr="002123E1">
        <w:trPr>
          <w:trHeight w:val="485"/>
        </w:trPr>
        <w:tc>
          <w:tcPr>
            <w:tcW w:w="5000" w:type="pct"/>
          </w:tcPr>
          <w:tbl>
            <w:tblPr>
              <w:tblW w:w="6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48"/>
              <w:gridCol w:w="3457"/>
            </w:tblGrid>
            <w:tr w:rsidR="002123E1" w:rsidRPr="00C42192" w14:paraId="30779D37" w14:textId="77777777" w:rsidTr="0065520B">
              <w:trPr>
                <w:trHeight w:val="242"/>
              </w:trPr>
              <w:tc>
                <w:tcPr>
                  <w:tcW w:w="6205" w:type="dxa"/>
                  <w:gridSpan w:val="2"/>
                </w:tcPr>
                <w:p w14:paraId="78CECC11" w14:textId="1831523D" w:rsidR="002123E1" w:rsidRPr="00C42192" w:rsidRDefault="002123E1" w:rsidP="009006C9">
                  <w:pPr>
                    <w:keepNext/>
                    <w:keepLines/>
                    <w:widowControl w:val="0"/>
                    <w:spacing w:line="480" w:lineRule="auto"/>
                    <w:jc w:val="center"/>
                    <w:rPr>
                      <w:rFonts w:ascii="Arial" w:hAnsi="Arial" w:cs="Arial"/>
                      <w:sz w:val="20"/>
                      <w:szCs w:val="20"/>
                    </w:rPr>
                  </w:pPr>
                  <w:r w:rsidRPr="00C42192">
                    <w:rPr>
                      <w:rFonts w:ascii="Arial" w:hAnsi="Arial" w:cs="Arial"/>
                      <w:sz w:val="20"/>
                      <w:szCs w:val="20"/>
                    </w:rPr>
                    <w:t>Low absolute lymphocyte count (ALC) (see section 4.4)</w:t>
                  </w:r>
                </w:p>
              </w:tc>
            </w:tr>
            <w:tr w:rsidR="002123E1" w:rsidRPr="00C42192" w14:paraId="5664D30E" w14:textId="77777777" w:rsidTr="0065520B">
              <w:trPr>
                <w:trHeight w:val="753"/>
              </w:trPr>
              <w:tc>
                <w:tcPr>
                  <w:tcW w:w="2748" w:type="dxa"/>
                </w:tcPr>
                <w:p w14:paraId="77D71654" w14:textId="5FA9528C" w:rsidR="002123E1" w:rsidRPr="00C42192" w:rsidRDefault="002123E1" w:rsidP="00B21C0D">
                  <w:pPr>
                    <w:keepNext/>
                    <w:keepLines/>
                    <w:widowControl w:val="0"/>
                    <w:spacing w:line="480" w:lineRule="auto"/>
                    <w:rPr>
                      <w:rFonts w:ascii="Arial" w:hAnsi="Arial" w:cs="Arial"/>
                      <w:sz w:val="20"/>
                      <w:szCs w:val="20"/>
                    </w:rPr>
                  </w:pPr>
                  <w:r w:rsidRPr="00C42192">
                    <w:rPr>
                      <w:rFonts w:ascii="Arial" w:hAnsi="Arial" w:cs="Arial"/>
                      <w:sz w:val="20"/>
                      <w:szCs w:val="20"/>
                    </w:rPr>
                    <w:t>Lab value</w:t>
                  </w:r>
                </w:p>
                <w:p w14:paraId="11807C12" w14:textId="77777777" w:rsidR="002123E1" w:rsidRPr="00C42192" w:rsidRDefault="002123E1" w:rsidP="00B21C0D">
                  <w:pPr>
                    <w:keepNext/>
                    <w:keepLines/>
                    <w:widowControl w:val="0"/>
                    <w:spacing w:line="480" w:lineRule="auto"/>
                    <w:rPr>
                      <w:rFonts w:ascii="Arial" w:hAnsi="Arial" w:cs="Arial"/>
                      <w:sz w:val="20"/>
                      <w:szCs w:val="20"/>
                    </w:rPr>
                  </w:pPr>
                  <w:r w:rsidRPr="00C42192">
                    <w:rPr>
                      <w:rFonts w:ascii="Arial" w:hAnsi="Arial" w:cs="Arial"/>
                      <w:sz w:val="20"/>
                      <w:szCs w:val="20"/>
                    </w:rPr>
                    <w:t>(cells/mm</w:t>
                  </w:r>
                  <w:r w:rsidRPr="00C42192">
                    <w:rPr>
                      <w:rFonts w:ascii="Arial" w:hAnsi="Arial" w:cs="Arial"/>
                      <w:sz w:val="20"/>
                      <w:szCs w:val="20"/>
                      <w:vertAlign w:val="superscript"/>
                    </w:rPr>
                    <w:t>3</w:t>
                  </w:r>
                  <w:r w:rsidRPr="00C42192">
                    <w:rPr>
                      <w:rFonts w:ascii="Arial" w:hAnsi="Arial" w:cs="Arial"/>
                      <w:sz w:val="20"/>
                      <w:szCs w:val="20"/>
                    </w:rPr>
                    <w:t>)</w:t>
                  </w:r>
                </w:p>
              </w:tc>
              <w:tc>
                <w:tcPr>
                  <w:tcW w:w="3457" w:type="dxa"/>
                </w:tcPr>
                <w:p w14:paraId="09247338" w14:textId="77777777" w:rsidR="002123E1" w:rsidRPr="00C42192" w:rsidRDefault="002123E1" w:rsidP="00B21C0D">
                  <w:pPr>
                    <w:keepNext/>
                    <w:keepLines/>
                    <w:widowControl w:val="0"/>
                    <w:spacing w:line="480" w:lineRule="auto"/>
                    <w:rPr>
                      <w:rFonts w:ascii="Arial" w:hAnsi="Arial" w:cs="Arial"/>
                      <w:sz w:val="20"/>
                      <w:szCs w:val="20"/>
                    </w:rPr>
                  </w:pPr>
                  <w:r w:rsidRPr="00C42192">
                    <w:rPr>
                      <w:rFonts w:ascii="Arial" w:hAnsi="Arial" w:cs="Arial"/>
                      <w:sz w:val="20"/>
                      <w:szCs w:val="20"/>
                    </w:rPr>
                    <w:t>Recommendation</w:t>
                  </w:r>
                </w:p>
              </w:tc>
            </w:tr>
            <w:tr w:rsidR="002123E1" w:rsidRPr="00C42192" w14:paraId="4D8275DE" w14:textId="77777777" w:rsidTr="0065520B">
              <w:trPr>
                <w:trHeight w:val="745"/>
              </w:trPr>
              <w:tc>
                <w:tcPr>
                  <w:tcW w:w="2748" w:type="dxa"/>
                </w:tcPr>
                <w:p w14:paraId="7501A443" w14:textId="77777777" w:rsidR="002123E1" w:rsidRPr="00C42192" w:rsidRDefault="002123E1" w:rsidP="009006C9">
                  <w:pPr>
                    <w:keepNext/>
                    <w:keepLines/>
                    <w:widowControl w:val="0"/>
                    <w:spacing w:line="480" w:lineRule="auto"/>
                    <w:rPr>
                      <w:rFonts w:ascii="Arial" w:hAnsi="Arial" w:cs="Arial"/>
                      <w:sz w:val="20"/>
                      <w:szCs w:val="20"/>
                    </w:rPr>
                  </w:pPr>
                  <w:r w:rsidRPr="00C42192">
                    <w:rPr>
                      <w:rFonts w:ascii="Arial" w:hAnsi="Arial" w:cs="Arial"/>
                      <w:sz w:val="20"/>
                      <w:szCs w:val="20"/>
                    </w:rPr>
                    <w:t>ALC greater than or equal to 750</w:t>
                  </w:r>
                </w:p>
              </w:tc>
              <w:tc>
                <w:tcPr>
                  <w:tcW w:w="3457" w:type="dxa"/>
                </w:tcPr>
                <w:p w14:paraId="5B0798EC" w14:textId="77777777" w:rsidR="002123E1" w:rsidRPr="00C42192" w:rsidRDefault="002123E1" w:rsidP="009006C9">
                  <w:pPr>
                    <w:keepNext/>
                    <w:keepLines/>
                    <w:widowControl w:val="0"/>
                    <w:spacing w:line="480" w:lineRule="auto"/>
                    <w:rPr>
                      <w:rFonts w:ascii="Arial" w:hAnsi="Arial" w:cs="Arial"/>
                      <w:sz w:val="20"/>
                      <w:szCs w:val="20"/>
                    </w:rPr>
                  </w:pPr>
                  <w:r w:rsidRPr="00C42192">
                    <w:rPr>
                      <w:rFonts w:ascii="Arial" w:hAnsi="Arial" w:cs="Arial"/>
                      <w:sz w:val="20"/>
                      <w:szCs w:val="20"/>
                    </w:rPr>
                    <w:t>Dose should be maintained.</w:t>
                  </w:r>
                </w:p>
              </w:tc>
            </w:tr>
            <w:tr w:rsidR="002123E1" w:rsidRPr="00C42192" w14:paraId="71BE2F76" w14:textId="77777777" w:rsidTr="0065520B">
              <w:trPr>
                <w:trHeight w:val="1726"/>
              </w:trPr>
              <w:tc>
                <w:tcPr>
                  <w:tcW w:w="2748" w:type="dxa"/>
                </w:tcPr>
                <w:p w14:paraId="20F0A137" w14:textId="350E4DFB" w:rsidR="002123E1" w:rsidRPr="00C42192" w:rsidRDefault="002123E1" w:rsidP="009006C9">
                  <w:pPr>
                    <w:keepNext/>
                    <w:keepLines/>
                    <w:widowControl w:val="0"/>
                    <w:spacing w:line="480" w:lineRule="auto"/>
                    <w:rPr>
                      <w:rFonts w:ascii="Arial" w:hAnsi="Arial" w:cs="Arial"/>
                      <w:sz w:val="20"/>
                      <w:szCs w:val="20"/>
                    </w:rPr>
                  </w:pPr>
                  <w:r w:rsidRPr="00C42192">
                    <w:rPr>
                      <w:rFonts w:ascii="Arial" w:hAnsi="Arial" w:cs="Arial"/>
                      <w:sz w:val="20"/>
                      <w:szCs w:val="20"/>
                    </w:rPr>
                    <w:t>ALC 500 - 750</w:t>
                  </w:r>
                </w:p>
              </w:tc>
              <w:tc>
                <w:tcPr>
                  <w:tcW w:w="3457" w:type="dxa"/>
                </w:tcPr>
                <w:p w14:paraId="4A656D1B" w14:textId="77777777" w:rsidR="002123E1" w:rsidRPr="00C42192" w:rsidRDefault="002123E1" w:rsidP="009006C9">
                  <w:pPr>
                    <w:keepNext/>
                    <w:keepLines/>
                    <w:widowControl w:val="0"/>
                    <w:spacing w:line="480" w:lineRule="auto"/>
                    <w:rPr>
                      <w:rFonts w:ascii="Arial" w:hAnsi="Arial" w:cs="Arial"/>
                      <w:sz w:val="20"/>
                      <w:szCs w:val="20"/>
                    </w:rPr>
                  </w:pPr>
                  <w:r w:rsidRPr="00C42192">
                    <w:rPr>
                      <w:rFonts w:ascii="Arial" w:hAnsi="Arial" w:cs="Arial"/>
                      <w:sz w:val="20"/>
                      <w:szCs w:val="20"/>
                    </w:rPr>
                    <w:t xml:space="preserve">For persistent (2 sequential values in this range on routine testing) decrease in this range, dosing should be reduced or interrupted until ALC is greater than 750. </w:t>
                  </w:r>
                </w:p>
                <w:p w14:paraId="30179281" w14:textId="77777777" w:rsidR="002123E1" w:rsidRPr="00C42192" w:rsidRDefault="002123E1" w:rsidP="009006C9">
                  <w:pPr>
                    <w:keepNext/>
                    <w:keepLines/>
                    <w:widowControl w:val="0"/>
                    <w:spacing w:line="480" w:lineRule="auto"/>
                    <w:rPr>
                      <w:rFonts w:ascii="Arial" w:hAnsi="Arial" w:cs="Arial"/>
                      <w:sz w:val="20"/>
                      <w:szCs w:val="20"/>
                    </w:rPr>
                  </w:pPr>
                </w:p>
                <w:p w14:paraId="135C35B5" w14:textId="156B8E37" w:rsidR="002123E1" w:rsidRPr="00C42192" w:rsidRDefault="002123E1" w:rsidP="009006C9">
                  <w:pPr>
                    <w:spacing w:line="480" w:lineRule="auto"/>
                    <w:rPr>
                      <w:rFonts w:ascii="Arial" w:hAnsi="Arial" w:cs="Arial"/>
                      <w:sz w:val="20"/>
                      <w:szCs w:val="20"/>
                    </w:rPr>
                  </w:pPr>
                  <w:r w:rsidRPr="00C42192">
                    <w:rPr>
                      <w:rFonts w:ascii="Arial" w:hAnsi="Arial" w:cs="Arial"/>
                      <w:sz w:val="20"/>
                      <w:szCs w:val="20"/>
                    </w:rPr>
                    <w:t>For patients receiving XELJANZ 10 mg twice daily, dosing should be reduced to XELJANZ 5 mg twice daily.</w:t>
                  </w:r>
                </w:p>
                <w:p w14:paraId="5A3B99F6" w14:textId="77777777" w:rsidR="002123E1" w:rsidRPr="00C42192" w:rsidRDefault="002123E1" w:rsidP="009006C9">
                  <w:pPr>
                    <w:spacing w:line="480" w:lineRule="auto"/>
                    <w:rPr>
                      <w:rFonts w:ascii="Arial" w:hAnsi="Arial" w:cs="Arial"/>
                      <w:sz w:val="20"/>
                      <w:szCs w:val="20"/>
                    </w:rPr>
                  </w:pPr>
                </w:p>
                <w:p w14:paraId="237C6A39" w14:textId="568D2842" w:rsidR="002123E1" w:rsidRPr="00C42192" w:rsidRDefault="002123E1" w:rsidP="009F60BD">
                  <w:pPr>
                    <w:pStyle w:val="TableText"/>
                    <w:keepNext/>
                    <w:keepLines/>
                    <w:widowControl w:val="0"/>
                    <w:spacing w:line="480" w:lineRule="auto"/>
                    <w:rPr>
                      <w:rFonts w:ascii="Arial" w:hAnsi="Arial"/>
                    </w:rPr>
                  </w:pPr>
                  <w:r w:rsidRPr="00C42192">
                    <w:rPr>
                      <w:rFonts w:ascii="Arial" w:hAnsi="Arial"/>
                      <w:lang w:val="en-GB"/>
                    </w:rPr>
                    <w:t>For patients receiving XELJANZ 5 mg twice daily, dosing should be interrupted.</w:t>
                  </w:r>
                </w:p>
                <w:p w14:paraId="50CD5EE4" w14:textId="73ED98D5" w:rsidR="002123E1" w:rsidRPr="00C42192" w:rsidRDefault="002123E1" w:rsidP="009F60BD">
                  <w:pPr>
                    <w:spacing w:line="480" w:lineRule="auto"/>
                    <w:rPr>
                      <w:rFonts w:ascii="Arial" w:hAnsi="Arial" w:cs="Arial"/>
                      <w:sz w:val="20"/>
                      <w:szCs w:val="20"/>
                    </w:rPr>
                  </w:pPr>
                  <w:r w:rsidRPr="00C42192">
                    <w:rPr>
                      <w:rFonts w:ascii="Arial" w:hAnsi="Arial" w:cs="Arial"/>
                      <w:sz w:val="20"/>
                      <w:szCs w:val="20"/>
                    </w:rPr>
                    <w:t>When ALC is greater than 750, treatment should be resumed as clinically appropriate.</w:t>
                  </w:r>
                </w:p>
              </w:tc>
            </w:tr>
            <w:tr w:rsidR="002123E1" w:rsidRPr="00C42192" w14:paraId="37629CB4" w14:textId="77777777" w:rsidTr="0065520B">
              <w:trPr>
                <w:trHeight w:val="733"/>
              </w:trPr>
              <w:tc>
                <w:tcPr>
                  <w:tcW w:w="2748" w:type="dxa"/>
                </w:tcPr>
                <w:p w14:paraId="282FAB85" w14:textId="77777777" w:rsidR="002123E1" w:rsidRPr="00C42192" w:rsidRDefault="002123E1" w:rsidP="009006C9">
                  <w:pPr>
                    <w:keepNext/>
                    <w:keepLines/>
                    <w:widowControl w:val="0"/>
                    <w:spacing w:line="480" w:lineRule="auto"/>
                    <w:rPr>
                      <w:rFonts w:ascii="Arial" w:hAnsi="Arial" w:cs="Arial"/>
                      <w:sz w:val="20"/>
                      <w:szCs w:val="20"/>
                    </w:rPr>
                  </w:pPr>
                  <w:r w:rsidRPr="00C42192">
                    <w:rPr>
                      <w:rFonts w:ascii="Arial" w:hAnsi="Arial" w:cs="Arial"/>
                      <w:sz w:val="20"/>
                      <w:szCs w:val="20"/>
                    </w:rPr>
                    <w:t>ALC less than 500</w:t>
                  </w:r>
                </w:p>
                <w:p w14:paraId="47D3C54A" w14:textId="77777777" w:rsidR="002123E1" w:rsidRPr="00C42192" w:rsidRDefault="002123E1" w:rsidP="009006C9">
                  <w:pPr>
                    <w:keepNext/>
                    <w:keepLines/>
                    <w:widowControl w:val="0"/>
                    <w:spacing w:line="480" w:lineRule="auto"/>
                    <w:rPr>
                      <w:rFonts w:ascii="Arial" w:hAnsi="Arial" w:cs="Arial"/>
                      <w:sz w:val="20"/>
                      <w:szCs w:val="20"/>
                    </w:rPr>
                  </w:pPr>
                </w:p>
              </w:tc>
              <w:tc>
                <w:tcPr>
                  <w:tcW w:w="3457" w:type="dxa"/>
                </w:tcPr>
                <w:p w14:paraId="224475A9" w14:textId="77777777" w:rsidR="002123E1" w:rsidRPr="00C42192" w:rsidRDefault="002123E1" w:rsidP="009006C9">
                  <w:pPr>
                    <w:keepNext/>
                    <w:keepLines/>
                    <w:widowControl w:val="0"/>
                    <w:spacing w:line="480" w:lineRule="auto"/>
                    <w:rPr>
                      <w:rFonts w:ascii="Arial" w:hAnsi="Arial" w:cs="Arial"/>
                      <w:sz w:val="20"/>
                      <w:szCs w:val="20"/>
                    </w:rPr>
                  </w:pPr>
                  <w:r w:rsidRPr="00C42192">
                    <w:rPr>
                      <w:rFonts w:ascii="Arial" w:hAnsi="Arial" w:cs="Arial"/>
                      <w:sz w:val="20"/>
                      <w:szCs w:val="20"/>
                    </w:rPr>
                    <w:t>If lab value confirmed by repeat testing within 7 days, dosing should be discontinued.</w:t>
                  </w:r>
                </w:p>
              </w:tc>
            </w:tr>
          </w:tbl>
          <w:p w14:paraId="6E6F6FB8" w14:textId="77777777" w:rsidR="002123E1" w:rsidRPr="00C42192" w:rsidRDefault="002123E1" w:rsidP="007314CB">
            <w:pPr>
              <w:spacing w:line="480" w:lineRule="auto"/>
              <w:jc w:val="both"/>
              <w:rPr>
                <w:rFonts w:ascii="Arial" w:hAnsi="Arial" w:cs="Arial"/>
                <w:sz w:val="20"/>
                <w:szCs w:val="20"/>
                <w:lang w:val="en-GB"/>
              </w:rPr>
            </w:pPr>
          </w:p>
        </w:tc>
      </w:tr>
      <w:tr w:rsidR="002123E1" w:rsidRPr="004F1EA4" w14:paraId="2D351B6D" w14:textId="6C770433" w:rsidTr="002123E1">
        <w:tc>
          <w:tcPr>
            <w:tcW w:w="5000" w:type="pct"/>
          </w:tcPr>
          <w:p w14:paraId="45438780" w14:textId="001026D8" w:rsidR="002123E1" w:rsidRPr="004F1EA4" w:rsidRDefault="002123E1" w:rsidP="007314CB">
            <w:pPr>
              <w:spacing w:line="480" w:lineRule="auto"/>
              <w:jc w:val="both"/>
              <w:rPr>
                <w:rFonts w:ascii="Arial" w:hAnsi="Arial" w:cs="Arial"/>
                <w:sz w:val="20"/>
                <w:szCs w:val="20"/>
                <w:highlight w:val="yellow"/>
                <w:lang w:val="en-GB"/>
              </w:rPr>
            </w:pPr>
            <w:r w:rsidRPr="00C06F8F">
              <w:rPr>
                <w:rFonts w:ascii="Arial" w:hAnsi="Arial" w:cs="Arial"/>
                <w:sz w:val="20"/>
                <w:szCs w:val="20"/>
                <w:lang w:val="en-GB"/>
              </w:rPr>
              <w:t>It is recommended not to initiate dosing in patients with an absolute neutrophil count (ANC) less than 1 000 cells/mm</w:t>
            </w:r>
            <w:r w:rsidRPr="00C06F8F">
              <w:rPr>
                <w:rFonts w:ascii="Arial" w:hAnsi="Arial" w:cs="Arial"/>
                <w:sz w:val="20"/>
                <w:szCs w:val="20"/>
                <w:vertAlign w:val="superscript"/>
                <w:lang w:val="en-GB"/>
              </w:rPr>
              <w:t>3</w:t>
            </w:r>
            <w:r w:rsidRPr="00C06F8F">
              <w:rPr>
                <w:rFonts w:ascii="Arial" w:hAnsi="Arial" w:cs="Arial"/>
                <w:sz w:val="20"/>
                <w:szCs w:val="20"/>
                <w:lang w:val="en-GB"/>
              </w:rPr>
              <w:t>.</w:t>
            </w:r>
          </w:p>
        </w:tc>
      </w:tr>
      <w:tr w:rsidR="002123E1" w:rsidRPr="004F1EA4" w14:paraId="5FCC10CA" w14:textId="04CE369D" w:rsidTr="002123E1">
        <w:tc>
          <w:tcPr>
            <w:tcW w:w="5000" w:type="pct"/>
          </w:tcPr>
          <w:p w14:paraId="05967116" w14:textId="77777777" w:rsidR="002123E1" w:rsidRDefault="002123E1" w:rsidP="007314CB">
            <w:pPr>
              <w:spacing w:line="480" w:lineRule="auto"/>
              <w:jc w:val="both"/>
              <w:rPr>
                <w:rFonts w:ascii="Arial" w:hAnsi="Arial" w:cs="Arial"/>
                <w:sz w:val="20"/>
                <w:szCs w:val="20"/>
                <w:lang w:val="en-GB"/>
              </w:rPr>
            </w:pPr>
          </w:p>
          <w:p w14:paraId="3F22D65D" w14:textId="29E30729" w:rsidR="008809D2" w:rsidRPr="00C06F8F" w:rsidRDefault="008809D2" w:rsidP="007314CB">
            <w:pPr>
              <w:spacing w:line="480" w:lineRule="auto"/>
              <w:jc w:val="both"/>
              <w:rPr>
                <w:rFonts w:ascii="Arial" w:hAnsi="Arial" w:cs="Arial"/>
                <w:sz w:val="20"/>
                <w:szCs w:val="20"/>
                <w:lang w:val="en-GB"/>
              </w:rPr>
            </w:pPr>
          </w:p>
        </w:tc>
      </w:tr>
      <w:tr w:rsidR="002123E1" w:rsidRPr="004F1EA4" w14:paraId="2ECB418E" w14:textId="25EE084A" w:rsidTr="002123E1">
        <w:tc>
          <w:tcPr>
            <w:tcW w:w="5000" w:type="pct"/>
          </w:tcPr>
          <w:p w14:paraId="71AE9CEB" w14:textId="66DEF84C" w:rsidR="002123E1" w:rsidRPr="00C06F8F" w:rsidRDefault="002123E1" w:rsidP="002E4347">
            <w:pPr>
              <w:spacing w:line="480" w:lineRule="auto"/>
              <w:jc w:val="both"/>
              <w:rPr>
                <w:rFonts w:ascii="Arial" w:hAnsi="Arial" w:cs="Arial"/>
                <w:sz w:val="20"/>
                <w:szCs w:val="20"/>
                <w:lang w:val="en-GB"/>
              </w:rPr>
            </w:pPr>
            <w:r w:rsidRPr="00C06F8F">
              <w:rPr>
                <w:rFonts w:ascii="Arial" w:hAnsi="Arial" w:cs="Arial"/>
                <w:sz w:val="20"/>
                <w:szCs w:val="20"/>
                <w:lang w:val="en-GB"/>
              </w:rPr>
              <w:t>Table 2: Low absolute neutrophil count</w:t>
            </w:r>
          </w:p>
        </w:tc>
      </w:tr>
      <w:tr w:rsidR="002123E1" w:rsidRPr="004F1EA4" w14:paraId="2B965B1F" w14:textId="7983E2B1" w:rsidTr="002123E1">
        <w:trPr>
          <w:trHeight w:val="485"/>
        </w:trPr>
        <w:tc>
          <w:tcPr>
            <w:tcW w:w="5000" w:type="pct"/>
          </w:tcPr>
          <w:tbl>
            <w:tblPr>
              <w:tblW w:w="6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1"/>
              <w:gridCol w:w="3368"/>
            </w:tblGrid>
            <w:tr w:rsidR="002123E1" w:rsidRPr="00C06F8F" w14:paraId="07FBE126" w14:textId="77777777" w:rsidTr="0065520B">
              <w:trPr>
                <w:trHeight w:val="234"/>
              </w:trPr>
              <w:tc>
                <w:tcPr>
                  <w:tcW w:w="6219" w:type="dxa"/>
                  <w:gridSpan w:val="2"/>
                </w:tcPr>
                <w:p w14:paraId="753832A5" w14:textId="46D401D9" w:rsidR="002123E1" w:rsidRPr="00C06F8F" w:rsidRDefault="002123E1" w:rsidP="002E4347">
                  <w:pPr>
                    <w:pStyle w:val="TableText"/>
                    <w:keepNext/>
                    <w:keepLines/>
                    <w:widowControl w:val="0"/>
                    <w:spacing w:line="480" w:lineRule="auto"/>
                    <w:jc w:val="center"/>
                    <w:rPr>
                      <w:rFonts w:ascii="Arial" w:hAnsi="Arial"/>
                    </w:rPr>
                  </w:pPr>
                  <w:r w:rsidRPr="00C06F8F">
                    <w:rPr>
                      <w:rFonts w:ascii="Arial" w:hAnsi="Arial"/>
                    </w:rPr>
                    <w:t>Low absolute neutrophil count (ANC) (see section 4.4)</w:t>
                  </w:r>
                </w:p>
              </w:tc>
            </w:tr>
            <w:tr w:rsidR="002123E1" w:rsidRPr="00C06F8F" w14:paraId="070F1D5A" w14:textId="77777777" w:rsidTr="0065520B">
              <w:trPr>
                <w:trHeight w:val="482"/>
              </w:trPr>
              <w:tc>
                <w:tcPr>
                  <w:tcW w:w="2851" w:type="dxa"/>
                </w:tcPr>
                <w:p w14:paraId="47A7532B" w14:textId="5C33F0DB" w:rsidR="002123E1" w:rsidRPr="00C06F8F" w:rsidRDefault="002123E1" w:rsidP="00B21C0D">
                  <w:pPr>
                    <w:pStyle w:val="TableText"/>
                    <w:keepNext/>
                    <w:keepLines/>
                    <w:widowControl w:val="0"/>
                    <w:spacing w:line="480" w:lineRule="auto"/>
                    <w:rPr>
                      <w:rFonts w:ascii="Arial" w:hAnsi="Arial"/>
                    </w:rPr>
                  </w:pPr>
                  <w:r w:rsidRPr="00C06F8F">
                    <w:rPr>
                      <w:rFonts w:ascii="Arial" w:hAnsi="Arial"/>
                    </w:rPr>
                    <w:t>Lab value (cells/mm</w:t>
                  </w:r>
                  <w:r w:rsidRPr="00C06F8F">
                    <w:rPr>
                      <w:rFonts w:ascii="Arial" w:hAnsi="Arial"/>
                      <w:vertAlign w:val="superscript"/>
                    </w:rPr>
                    <w:t>3</w:t>
                  </w:r>
                  <w:r w:rsidRPr="00C06F8F">
                    <w:rPr>
                      <w:rFonts w:ascii="Arial" w:hAnsi="Arial"/>
                    </w:rPr>
                    <w:t>)</w:t>
                  </w:r>
                </w:p>
              </w:tc>
              <w:tc>
                <w:tcPr>
                  <w:tcW w:w="3368" w:type="dxa"/>
                </w:tcPr>
                <w:p w14:paraId="792E7A1A" w14:textId="77777777" w:rsidR="002123E1" w:rsidRPr="00C06F8F" w:rsidRDefault="002123E1" w:rsidP="00B21C0D">
                  <w:pPr>
                    <w:pStyle w:val="TableText"/>
                    <w:keepNext/>
                    <w:keepLines/>
                    <w:widowControl w:val="0"/>
                    <w:spacing w:line="480" w:lineRule="auto"/>
                    <w:rPr>
                      <w:rFonts w:ascii="Arial" w:hAnsi="Arial"/>
                    </w:rPr>
                  </w:pPr>
                  <w:r w:rsidRPr="00C06F8F">
                    <w:rPr>
                      <w:rFonts w:ascii="Arial" w:hAnsi="Arial"/>
                    </w:rPr>
                    <w:t>Recommendation</w:t>
                  </w:r>
                </w:p>
              </w:tc>
            </w:tr>
            <w:tr w:rsidR="002123E1" w:rsidRPr="00C06F8F" w14:paraId="7D230AAB" w14:textId="77777777" w:rsidTr="0065520B">
              <w:trPr>
                <w:trHeight w:val="485"/>
              </w:trPr>
              <w:tc>
                <w:tcPr>
                  <w:tcW w:w="2851" w:type="dxa"/>
                  <w:tcBorders>
                    <w:bottom w:val="single" w:sz="4" w:space="0" w:color="auto"/>
                  </w:tcBorders>
                </w:tcPr>
                <w:p w14:paraId="69E5BA5E" w14:textId="1F6B7362" w:rsidR="002123E1" w:rsidRPr="00C06F8F" w:rsidRDefault="002123E1" w:rsidP="002E4347">
                  <w:pPr>
                    <w:pStyle w:val="TableText"/>
                    <w:keepNext/>
                    <w:keepLines/>
                    <w:widowControl w:val="0"/>
                    <w:spacing w:line="480" w:lineRule="auto"/>
                    <w:rPr>
                      <w:rFonts w:ascii="Arial" w:hAnsi="Arial"/>
                    </w:rPr>
                  </w:pPr>
                  <w:r w:rsidRPr="00C06F8F">
                    <w:rPr>
                      <w:rFonts w:ascii="Arial" w:hAnsi="Arial"/>
                    </w:rPr>
                    <w:t>ANC greater than 1 000</w:t>
                  </w:r>
                </w:p>
              </w:tc>
              <w:tc>
                <w:tcPr>
                  <w:tcW w:w="3368" w:type="dxa"/>
                  <w:tcBorders>
                    <w:bottom w:val="single" w:sz="4" w:space="0" w:color="auto"/>
                  </w:tcBorders>
                </w:tcPr>
                <w:p w14:paraId="2D2B9C97" w14:textId="2405933A" w:rsidR="002123E1" w:rsidRPr="00C06F8F" w:rsidRDefault="002123E1" w:rsidP="002E4347">
                  <w:pPr>
                    <w:pStyle w:val="TableText"/>
                    <w:keepNext/>
                    <w:keepLines/>
                    <w:widowControl w:val="0"/>
                    <w:spacing w:line="480" w:lineRule="auto"/>
                    <w:rPr>
                      <w:rFonts w:ascii="Arial" w:hAnsi="Arial"/>
                    </w:rPr>
                  </w:pPr>
                  <w:r w:rsidRPr="00C06F8F">
                    <w:rPr>
                      <w:rFonts w:ascii="Arial" w:hAnsi="Arial"/>
                    </w:rPr>
                    <w:t>Dose should be maintained.</w:t>
                  </w:r>
                </w:p>
              </w:tc>
            </w:tr>
            <w:tr w:rsidR="002123E1" w:rsidRPr="00C06F8F" w14:paraId="5BF3FA8A" w14:textId="77777777" w:rsidTr="0065520B">
              <w:trPr>
                <w:trHeight w:val="1645"/>
              </w:trPr>
              <w:tc>
                <w:tcPr>
                  <w:tcW w:w="2851" w:type="dxa"/>
                  <w:tcBorders>
                    <w:top w:val="single" w:sz="4" w:space="0" w:color="auto"/>
                  </w:tcBorders>
                </w:tcPr>
                <w:p w14:paraId="18E0BD5C" w14:textId="2C43D2B5" w:rsidR="002123E1" w:rsidRPr="00C06F8F" w:rsidRDefault="002123E1" w:rsidP="002E4347">
                  <w:pPr>
                    <w:pStyle w:val="TableText"/>
                    <w:keepNext/>
                    <w:keepLines/>
                    <w:widowControl w:val="0"/>
                    <w:spacing w:line="480" w:lineRule="auto"/>
                    <w:rPr>
                      <w:rFonts w:ascii="Arial" w:hAnsi="Arial"/>
                    </w:rPr>
                  </w:pPr>
                  <w:r w:rsidRPr="00C06F8F">
                    <w:rPr>
                      <w:rFonts w:ascii="Arial" w:hAnsi="Arial"/>
                    </w:rPr>
                    <w:t>ANC 500 – 1 000</w:t>
                  </w:r>
                </w:p>
              </w:tc>
              <w:tc>
                <w:tcPr>
                  <w:tcW w:w="3368" w:type="dxa"/>
                  <w:tcBorders>
                    <w:top w:val="single" w:sz="4" w:space="0" w:color="auto"/>
                  </w:tcBorders>
                </w:tcPr>
                <w:p w14:paraId="5EFA2FDF" w14:textId="77777777" w:rsidR="002123E1" w:rsidRPr="00C06F8F" w:rsidRDefault="002123E1" w:rsidP="002E4347">
                  <w:pPr>
                    <w:pStyle w:val="TableText"/>
                    <w:keepNext/>
                    <w:keepLines/>
                    <w:widowControl w:val="0"/>
                    <w:spacing w:line="480" w:lineRule="auto"/>
                    <w:rPr>
                      <w:rFonts w:ascii="Arial" w:hAnsi="Arial"/>
                    </w:rPr>
                  </w:pPr>
                  <w:r w:rsidRPr="00C06F8F">
                    <w:rPr>
                      <w:rFonts w:ascii="Arial" w:hAnsi="Arial"/>
                    </w:rPr>
                    <w:t xml:space="preserve">For persistent (2 sequential values in this range on routine testing) decreases in this range, dosing should be reduced or interrupted until ANC is greater than </w:t>
                  </w:r>
                </w:p>
                <w:p w14:paraId="00CD3842" w14:textId="241BF106" w:rsidR="002123E1" w:rsidRPr="00C06F8F" w:rsidRDefault="002123E1" w:rsidP="002E4347">
                  <w:pPr>
                    <w:pStyle w:val="TableText"/>
                    <w:keepNext/>
                    <w:keepLines/>
                    <w:widowControl w:val="0"/>
                    <w:spacing w:line="480" w:lineRule="auto"/>
                    <w:rPr>
                      <w:rFonts w:ascii="Arial" w:hAnsi="Arial"/>
                    </w:rPr>
                  </w:pPr>
                  <w:r w:rsidRPr="00C06F8F">
                    <w:rPr>
                      <w:rFonts w:ascii="Arial" w:hAnsi="Arial"/>
                    </w:rPr>
                    <w:t>1 000.</w:t>
                  </w:r>
                </w:p>
              </w:tc>
            </w:tr>
            <w:tr w:rsidR="002123E1" w:rsidRPr="00C06F8F" w14:paraId="154B2FCA" w14:textId="77777777" w:rsidTr="0065520B">
              <w:trPr>
                <w:trHeight w:val="2979"/>
              </w:trPr>
              <w:tc>
                <w:tcPr>
                  <w:tcW w:w="2851" w:type="dxa"/>
                </w:tcPr>
                <w:p w14:paraId="445D3CB4" w14:textId="6479B5E4" w:rsidR="002123E1" w:rsidRPr="00C06F8F" w:rsidRDefault="002123E1" w:rsidP="002E4347">
                  <w:pPr>
                    <w:pStyle w:val="TableText"/>
                    <w:keepNext/>
                    <w:keepLines/>
                    <w:widowControl w:val="0"/>
                    <w:spacing w:line="480" w:lineRule="auto"/>
                    <w:rPr>
                      <w:rFonts w:ascii="Arial" w:hAnsi="Arial"/>
                    </w:rPr>
                  </w:pPr>
                </w:p>
              </w:tc>
              <w:tc>
                <w:tcPr>
                  <w:tcW w:w="3368" w:type="dxa"/>
                </w:tcPr>
                <w:p w14:paraId="1EDDE004" w14:textId="3F0B5CCC" w:rsidR="002123E1" w:rsidRPr="00C06F8F" w:rsidRDefault="002123E1" w:rsidP="002E4347">
                  <w:pPr>
                    <w:spacing w:line="480" w:lineRule="auto"/>
                    <w:rPr>
                      <w:rFonts w:ascii="Arial" w:hAnsi="Arial" w:cs="Arial"/>
                      <w:sz w:val="20"/>
                      <w:szCs w:val="20"/>
                    </w:rPr>
                  </w:pPr>
                  <w:r w:rsidRPr="00C06F8F">
                    <w:rPr>
                      <w:rFonts w:ascii="Arial" w:hAnsi="Arial" w:cs="Arial"/>
                      <w:sz w:val="20"/>
                      <w:szCs w:val="20"/>
                    </w:rPr>
                    <w:t>For patients receiving XELJANZ 10 mg twice daily, dosing should be reduced to XELJANZ 5 mg twice daily.</w:t>
                  </w:r>
                </w:p>
                <w:p w14:paraId="40E7C0C9" w14:textId="77777777" w:rsidR="002123E1" w:rsidRPr="00C06F8F" w:rsidRDefault="002123E1" w:rsidP="002E4347">
                  <w:pPr>
                    <w:pStyle w:val="TableText"/>
                    <w:keepNext/>
                    <w:keepLines/>
                    <w:widowControl w:val="0"/>
                    <w:spacing w:line="480" w:lineRule="auto"/>
                    <w:rPr>
                      <w:rFonts w:ascii="Arial" w:hAnsi="Arial"/>
                      <w:lang w:val="en-GB"/>
                    </w:rPr>
                  </w:pPr>
                </w:p>
                <w:p w14:paraId="15DBB5DD" w14:textId="0A6ABE16" w:rsidR="002123E1" w:rsidRPr="00C06F8F" w:rsidRDefault="002123E1" w:rsidP="002E4347">
                  <w:pPr>
                    <w:pStyle w:val="TableText"/>
                    <w:keepNext/>
                    <w:keepLines/>
                    <w:widowControl w:val="0"/>
                    <w:spacing w:line="480" w:lineRule="auto"/>
                    <w:rPr>
                      <w:rFonts w:ascii="Arial" w:hAnsi="Arial"/>
                      <w:lang w:val="en-GB"/>
                    </w:rPr>
                  </w:pPr>
                  <w:r w:rsidRPr="00C06F8F">
                    <w:rPr>
                      <w:rFonts w:ascii="Arial" w:hAnsi="Arial"/>
                      <w:lang w:val="en-GB"/>
                    </w:rPr>
                    <w:t>For patients receiving XELJANZ 5 mg twice daily, dosing should be interrupted.</w:t>
                  </w:r>
                </w:p>
                <w:p w14:paraId="28DCA6C5" w14:textId="77777777" w:rsidR="002123E1" w:rsidRPr="00C06F8F" w:rsidRDefault="002123E1" w:rsidP="002E4347">
                  <w:pPr>
                    <w:pStyle w:val="TableText"/>
                    <w:keepNext/>
                    <w:keepLines/>
                    <w:widowControl w:val="0"/>
                    <w:spacing w:line="480" w:lineRule="auto"/>
                    <w:rPr>
                      <w:rFonts w:ascii="Arial" w:hAnsi="Arial"/>
                    </w:rPr>
                  </w:pPr>
                </w:p>
                <w:p w14:paraId="33F691FC" w14:textId="5B072BFA" w:rsidR="002123E1" w:rsidRPr="00C06F8F" w:rsidRDefault="002123E1" w:rsidP="002E4347">
                  <w:pPr>
                    <w:pStyle w:val="TableText"/>
                    <w:keepNext/>
                    <w:keepLines/>
                    <w:widowControl w:val="0"/>
                    <w:spacing w:line="480" w:lineRule="auto"/>
                    <w:rPr>
                      <w:rFonts w:ascii="Arial" w:hAnsi="Arial"/>
                      <w:color w:val="002060"/>
                    </w:rPr>
                  </w:pPr>
                  <w:r w:rsidRPr="00C06F8F">
                    <w:rPr>
                      <w:rFonts w:ascii="Arial" w:hAnsi="Arial"/>
                    </w:rPr>
                    <w:t>When ANC is greater than 1 000, treatment should be resumed as clinically appropriate.</w:t>
                  </w:r>
                </w:p>
              </w:tc>
            </w:tr>
            <w:tr w:rsidR="002123E1" w:rsidRPr="00C06F8F" w14:paraId="628F4207" w14:textId="77777777" w:rsidTr="0065520B">
              <w:trPr>
                <w:trHeight w:val="482"/>
              </w:trPr>
              <w:tc>
                <w:tcPr>
                  <w:tcW w:w="2851" w:type="dxa"/>
                </w:tcPr>
                <w:p w14:paraId="2715346C" w14:textId="3E09E779" w:rsidR="002123E1" w:rsidRPr="00C06F8F" w:rsidRDefault="002123E1" w:rsidP="002E4347">
                  <w:pPr>
                    <w:pStyle w:val="TableText"/>
                    <w:widowControl w:val="0"/>
                    <w:spacing w:line="480" w:lineRule="auto"/>
                    <w:rPr>
                      <w:rFonts w:ascii="Arial" w:hAnsi="Arial"/>
                    </w:rPr>
                  </w:pPr>
                  <w:r w:rsidRPr="00C06F8F">
                    <w:rPr>
                      <w:rFonts w:ascii="Arial" w:hAnsi="Arial"/>
                    </w:rPr>
                    <w:t>ANC less than 500</w:t>
                  </w:r>
                </w:p>
              </w:tc>
              <w:tc>
                <w:tcPr>
                  <w:tcW w:w="3368" w:type="dxa"/>
                </w:tcPr>
                <w:p w14:paraId="7388CF8D" w14:textId="77777777" w:rsidR="002123E1" w:rsidRPr="00C06F8F" w:rsidRDefault="002123E1" w:rsidP="002E4347">
                  <w:pPr>
                    <w:pStyle w:val="TableText"/>
                    <w:widowControl w:val="0"/>
                    <w:spacing w:line="480" w:lineRule="auto"/>
                    <w:rPr>
                      <w:rFonts w:ascii="Arial" w:hAnsi="Arial"/>
                    </w:rPr>
                  </w:pPr>
                  <w:r w:rsidRPr="00C06F8F">
                    <w:rPr>
                      <w:rFonts w:ascii="Arial" w:hAnsi="Arial"/>
                    </w:rPr>
                    <w:t xml:space="preserve">If lab value confirmed by repeat testing within 7 days, dosing should be discontinued. </w:t>
                  </w:r>
                </w:p>
              </w:tc>
            </w:tr>
          </w:tbl>
          <w:p w14:paraId="73C02742" w14:textId="77777777" w:rsidR="002123E1" w:rsidRPr="00C06F8F" w:rsidRDefault="002123E1" w:rsidP="007314CB">
            <w:pPr>
              <w:pStyle w:val="BodyText3"/>
              <w:spacing w:line="480" w:lineRule="auto"/>
              <w:jc w:val="both"/>
              <w:rPr>
                <w:rFonts w:cs="Arial"/>
                <w:sz w:val="20"/>
                <w:lang w:val="en-GB"/>
              </w:rPr>
            </w:pPr>
          </w:p>
        </w:tc>
      </w:tr>
      <w:tr w:rsidR="002123E1" w:rsidRPr="004F1EA4" w14:paraId="753F123A" w14:textId="3767ED69" w:rsidTr="002123E1">
        <w:tc>
          <w:tcPr>
            <w:tcW w:w="5000" w:type="pct"/>
          </w:tcPr>
          <w:p w14:paraId="0C5BE3D3" w14:textId="77777777" w:rsidR="002123E1" w:rsidRPr="004F1EA4" w:rsidRDefault="002123E1" w:rsidP="007314CB">
            <w:pPr>
              <w:spacing w:line="480" w:lineRule="auto"/>
              <w:jc w:val="both"/>
              <w:rPr>
                <w:rFonts w:ascii="Arial" w:hAnsi="Arial" w:cs="Arial"/>
                <w:sz w:val="20"/>
                <w:szCs w:val="20"/>
                <w:highlight w:val="yellow"/>
                <w:lang w:val="en-GB"/>
              </w:rPr>
            </w:pPr>
          </w:p>
        </w:tc>
      </w:tr>
      <w:tr w:rsidR="002123E1" w:rsidRPr="004F1EA4" w14:paraId="23D71B17" w14:textId="3CCC932E" w:rsidTr="002123E1">
        <w:tc>
          <w:tcPr>
            <w:tcW w:w="5000" w:type="pct"/>
          </w:tcPr>
          <w:p w14:paraId="233B7384" w14:textId="26BCC734" w:rsidR="002123E1" w:rsidRPr="00C06F8F" w:rsidRDefault="002123E1" w:rsidP="007314CB">
            <w:pPr>
              <w:spacing w:line="480" w:lineRule="auto"/>
              <w:jc w:val="both"/>
              <w:rPr>
                <w:rFonts w:ascii="Arial" w:hAnsi="Arial" w:cs="Arial"/>
                <w:sz w:val="20"/>
                <w:szCs w:val="20"/>
                <w:lang w:val="en-GB"/>
              </w:rPr>
            </w:pPr>
            <w:r w:rsidRPr="00C06F8F">
              <w:rPr>
                <w:rFonts w:ascii="Arial" w:hAnsi="Arial" w:cs="Arial"/>
                <w:sz w:val="20"/>
                <w:szCs w:val="20"/>
                <w:lang w:val="en-GB"/>
              </w:rPr>
              <w:t>It is recommended not to initiate dosing in patients with haemoglobin less than 9 g/dL.</w:t>
            </w:r>
          </w:p>
        </w:tc>
      </w:tr>
      <w:tr w:rsidR="002123E1" w:rsidRPr="004F1EA4" w14:paraId="6C11373D" w14:textId="52B3B7DE" w:rsidTr="002123E1">
        <w:tc>
          <w:tcPr>
            <w:tcW w:w="5000" w:type="pct"/>
          </w:tcPr>
          <w:p w14:paraId="7447055E" w14:textId="2AE6E2AB" w:rsidR="002123E1" w:rsidRPr="00C06F8F" w:rsidRDefault="002123E1" w:rsidP="007314CB">
            <w:pPr>
              <w:spacing w:line="480" w:lineRule="auto"/>
              <w:jc w:val="both"/>
              <w:rPr>
                <w:rFonts w:ascii="Arial" w:hAnsi="Arial" w:cs="Arial"/>
                <w:sz w:val="20"/>
                <w:szCs w:val="20"/>
                <w:lang w:val="en-GB"/>
              </w:rPr>
            </w:pPr>
            <w:r w:rsidRPr="00C06F8F">
              <w:rPr>
                <w:rFonts w:ascii="Arial" w:hAnsi="Arial" w:cs="Arial"/>
                <w:sz w:val="20"/>
                <w:szCs w:val="20"/>
                <w:lang w:val="en-GB"/>
              </w:rPr>
              <w:lastRenderedPageBreak/>
              <w:t>Table 3: Low haemoglobin value</w:t>
            </w:r>
          </w:p>
        </w:tc>
      </w:tr>
      <w:tr w:rsidR="002123E1" w:rsidRPr="004F1EA4" w14:paraId="716931DE" w14:textId="79874235" w:rsidTr="002123E1">
        <w:trPr>
          <w:trHeight w:val="1385"/>
        </w:trPr>
        <w:tc>
          <w:tcPr>
            <w:tcW w:w="5000" w:type="pct"/>
          </w:tcPr>
          <w:tbl>
            <w:tblPr>
              <w:tblW w:w="6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61"/>
              <w:gridCol w:w="3380"/>
            </w:tblGrid>
            <w:tr w:rsidR="002123E1" w:rsidRPr="00C06F8F" w14:paraId="759121F9" w14:textId="77777777" w:rsidTr="0065520B">
              <w:trPr>
                <w:trHeight w:val="942"/>
              </w:trPr>
              <w:tc>
                <w:tcPr>
                  <w:tcW w:w="6241" w:type="dxa"/>
                  <w:gridSpan w:val="2"/>
                </w:tcPr>
                <w:p w14:paraId="10039C55" w14:textId="77777777" w:rsidR="002123E1" w:rsidRPr="00C06F8F" w:rsidRDefault="002123E1" w:rsidP="003A7DEE">
                  <w:pPr>
                    <w:keepNext/>
                    <w:spacing w:line="480" w:lineRule="auto"/>
                    <w:jc w:val="center"/>
                    <w:rPr>
                      <w:rFonts w:ascii="Arial" w:hAnsi="Arial" w:cs="Arial"/>
                      <w:sz w:val="20"/>
                      <w:szCs w:val="20"/>
                    </w:rPr>
                  </w:pPr>
                  <w:r w:rsidRPr="00C06F8F">
                    <w:rPr>
                      <w:rFonts w:ascii="Arial" w:hAnsi="Arial" w:cs="Arial"/>
                      <w:sz w:val="20"/>
                      <w:szCs w:val="20"/>
                    </w:rPr>
                    <w:t xml:space="preserve">Low </w:t>
                  </w:r>
                  <w:proofErr w:type="spellStart"/>
                  <w:r w:rsidRPr="00C06F8F">
                    <w:rPr>
                      <w:rFonts w:ascii="Arial" w:hAnsi="Arial" w:cs="Arial"/>
                      <w:sz w:val="20"/>
                      <w:szCs w:val="20"/>
                    </w:rPr>
                    <w:t>haemoglobin</w:t>
                  </w:r>
                  <w:proofErr w:type="spellEnd"/>
                  <w:r w:rsidRPr="00C06F8F">
                    <w:rPr>
                      <w:rFonts w:ascii="Arial" w:hAnsi="Arial" w:cs="Arial"/>
                      <w:sz w:val="20"/>
                      <w:szCs w:val="20"/>
                    </w:rPr>
                    <w:t xml:space="preserve"> value (section 4.4)</w:t>
                  </w:r>
                </w:p>
              </w:tc>
            </w:tr>
            <w:tr w:rsidR="002123E1" w:rsidRPr="00C06F8F" w14:paraId="1A894075" w14:textId="77777777" w:rsidTr="0065520B">
              <w:trPr>
                <w:trHeight w:val="961"/>
              </w:trPr>
              <w:tc>
                <w:tcPr>
                  <w:tcW w:w="2861" w:type="dxa"/>
                </w:tcPr>
                <w:p w14:paraId="5BD13708" w14:textId="77777777" w:rsidR="002123E1" w:rsidRPr="00C06F8F" w:rsidRDefault="002123E1" w:rsidP="003A7DEE">
                  <w:pPr>
                    <w:keepNext/>
                    <w:spacing w:line="480" w:lineRule="auto"/>
                    <w:rPr>
                      <w:rFonts w:ascii="Arial" w:hAnsi="Arial" w:cs="Arial"/>
                      <w:sz w:val="20"/>
                      <w:szCs w:val="20"/>
                    </w:rPr>
                  </w:pPr>
                  <w:r w:rsidRPr="00C06F8F">
                    <w:rPr>
                      <w:rFonts w:ascii="Arial" w:hAnsi="Arial" w:cs="Arial"/>
                      <w:sz w:val="20"/>
                      <w:szCs w:val="20"/>
                    </w:rPr>
                    <w:t>Lab value (g/dL)</w:t>
                  </w:r>
                </w:p>
              </w:tc>
              <w:tc>
                <w:tcPr>
                  <w:tcW w:w="3379" w:type="dxa"/>
                </w:tcPr>
                <w:p w14:paraId="04390534" w14:textId="77777777" w:rsidR="002123E1" w:rsidRPr="00C06F8F" w:rsidRDefault="002123E1" w:rsidP="003A7DEE">
                  <w:pPr>
                    <w:keepNext/>
                    <w:spacing w:line="480" w:lineRule="auto"/>
                    <w:rPr>
                      <w:rFonts w:ascii="Arial" w:hAnsi="Arial" w:cs="Arial"/>
                      <w:sz w:val="20"/>
                      <w:szCs w:val="20"/>
                    </w:rPr>
                  </w:pPr>
                  <w:r w:rsidRPr="00C06F8F">
                    <w:rPr>
                      <w:rFonts w:ascii="Arial" w:hAnsi="Arial" w:cs="Arial"/>
                      <w:sz w:val="20"/>
                      <w:szCs w:val="20"/>
                    </w:rPr>
                    <w:t>Recommendation</w:t>
                  </w:r>
                </w:p>
              </w:tc>
            </w:tr>
            <w:tr w:rsidR="002123E1" w:rsidRPr="00C06F8F" w14:paraId="6304E015" w14:textId="77777777" w:rsidTr="0065520B">
              <w:trPr>
                <w:trHeight w:val="1989"/>
              </w:trPr>
              <w:tc>
                <w:tcPr>
                  <w:tcW w:w="2861" w:type="dxa"/>
                </w:tcPr>
                <w:p w14:paraId="1E7A948F" w14:textId="77777777" w:rsidR="002123E1" w:rsidRPr="00C06F8F" w:rsidRDefault="002123E1" w:rsidP="003A7DEE">
                  <w:pPr>
                    <w:keepNext/>
                    <w:spacing w:line="480" w:lineRule="auto"/>
                    <w:rPr>
                      <w:rFonts w:ascii="Arial" w:hAnsi="Arial" w:cs="Arial"/>
                      <w:sz w:val="20"/>
                      <w:szCs w:val="20"/>
                    </w:rPr>
                  </w:pPr>
                  <w:r w:rsidRPr="00C06F8F">
                    <w:rPr>
                      <w:rFonts w:ascii="Arial" w:hAnsi="Arial" w:cs="Arial"/>
                      <w:sz w:val="20"/>
                      <w:szCs w:val="20"/>
                    </w:rPr>
                    <w:t>Less than or equal to 2 g/dL decrease and greater than or equal to 9,0 g/dL</w:t>
                  </w:r>
                </w:p>
              </w:tc>
              <w:tc>
                <w:tcPr>
                  <w:tcW w:w="3379" w:type="dxa"/>
                </w:tcPr>
                <w:p w14:paraId="5FA1F36F" w14:textId="77777777" w:rsidR="002123E1" w:rsidRPr="00C06F8F" w:rsidRDefault="002123E1" w:rsidP="003A7DEE">
                  <w:pPr>
                    <w:keepNext/>
                    <w:spacing w:line="480" w:lineRule="auto"/>
                    <w:rPr>
                      <w:rFonts w:ascii="Arial" w:hAnsi="Arial" w:cs="Arial"/>
                      <w:sz w:val="20"/>
                      <w:szCs w:val="20"/>
                    </w:rPr>
                  </w:pPr>
                  <w:r w:rsidRPr="00C06F8F">
                    <w:rPr>
                      <w:rFonts w:ascii="Arial" w:hAnsi="Arial" w:cs="Arial"/>
                      <w:sz w:val="20"/>
                      <w:szCs w:val="20"/>
                    </w:rPr>
                    <w:t>Dose should be maintained.</w:t>
                  </w:r>
                </w:p>
              </w:tc>
            </w:tr>
            <w:tr w:rsidR="002123E1" w:rsidRPr="00C06F8F" w14:paraId="4A6CC9B0" w14:textId="77777777" w:rsidTr="0065520B">
              <w:trPr>
                <w:trHeight w:val="1354"/>
              </w:trPr>
              <w:tc>
                <w:tcPr>
                  <w:tcW w:w="2861" w:type="dxa"/>
                </w:tcPr>
                <w:p w14:paraId="4D158202" w14:textId="77777777" w:rsidR="002123E1" w:rsidRPr="00C06F8F" w:rsidRDefault="002123E1" w:rsidP="003A7DEE">
                  <w:pPr>
                    <w:keepNext/>
                    <w:spacing w:line="480" w:lineRule="auto"/>
                    <w:rPr>
                      <w:rFonts w:ascii="Arial" w:hAnsi="Arial" w:cs="Arial"/>
                      <w:sz w:val="20"/>
                      <w:szCs w:val="20"/>
                    </w:rPr>
                  </w:pPr>
                  <w:r w:rsidRPr="00C06F8F">
                    <w:rPr>
                      <w:rFonts w:ascii="Arial" w:hAnsi="Arial" w:cs="Arial"/>
                      <w:sz w:val="20"/>
                      <w:szCs w:val="20"/>
                    </w:rPr>
                    <w:t>Greater than 2 g/dL decrease or less than 8,0 g/dL (confirmed by repeat testing)</w:t>
                  </w:r>
                </w:p>
              </w:tc>
              <w:tc>
                <w:tcPr>
                  <w:tcW w:w="3379" w:type="dxa"/>
                </w:tcPr>
                <w:p w14:paraId="4D2974A5" w14:textId="77777777" w:rsidR="002123E1" w:rsidRPr="00C06F8F" w:rsidRDefault="002123E1" w:rsidP="003A7DEE">
                  <w:pPr>
                    <w:keepNext/>
                    <w:spacing w:line="480" w:lineRule="auto"/>
                    <w:rPr>
                      <w:rFonts w:ascii="Arial" w:hAnsi="Arial" w:cs="Arial"/>
                      <w:sz w:val="20"/>
                      <w:szCs w:val="20"/>
                    </w:rPr>
                  </w:pPr>
                  <w:r w:rsidRPr="00C06F8F">
                    <w:rPr>
                      <w:rFonts w:ascii="Arial" w:hAnsi="Arial" w:cs="Arial"/>
                      <w:sz w:val="20"/>
                      <w:szCs w:val="20"/>
                    </w:rPr>
                    <w:t xml:space="preserve">Dosing should be interrupted until </w:t>
                  </w:r>
                  <w:proofErr w:type="spellStart"/>
                  <w:r w:rsidRPr="00C06F8F">
                    <w:rPr>
                      <w:rFonts w:ascii="Arial" w:hAnsi="Arial" w:cs="Arial"/>
                      <w:sz w:val="20"/>
                      <w:szCs w:val="20"/>
                    </w:rPr>
                    <w:t>haemoglobin</w:t>
                  </w:r>
                  <w:proofErr w:type="spellEnd"/>
                  <w:r w:rsidRPr="00C06F8F">
                    <w:rPr>
                      <w:rFonts w:ascii="Arial" w:hAnsi="Arial" w:cs="Arial"/>
                      <w:sz w:val="20"/>
                      <w:szCs w:val="20"/>
                    </w:rPr>
                    <w:t xml:space="preserve"> values have </w:t>
                  </w:r>
                  <w:proofErr w:type="spellStart"/>
                  <w:r w:rsidRPr="00C06F8F">
                    <w:rPr>
                      <w:rFonts w:ascii="Arial" w:hAnsi="Arial" w:cs="Arial"/>
                      <w:sz w:val="20"/>
                      <w:szCs w:val="20"/>
                    </w:rPr>
                    <w:t>normalised</w:t>
                  </w:r>
                  <w:proofErr w:type="spellEnd"/>
                  <w:r w:rsidRPr="00C06F8F">
                    <w:rPr>
                      <w:rFonts w:ascii="Arial" w:hAnsi="Arial" w:cs="Arial"/>
                      <w:sz w:val="20"/>
                      <w:szCs w:val="20"/>
                    </w:rPr>
                    <w:t>.</w:t>
                  </w:r>
                </w:p>
              </w:tc>
            </w:tr>
          </w:tbl>
          <w:p w14:paraId="05DF9E71" w14:textId="13B19E54" w:rsidR="002123E1" w:rsidRPr="00C06F8F" w:rsidRDefault="002123E1" w:rsidP="007314CB">
            <w:pPr>
              <w:spacing w:line="480" w:lineRule="auto"/>
              <w:jc w:val="both"/>
              <w:rPr>
                <w:rFonts w:ascii="Arial" w:hAnsi="Arial" w:cs="Arial"/>
                <w:sz w:val="20"/>
                <w:szCs w:val="20"/>
                <w:lang w:val="en-GB"/>
              </w:rPr>
            </w:pPr>
          </w:p>
        </w:tc>
      </w:tr>
      <w:tr w:rsidR="002123E1" w:rsidRPr="004F1EA4" w14:paraId="27930861" w14:textId="12F992D8" w:rsidTr="002123E1">
        <w:trPr>
          <w:trHeight w:val="395"/>
        </w:trPr>
        <w:tc>
          <w:tcPr>
            <w:tcW w:w="5000" w:type="pct"/>
          </w:tcPr>
          <w:p w14:paraId="3FEF0198" w14:textId="77777777" w:rsidR="002123E1" w:rsidRPr="004F1EA4" w:rsidRDefault="002123E1" w:rsidP="00855667">
            <w:pPr>
              <w:keepNext/>
              <w:spacing w:line="480" w:lineRule="auto"/>
              <w:jc w:val="center"/>
              <w:rPr>
                <w:rFonts w:ascii="Arial" w:hAnsi="Arial" w:cs="Arial"/>
                <w:sz w:val="20"/>
                <w:szCs w:val="20"/>
              </w:rPr>
            </w:pPr>
          </w:p>
        </w:tc>
      </w:tr>
      <w:tr w:rsidR="002123E1" w:rsidRPr="004F1EA4" w14:paraId="2A8500E8" w14:textId="3E3E96D2" w:rsidTr="002123E1">
        <w:tc>
          <w:tcPr>
            <w:tcW w:w="5000" w:type="pct"/>
          </w:tcPr>
          <w:p w14:paraId="68D95480" w14:textId="38D01153" w:rsidR="002123E1" w:rsidRPr="004F1EA4" w:rsidRDefault="002123E1" w:rsidP="00855667">
            <w:pPr>
              <w:spacing w:line="480" w:lineRule="auto"/>
              <w:jc w:val="both"/>
              <w:rPr>
                <w:rFonts w:ascii="Arial" w:hAnsi="Arial" w:cs="Arial"/>
                <w:i/>
                <w:sz w:val="20"/>
                <w:szCs w:val="20"/>
                <w:lang w:val="en-GB"/>
              </w:rPr>
            </w:pPr>
            <w:r w:rsidRPr="004F1EA4">
              <w:rPr>
                <w:rFonts w:ascii="Arial" w:hAnsi="Arial" w:cs="Arial"/>
                <w:i/>
                <w:sz w:val="20"/>
                <w:szCs w:val="20"/>
                <w:lang w:val="en-GB"/>
              </w:rPr>
              <w:t>Drug-drug interactions</w:t>
            </w:r>
          </w:p>
        </w:tc>
      </w:tr>
      <w:tr w:rsidR="002123E1" w:rsidRPr="004F1EA4" w14:paraId="49207613" w14:textId="0CFFAABD" w:rsidTr="002123E1">
        <w:tc>
          <w:tcPr>
            <w:tcW w:w="5000" w:type="pct"/>
          </w:tcPr>
          <w:p w14:paraId="1CBA4BF8" w14:textId="12886706" w:rsidR="002123E1" w:rsidRPr="004F1EA4" w:rsidRDefault="002123E1" w:rsidP="00855667">
            <w:pPr>
              <w:spacing w:line="480" w:lineRule="auto"/>
              <w:jc w:val="both"/>
              <w:rPr>
                <w:rFonts w:ascii="Arial" w:hAnsi="Arial" w:cs="Arial"/>
                <w:sz w:val="20"/>
                <w:szCs w:val="20"/>
                <w:lang w:val="en-GB"/>
              </w:rPr>
            </w:pPr>
            <w:r w:rsidRPr="004F1EA4">
              <w:rPr>
                <w:rFonts w:ascii="Arial" w:hAnsi="Arial" w:cs="Arial"/>
                <w:sz w:val="20"/>
                <w:szCs w:val="20"/>
                <w:lang w:val="en-GB"/>
              </w:rPr>
              <w:t xml:space="preserve">XELJANZ total daily dose should be reduced by half in patients receiving potent inhibitors of cytochrome P450 (CYP) 3A4 (e.g., ketoconazole) and in patients receiving 1 or more concomitant medicines that result in both moderate inhibition of CYP3A4 as well as potent inhibition of CYP2C19 (e.g., fluconazole) (see sections 4.4 and 4.5) as follows: </w:t>
            </w:r>
          </w:p>
          <w:p w14:paraId="3B43BE04" w14:textId="77777777" w:rsidR="002123E1" w:rsidRPr="004F1EA4" w:rsidRDefault="002123E1" w:rsidP="00B538A4">
            <w:pPr>
              <w:pStyle w:val="ListParagraph"/>
              <w:numPr>
                <w:ilvl w:val="0"/>
                <w:numId w:val="6"/>
              </w:numPr>
              <w:spacing w:line="480" w:lineRule="auto"/>
              <w:jc w:val="both"/>
              <w:rPr>
                <w:rFonts w:ascii="Arial" w:hAnsi="Arial" w:cs="Arial"/>
                <w:sz w:val="20"/>
                <w:szCs w:val="20"/>
                <w:lang w:val="en-GB"/>
              </w:rPr>
            </w:pPr>
            <w:r w:rsidRPr="004F1EA4">
              <w:rPr>
                <w:rFonts w:ascii="Arial" w:hAnsi="Arial" w:cs="Arial"/>
                <w:sz w:val="20"/>
                <w:szCs w:val="20"/>
                <w:lang w:val="en-GB"/>
              </w:rPr>
              <w:t xml:space="preserve">XELJANZ dose should be reduced to 5 mg once daily in patients receiving 5 mg twice daily. </w:t>
            </w:r>
          </w:p>
          <w:p w14:paraId="7BEC969E" w14:textId="2D3A93C5" w:rsidR="002123E1" w:rsidRPr="004F1EA4" w:rsidRDefault="002123E1" w:rsidP="00B538A4">
            <w:pPr>
              <w:pStyle w:val="ListParagraph"/>
              <w:numPr>
                <w:ilvl w:val="0"/>
                <w:numId w:val="6"/>
              </w:numPr>
              <w:spacing w:line="480" w:lineRule="auto"/>
              <w:jc w:val="both"/>
              <w:rPr>
                <w:rFonts w:ascii="Arial" w:hAnsi="Arial" w:cs="Arial"/>
                <w:sz w:val="20"/>
                <w:szCs w:val="20"/>
                <w:lang w:val="en-GB"/>
              </w:rPr>
            </w:pPr>
            <w:r w:rsidRPr="004F1EA4">
              <w:rPr>
                <w:rFonts w:ascii="Arial" w:hAnsi="Arial" w:cs="Arial"/>
                <w:sz w:val="20"/>
                <w:szCs w:val="20"/>
                <w:lang w:val="en-GB"/>
              </w:rPr>
              <w:t>XELJANZ dose should be reduced to 5 mg twice daily in patients receiving 10 mg twice daily.</w:t>
            </w:r>
          </w:p>
        </w:tc>
      </w:tr>
      <w:tr w:rsidR="002123E1" w:rsidRPr="004F1EA4" w14:paraId="36C06FB0" w14:textId="5E6BC93A" w:rsidTr="002123E1">
        <w:tc>
          <w:tcPr>
            <w:tcW w:w="5000" w:type="pct"/>
          </w:tcPr>
          <w:p w14:paraId="59A27D4F" w14:textId="77777777" w:rsidR="002123E1" w:rsidRPr="004F1EA4" w:rsidRDefault="002123E1" w:rsidP="007314CB">
            <w:pPr>
              <w:spacing w:line="480" w:lineRule="auto"/>
              <w:jc w:val="both"/>
              <w:rPr>
                <w:rFonts w:ascii="Arial" w:hAnsi="Arial" w:cs="Arial"/>
                <w:sz w:val="20"/>
                <w:szCs w:val="20"/>
                <w:lang w:val="en-GB"/>
              </w:rPr>
            </w:pPr>
          </w:p>
        </w:tc>
      </w:tr>
      <w:tr w:rsidR="002123E1" w:rsidRPr="004F1EA4" w14:paraId="4AFD60DA" w14:textId="55560358" w:rsidTr="002123E1">
        <w:tc>
          <w:tcPr>
            <w:tcW w:w="5000" w:type="pct"/>
          </w:tcPr>
          <w:p w14:paraId="2AC521A6" w14:textId="113D2491" w:rsidR="002123E1" w:rsidRPr="004F1EA4" w:rsidRDefault="002123E1" w:rsidP="007314CB">
            <w:pPr>
              <w:widowControl w:val="0"/>
              <w:spacing w:line="480" w:lineRule="auto"/>
              <w:jc w:val="both"/>
              <w:rPr>
                <w:rFonts w:ascii="Arial" w:hAnsi="Arial" w:cs="Arial"/>
                <w:b/>
                <w:sz w:val="20"/>
                <w:szCs w:val="20"/>
                <w:lang w:val="en-GB"/>
              </w:rPr>
            </w:pPr>
            <w:r w:rsidRPr="004F1EA4">
              <w:rPr>
                <w:rFonts w:ascii="Arial" w:hAnsi="Arial" w:cs="Arial"/>
                <w:b/>
                <w:sz w:val="20"/>
                <w:szCs w:val="20"/>
                <w:lang w:val="en-GB"/>
              </w:rPr>
              <w:t>Special populations</w:t>
            </w:r>
          </w:p>
        </w:tc>
      </w:tr>
      <w:tr w:rsidR="002123E1" w:rsidRPr="004F1EA4" w14:paraId="60BAB569" w14:textId="11629818" w:rsidTr="002123E1">
        <w:tc>
          <w:tcPr>
            <w:tcW w:w="5000" w:type="pct"/>
          </w:tcPr>
          <w:p w14:paraId="2FF44973" w14:textId="5640B5D3" w:rsidR="002123E1" w:rsidRPr="006F0C43" w:rsidRDefault="002123E1" w:rsidP="00CF1D0F">
            <w:pPr>
              <w:rPr>
                <w:rFonts w:ascii="Arial" w:hAnsi="Arial" w:cs="Arial"/>
                <w:i/>
                <w:color w:val="000000"/>
                <w:sz w:val="20"/>
                <w:szCs w:val="20"/>
              </w:rPr>
            </w:pPr>
            <w:r w:rsidRPr="006F0C43">
              <w:rPr>
                <w:rFonts w:ascii="Arial" w:hAnsi="Arial" w:cs="Arial"/>
                <w:i/>
                <w:color w:val="000000"/>
                <w:sz w:val="20"/>
                <w:szCs w:val="20"/>
              </w:rPr>
              <w:t>Elderly</w:t>
            </w:r>
          </w:p>
        </w:tc>
      </w:tr>
      <w:tr w:rsidR="002123E1" w:rsidRPr="004F1EA4" w14:paraId="59006DE4" w14:textId="365627E7" w:rsidTr="002123E1">
        <w:tc>
          <w:tcPr>
            <w:tcW w:w="5000" w:type="pct"/>
          </w:tcPr>
          <w:p w14:paraId="65B0A949" w14:textId="22C39CE0" w:rsidR="002123E1" w:rsidRPr="006F0C43" w:rsidRDefault="002123E1" w:rsidP="0065520B">
            <w:pPr>
              <w:spacing w:line="480" w:lineRule="auto"/>
              <w:jc w:val="both"/>
              <w:rPr>
                <w:rFonts w:ascii="Arial" w:hAnsi="Arial" w:cs="Arial"/>
                <w:sz w:val="20"/>
                <w:szCs w:val="20"/>
                <w:lang w:val="en-GB"/>
              </w:rPr>
            </w:pPr>
            <w:r w:rsidRPr="006F0C43">
              <w:rPr>
                <w:rFonts w:ascii="Arial" w:hAnsi="Arial" w:cs="Arial"/>
                <w:sz w:val="20"/>
                <w:szCs w:val="20"/>
                <w:lang w:val="en-GB"/>
              </w:rPr>
              <w:t>No dose adjustment is required in patients aged 65 years and older. There are limited data in patients aged 75 years and older.</w:t>
            </w:r>
            <w:r>
              <w:rPr>
                <w:rFonts w:ascii="Arial" w:hAnsi="Arial" w:cs="Arial"/>
                <w:sz w:val="20"/>
                <w:szCs w:val="20"/>
                <w:lang w:val="en-GB"/>
              </w:rPr>
              <w:t xml:space="preserve"> </w:t>
            </w:r>
            <w:r w:rsidRPr="0065520B">
              <w:rPr>
                <w:rFonts w:ascii="Arial" w:hAnsi="Arial" w:cs="Arial"/>
                <w:sz w:val="20"/>
                <w:szCs w:val="20"/>
                <w:lang w:val="en-GB"/>
              </w:rPr>
              <w:t>A higher incidence and</w:t>
            </w:r>
            <w:r>
              <w:rPr>
                <w:rFonts w:ascii="Arial" w:hAnsi="Arial" w:cs="Arial"/>
                <w:sz w:val="20"/>
                <w:szCs w:val="20"/>
                <w:lang w:val="en-GB"/>
              </w:rPr>
              <w:t xml:space="preserve"> </w:t>
            </w:r>
            <w:r w:rsidRPr="0065520B">
              <w:rPr>
                <w:rFonts w:ascii="Arial" w:hAnsi="Arial" w:cs="Arial"/>
                <w:sz w:val="20"/>
                <w:szCs w:val="20"/>
                <w:lang w:val="en-GB"/>
              </w:rPr>
              <w:t>severity of adverse events in the elderly (&gt;</w:t>
            </w:r>
            <w:r>
              <w:rPr>
                <w:rFonts w:ascii="Arial" w:hAnsi="Arial" w:cs="Arial"/>
                <w:sz w:val="20"/>
                <w:szCs w:val="20"/>
                <w:lang w:val="en-GB"/>
              </w:rPr>
              <w:t xml:space="preserve"> </w:t>
            </w:r>
            <w:r w:rsidRPr="0065520B">
              <w:rPr>
                <w:rFonts w:ascii="Arial" w:hAnsi="Arial" w:cs="Arial"/>
                <w:sz w:val="20"/>
                <w:szCs w:val="20"/>
                <w:lang w:val="en-GB"/>
              </w:rPr>
              <w:t xml:space="preserve">65 </w:t>
            </w:r>
            <w:proofErr w:type="spellStart"/>
            <w:r w:rsidRPr="0065520B">
              <w:rPr>
                <w:rFonts w:ascii="Arial" w:hAnsi="Arial" w:cs="Arial"/>
                <w:sz w:val="20"/>
                <w:szCs w:val="20"/>
                <w:lang w:val="en-GB"/>
              </w:rPr>
              <w:t>yr</w:t>
            </w:r>
            <w:r>
              <w:rPr>
                <w:rFonts w:ascii="Arial" w:hAnsi="Arial" w:cs="Arial"/>
                <w:sz w:val="20"/>
                <w:szCs w:val="20"/>
                <w:lang w:val="en-GB"/>
              </w:rPr>
              <w:t>s</w:t>
            </w:r>
            <w:proofErr w:type="spellEnd"/>
            <w:r w:rsidRPr="0065520B">
              <w:rPr>
                <w:rFonts w:ascii="Arial" w:hAnsi="Arial" w:cs="Arial"/>
                <w:sz w:val="20"/>
                <w:szCs w:val="20"/>
                <w:lang w:val="en-GB"/>
              </w:rPr>
              <w:t>) is an important potential risk</w:t>
            </w:r>
            <w:r>
              <w:rPr>
                <w:rFonts w:ascii="Arial" w:hAnsi="Arial" w:cs="Arial"/>
                <w:sz w:val="20"/>
                <w:szCs w:val="20"/>
                <w:lang w:val="en-GB"/>
              </w:rPr>
              <w:t>.</w:t>
            </w:r>
          </w:p>
        </w:tc>
      </w:tr>
      <w:tr w:rsidR="002123E1" w:rsidRPr="004F1EA4" w14:paraId="6C9D90D8" w14:textId="63458C5F" w:rsidTr="002123E1">
        <w:tc>
          <w:tcPr>
            <w:tcW w:w="5000" w:type="pct"/>
          </w:tcPr>
          <w:p w14:paraId="674B6B57" w14:textId="77777777" w:rsidR="002123E1" w:rsidRPr="004F1EA4" w:rsidRDefault="002123E1" w:rsidP="007314CB">
            <w:pPr>
              <w:spacing w:line="480" w:lineRule="auto"/>
              <w:jc w:val="both"/>
              <w:rPr>
                <w:rFonts w:ascii="Arial" w:hAnsi="Arial" w:cs="Arial"/>
                <w:sz w:val="20"/>
                <w:szCs w:val="20"/>
                <w:lang w:val="en-GB"/>
              </w:rPr>
            </w:pPr>
          </w:p>
        </w:tc>
      </w:tr>
      <w:tr w:rsidR="002123E1" w:rsidRPr="004F1EA4" w14:paraId="24572CEB" w14:textId="3BCC8316" w:rsidTr="002123E1">
        <w:tc>
          <w:tcPr>
            <w:tcW w:w="5000" w:type="pct"/>
          </w:tcPr>
          <w:p w14:paraId="3C826BA4" w14:textId="78203524" w:rsidR="002123E1" w:rsidRPr="004F1EA4" w:rsidRDefault="002123E1" w:rsidP="00CF1D0F">
            <w:pPr>
              <w:keepNext/>
              <w:rPr>
                <w:rFonts w:ascii="Arial" w:hAnsi="Arial" w:cs="Arial"/>
                <w:i/>
                <w:iCs/>
                <w:color w:val="000000"/>
                <w:sz w:val="20"/>
                <w:szCs w:val="20"/>
              </w:rPr>
            </w:pPr>
            <w:r w:rsidRPr="004F1EA4">
              <w:rPr>
                <w:rFonts w:ascii="Arial" w:hAnsi="Arial" w:cs="Arial"/>
                <w:i/>
                <w:iCs/>
                <w:color w:val="000000"/>
                <w:sz w:val="20"/>
                <w:szCs w:val="20"/>
              </w:rPr>
              <w:lastRenderedPageBreak/>
              <w:t>Hepatic impairment</w:t>
            </w:r>
          </w:p>
        </w:tc>
      </w:tr>
      <w:tr w:rsidR="002123E1" w:rsidRPr="004F1EA4" w14:paraId="256CCBD8" w14:textId="014B1AA5" w:rsidTr="002123E1">
        <w:tc>
          <w:tcPr>
            <w:tcW w:w="5000" w:type="pct"/>
          </w:tcPr>
          <w:p w14:paraId="0C7A002B" w14:textId="316AB941" w:rsidR="002123E1" w:rsidRPr="004F1EA4" w:rsidRDefault="002123E1" w:rsidP="00CF1D0F">
            <w:pPr>
              <w:keepNext/>
              <w:tabs>
                <w:tab w:val="left" w:pos="990"/>
              </w:tabs>
              <w:rPr>
                <w:rFonts w:ascii="Arial" w:hAnsi="Arial" w:cs="Arial"/>
                <w:sz w:val="20"/>
                <w:szCs w:val="20"/>
              </w:rPr>
            </w:pPr>
            <w:r w:rsidRPr="004F1EA4">
              <w:rPr>
                <w:rFonts w:ascii="Arial" w:hAnsi="Arial" w:cs="Arial"/>
                <w:sz w:val="20"/>
                <w:szCs w:val="20"/>
              </w:rPr>
              <w:t xml:space="preserve">Table 4: </w:t>
            </w:r>
            <w:r w:rsidRPr="004F1EA4">
              <w:rPr>
                <w:rFonts w:ascii="Arial" w:hAnsi="Arial" w:cs="Arial"/>
                <w:sz w:val="20"/>
                <w:szCs w:val="20"/>
              </w:rPr>
              <w:tab/>
              <w:t xml:space="preserve">Dose adjustment for hepatic impairment </w:t>
            </w:r>
          </w:p>
        </w:tc>
      </w:tr>
      <w:tr w:rsidR="002123E1" w:rsidRPr="004F1EA4" w14:paraId="489CB1AF" w14:textId="5FBCB82F" w:rsidTr="002123E1">
        <w:tc>
          <w:tcPr>
            <w:tcW w:w="5000" w:type="pct"/>
          </w:tcPr>
          <w:tbl>
            <w:tblPr>
              <w:tblW w:w="6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08"/>
              <w:gridCol w:w="2231"/>
            </w:tblGrid>
            <w:tr w:rsidR="002123E1" w:rsidRPr="004F1EA4" w14:paraId="2150607E" w14:textId="77777777" w:rsidTr="0065520B">
              <w:trPr>
                <w:trHeight w:val="585"/>
              </w:trPr>
              <w:tc>
                <w:tcPr>
                  <w:tcW w:w="1843" w:type="dxa"/>
                  <w:shd w:val="clear" w:color="auto" w:fill="auto"/>
                </w:tcPr>
                <w:p w14:paraId="3411F734" w14:textId="6AAFBEF9" w:rsidR="002123E1" w:rsidRPr="004F1EA4" w:rsidRDefault="002123E1" w:rsidP="00CF1D0F">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Hepatic impairment</w:t>
                  </w:r>
                </w:p>
              </w:tc>
              <w:tc>
                <w:tcPr>
                  <w:tcW w:w="2108" w:type="dxa"/>
                  <w:shd w:val="clear" w:color="auto" w:fill="auto"/>
                </w:tcPr>
                <w:p w14:paraId="304556F7" w14:textId="77777777" w:rsidR="002123E1" w:rsidRPr="004F1EA4" w:rsidRDefault="002123E1" w:rsidP="00CF1D0F">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Classification</w:t>
                  </w:r>
                </w:p>
              </w:tc>
              <w:tc>
                <w:tcPr>
                  <w:tcW w:w="2231" w:type="dxa"/>
                  <w:shd w:val="clear" w:color="auto" w:fill="auto"/>
                </w:tcPr>
                <w:p w14:paraId="6F2609BC" w14:textId="5E91F2BF" w:rsidR="002123E1" w:rsidRPr="004F1EA4" w:rsidRDefault="002123E1" w:rsidP="00CF1D0F">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Dose adjustment</w:t>
                  </w:r>
                </w:p>
              </w:tc>
            </w:tr>
            <w:tr w:rsidR="002123E1" w:rsidRPr="004F1EA4" w14:paraId="400C7F70" w14:textId="77777777" w:rsidTr="0065520B">
              <w:trPr>
                <w:trHeight w:val="462"/>
              </w:trPr>
              <w:tc>
                <w:tcPr>
                  <w:tcW w:w="1843" w:type="dxa"/>
                  <w:shd w:val="clear" w:color="auto" w:fill="auto"/>
                </w:tcPr>
                <w:p w14:paraId="23928A88" w14:textId="77777777" w:rsidR="002123E1" w:rsidRPr="004F1EA4" w:rsidRDefault="002123E1" w:rsidP="00CF1D0F">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Mild</w:t>
                  </w:r>
                </w:p>
              </w:tc>
              <w:tc>
                <w:tcPr>
                  <w:tcW w:w="2108" w:type="dxa"/>
                  <w:shd w:val="clear" w:color="auto" w:fill="auto"/>
                </w:tcPr>
                <w:p w14:paraId="47D94531" w14:textId="77777777" w:rsidR="002123E1" w:rsidRPr="004F1EA4" w:rsidRDefault="002123E1" w:rsidP="00CF1D0F">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Child Pugh A</w:t>
                  </w:r>
                </w:p>
              </w:tc>
              <w:tc>
                <w:tcPr>
                  <w:tcW w:w="2231" w:type="dxa"/>
                  <w:shd w:val="clear" w:color="auto" w:fill="auto"/>
                </w:tcPr>
                <w:p w14:paraId="75405512" w14:textId="77777777" w:rsidR="002123E1" w:rsidRPr="004F1EA4" w:rsidRDefault="002123E1" w:rsidP="00CF1D0F">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No dose adjustment required.</w:t>
                  </w:r>
                </w:p>
              </w:tc>
            </w:tr>
            <w:tr w:rsidR="002123E1" w:rsidRPr="004F1EA4" w14:paraId="4AFE7803" w14:textId="77777777" w:rsidTr="0065520B">
              <w:trPr>
                <w:trHeight w:val="462"/>
              </w:trPr>
              <w:tc>
                <w:tcPr>
                  <w:tcW w:w="1843" w:type="dxa"/>
                  <w:shd w:val="clear" w:color="auto" w:fill="auto"/>
                </w:tcPr>
                <w:p w14:paraId="7D77666C" w14:textId="7A13100B" w:rsidR="002123E1" w:rsidRPr="004F1EA4" w:rsidRDefault="002123E1" w:rsidP="009B636C">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Moderate</w:t>
                  </w:r>
                </w:p>
              </w:tc>
              <w:tc>
                <w:tcPr>
                  <w:tcW w:w="2108" w:type="dxa"/>
                  <w:shd w:val="clear" w:color="auto" w:fill="auto"/>
                </w:tcPr>
                <w:p w14:paraId="68A125E8" w14:textId="485B67D0" w:rsidR="002123E1" w:rsidRPr="004F1EA4" w:rsidRDefault="002123E1" w:rsidP="009B636C">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Child Pugh B</w:t>
                  </w:r>
                </w:p>
              </w:tc>
              <w:tc>
                <w:tcPr>
                  <w:tcW w:w="2231" w:type="dxa"/>
                  <w:shd w:val="clear" w:color="auto" w:fill="auto"/>
                </w:tcPr>
                <w:p w14:paraId="262876C8" w14:textId="7BBE771C" w:rsidR="002123E1" w:rsidRPr="004F1EA4" w:rsidRDefault="002123E1" w:rsidP="009B636C">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 xml:space="preserve">Dose should be reduced to 5 mg once daily </w:t>
                  </w:r>
                  <w:r w:rsidRPr="004F1EA4">
                    <w:rPr>
                      <w:rFonts w:ascii="Arial" w:eastAsia="Arial Unicode MS" w:hAnsi="Arial" w:cs="Arial"/>
                      <w:sz w:val="20"/>
                      <w:szCs w:val="20"/>
                    </w:rPr>
                    <w:t>when the indicated dose in the presence of normal hepatic function is 5 mg twice daily</w:t>
                  </w:r>
                  <w:r w:rsidRPr="004F1EA4">
                    <w:rPr>
                      <w:rFonts w:ascii="Arial" w:eastAsia="MS Mincho" w:hAnsi="Arial" w:cs="Arial"/>
                      <w:sz w:val="20"/>
                      <w:szCs w:val="20"/>
                    </w:rPr>
                    <w:t>.</w:t>
                  </w:r>
                </w:p>
                <w:p w14:paraId="54EC57DE" w14:textId="77777777" w:rsidR="002123E1" w:rsidRPr="004F1EA4" w:rsidRDefault="002123E1" w:rsidP="009B636C">
                  <w:pPr>
                    <w:keepNext/>
                    <w:overflowPunct w:val="0"/>
                    <w:autoSpaceDE w:val="0"/>
                    <w:autoSpaceDN w:val="0"/>
                    <w:adjustRightInd w:val="0"/>
                    <w:spacing w:line="480" w:lineRule="auto"/>
                    <w:textAlignment w:val="baseline"/>
                    <w:rPr>
                      <w:rFonts w:ascii="Arial" w:eastAsia="MS Mincho" w:hAnsi="Arial" w:cs="Arial"/>
                      <w:sz w:val="20"/>
                      <w:szCs w:val="20"/>
                    </w:rPr>
                  </w:pPr>
                </w:p>
                <w:p w14:paraId="09382C0C" w14:textId="7961A5B4" w:rsidR="002123E1" w:rsidRPr="004F1EA4" w:rsidRDefault="002123E1" w:rsidP="009B636C">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 xml:space="preserve">Dose should be reduced to 5 mg twice daily </w:t>
                  </w:r>
                  <w:r w:rsidRPr="004F1EA4">
                    <w:rPr>
                      <w:rFonts w:ascii="Arial" w:eastAsia="Arial Unicode MS" w:hAnsi="Arial" w:cs="Arial"/>
                      <w:sz w:val="20"/>
                      <w:szCs w:val="20"/>
                    </w:rPr>
                    <w:t>when the indicated dose in the presence of normal hepatic function is 10 mg twice daily</w:t>
                  </w:r>
                  <w:r w:rsidRPr="004F1EA4">
                    <w:rPr>
                      <w:rFonts w:ascii="Arial" w:eastAsia="MS Mincho" w:hAnsi="Arial" w:cs="Arial"/>
                      <w:sz w:val="20"/>
                      <w:szCs w:val="20"/>
                    </w:rPr>
                    <w:t xml:space="preserve"> (see section 5.2).</w:t>
                  </w:r>
                </w:p>
              </w:tc>
            </w:tr>
            <w:tr w:rsidR="002123E1" w:rsidRPr="004F1EA4" w14:paraId="1D7E051B" w14:textId="77777777" w:rsidTr="0065520B">
              <w:trPr>
                <w:trHeight w:val="913"/>
              </w:trPr>
              <w:tc>
                <w:tcPr>
                  <w:tcW w:w="1843" w:type="dxa"/>
                  <w:shd w:val="clear" w:color="auto" w:fill="auto"/>
                </w:tcPr>
                <w:p w14:paraId="53F7DFD4" w14:textId="77777777" w:rsidR="002123E1" w:rsidRPr="004F1EA4" w:rsidRDefault="002123E1" w:rsidP="009B636C">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Severe</w:t>
                  </w:r>
                </w:p>
              </w:tc>
              <w:tc>
                <w:tcPr>
                  <w:tcW w:w="2108" w:type="dxa"/>
                  <w:shd w:val="clear" w:color="auto" w:fill="auto"/>
                </w:tcPr>
                <w:p w14:paraId="6752BBB4" w14:textId="77777777" w:rsidR="002123E1" w:rsidRPr="004F1EA4" w:rsidRDefault="002123E1" w:rsidP="009B636C">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Child Pugh C</w:t>
                  </w:r>
                </w:p>
              </w:tc>
              <w:tc>
                <w:tcPr>
                  <w:tcW w:w="2231" w:type="dxa"/>
                  <w:shd w:val="clear" w:color="auto" w:fill="auto"/>
                </w:tcPr>
                <w:p w14:paraId="6BF7D39C" w14:textId="6FFE3E15" w:rsidR="002123E1" w:rsidRPr="004F1EA4" w:rsidRDefault="002123E1" w:rsidP="009B636C">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XELJANZ should not be used in patients with severe hepatic impairment (see section 4.3).</w:t>
                  </w:r>
                </w:p>
              </w:tc>
            </w:tr>
          </w:tbl>
          <w:p w14:paraId="3771E985" w14:textId="77777777" w:rsidR="002123E1" w:rsidRPr="004F1EA4" w:rsidRDefault="002123E1" w:rsidP="007314CB">
            <w:pPr>
              <w:spacing w:line="480" w:lineRule="auto"/>
              <w:jc w:val="both"/>
              <w:rPr>
                <w:rFonts w:ascii="Arial" w:hAnsi="Arial" w:cs="Arial"/>
                <w:sz w:val="20"/>
                <w:szCs w:val="20"/>
                <w:lang w:val="en-GB"/>
              </w:rPr>
            </w:pPr>
          </w:p>
        </w:tc>
      </w:tr>
      <w:tr w:rsidR="002123E1" w:rsidRPr="004F1EA4" w14:paraId="404A9552" w14:textId="2EAA7322" w:rsidTr="002123E1">
        <w:tc>
          <w:tcPr>
            <w:tcW w:w="5000" w:type="pct"/>
          </w:tcPr>
          <w:p w14:paraId="03988DEB" w14:textId="258E1EFA" w:rsidR="002123E1" w:rsidRPr="004F1EA4" w:rsidRDefault="002123E1" w:rsidP="007314CB">
            <w:pPr>
              <w:pStyle w:val="Header"/>
              <w:tabs>
                <w:tab w:val="clear" w:pos="4320"/>
                <w:tab w:val="clear" w:pos="8640"/>
                <w:tab w:val="right" w:pos="7905"/>
                <w:tab w:val="right" w:pos="10173"/>
              </w:tabs>
              <w:spacing w:line="480" w:lineRule="auto"/>
              <w:jc w:val="both"/>
              <w:rPr>
                <w:rFonts w:ascii="Arial" w:hAnsi="Arial" w:cs="Arial"/>
                <w:b/>
                <w:lang w:val="en-GB"/>
              </w:rPr>
            </w:pPr>
          </w:p>
        </w:tc>
      </w:tr>
      <w:tr w:rsidR="002123E1" w:rsidRPr="004F1EA4" w14:paraId="0A79F1D4" w14:textId="62DE775C" w:rsidTr="002123E1">
        <w:tc>
          <w:tcPr>
            <w:tcW w:w="5000" w:type="pct"/>
          </w:tcPr>
          <w:p w14:paraId="1C228E34" w14:textId="607A58C2" w:rsidR="002123E1" w:rsidRPr="004F1EA4" w:rsidRDefault="002123E1" w:rsidP="00991453">
            <w:pPr>
              <w:keepNext/>
              <w:tabs>
                <w:tab w:val="left" w:pos="990"/>
              </w:tabs>
              <w:rPr>
                <w:rFonts w:ascii="Arial" w:hAnsi="Arial" w:cs="Arial"/>
                <w:i/>
                <w:sz w:val="20"/>
                <w:szCs w:val="20"/>
                <w:lang w:val="en-GB"/>
              </w:rPr>
            </w:pPr>
            <w:r w:rsidRPr="004F1EA4">
              <w:rPr>
                <w:rFonts w:ascii="Arial" w:hAnsi="Arial" w:cs="Arial"/>
                <w:i/>
                <w:sz w:val="20"/>
                <w:szCs w:val="20"/>
                <w:lang w:val="en-GB"/>
              </w:rPr>
              <w:lastRenderedPageBreak/>
              <w:t>Renal impairment</w:t>
            </w:r>
          </w:p>
        </w:tc>
      </w:tr>
      <w:tr w:rsidR="002123E1" w:rsidRPr="004F1EA4" w14:paraId="61D66067" w14:textId="0FF25CB6" w:rsidTr="002123E1">
        <w:tc>
          <w:tcPr>
            <w:tcW w:w="5000" w:type="pct"/>
          </w:tcPr>
          <w:p w14:paraId="63760CC1" w14:textId="4FB455B1" w:rsidR="002123E1" w:rsidRPr="004F1EA4" w:rsidRDefault="002123E1" w:rsidP="00991453">
            <w:pPr>
              <w:keepNext/>
              <w:tabs>
                <w:tab w:val="left" w:pos="990"/>
              </w:tabs>
              <w:rPr>
                <w:rFonts w:ascii="Arial" w:hAnsi="Arial" w:cs="Arial"/>
                <w:sz w:val="20"/>
                <w:szCs w:val="20"/>
              </w:rPr>
            </w:pPr>
            <w:r w:rsidRPr="004F1EA4">
              <w:rPr>
                <w:rFonts w:ascii="Arial" w:hAnsi="Arial" w:cs="Arial"/>
                <w:b/>
                <w:sz w:val="20"/>
                <w:szCs w:val="20"/>
                <w:lang w:val="en-GB"/>
              </w:rPr>
              <w:t xml:space="preserve"> </w:t>
            </w:r>
            <w:r w:rsidRPr="004F1EA4">
              <w:rPr>
                <w:rFonts w:ascii="Arial" w:hAnsi="Arial" w:cs="Arial"/>
                <w:sz w:val="20"/>
                <w:szCs w:val="20"/>
              </w:rPr>
              <w:t xml:space="preserve">Table 5: </w:t>
            </w:r>
            <w:r w:rsidRPr="004F1EA4">
              <w:rPr>
                <w:rFonts w:ascii="Arial" w:hAnsi="Arial" w:cs="Arial"/>
                <w:sz w:val="20"/>
                <w:szCs w:val="20"/>
              </w:rPr>
              <w:tab/>
              <w:t xml:space="preserve">Dose adjustment for renal impairment </w:t>
            </w:r>
          </w:p>
        </w:tc>
      </w:tr>
      <w:tr w:rsidR="002123E1" w:rsidRPr="004F1EA4" w14:paraId="61C1E30B" w14:textId="0230C33A" w:rsidTr="002123E1">
        <w:tc>
          <w:tcPr>
            <w:tcW w:w="5000" w:type="pct"/>
          </w:tcPr>
          <w:tbl>
            <w:tblPr>
              <w:tblW w:w="6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2153"/>
              <w:gridCol w:w="2449"/>
            </w:tblGrid>
            <w:tr w:rsidR="002123E1" w:rsidRPr="004F1EA4" w14:paraId="685740B6" w14:textId="16B964BA" w:rsidTr="00282CD3">
              <w:trPr>
                <w:trHeight w:val="519"/>
                <w:tblHeader/>
              </w:trPr>
              <w:tc>
                <w:tcPr>
                  <w:tcW w:w="1847" w:type="dxa"/>
                  <w:shd w:val="clear" w:color="auto" w:fill="auto"/>
                </w:tcPr>
                <w:p w14:paraId="270E19E8" w14:textId="7EBFDC31" w:rsidR="002123E1" w:rsidRPr="004F1EA4" w:rsidRDefault="002123E1" w:rsidP="00BE2797">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Renal impairment</w:t>
                  </w:r>
                </w:p>
              </w:tc>
              <w:tc>
                <w:tcPr>
                  <w:tcW w:w="2153" w:type="dxa"/>
                  <w:shd w:val="clear" w:color="auto" w:fill="auto"/>
                </w:tcPr>
                <w:p w14:paraId="63048FD4" w14:textId="4E0CCFB7" w:rsidR="002123E1" w:rsidRPr="004F1EA4" w:rsidRDefault="002123E1" w:rsidP="00BE2797">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Creatinine clearance</w:t>
                  </w:r>
                </w:p>
              </w:tc>
              <w:tc>
                <w:tcPr>
                  <w:tcW w:w="2449" w:type="dxa"/>
                  <w:shd w:val="clear" w:color="auto" w:fill="auto"/>
                </w:tcPr>
                <w:p w14:paraId="410E9AD9" w14:textId="460F8929" w:rsidR="002123E1" w:rsidRPr="004F1EA4" w:rsidRDefault="002123E1" w:rsidP="00BE2797">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Dose adjustment</w:t>
                  </w:r>
                </w:p>
              </w:tc>
            </w:tr>
            <w:tr w:rsidR="002123E1" w:rsidRPr="004F1EA4" w14:paraId="78BF2D85" w14:textId="4AA41993" w:rsidTr="00282CD3">
              <w:trPr>
                <w:trHeight w:val="514"/>
              </w:trPr>
              <w:tc>
                <w:tcPr>
                  <w:tcW w:w="1847" w:type="dxa"/>
                  <w:shd w:val="clear" w:color="auto" w:fill="auto"/>
                </w:tcPr>
                <w:p w14:paraId="765A63B3" w14:textId="77777777" w:rsidR="002123E1" w:rsidRPr="004F1EA4" w:rsidRDefault="002123E1" w:rsidP="00BE2797">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Mild</w:t>
                  </w:r>
                </w:p>
              </w:tc>
              <w:tc>
                <w:tcPr>
                  <w:tcW w:w="2153" w:type="dxa"/>
                  <w:shd w:val="clear" w:color="auto" w:fill="auto"/>
                </w:tcPr>
                <w:p w14:paraId="04AFC537" w14:textId="37EFD547" w:rsidR="002123E1" w:rsidRPr="004F1EA4" w:rsidRDefault="002123E1" w:rsidP="00BE2797">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50 - 80 mL/min</w:t>
                  </w:r>
                </w:p>
              </w:tc>
              <w:tc>
                <w:tcPr>
                  <w:tcW w:w="2449" w:type="dxa"/>
                  <w:shd w:val="clear" w:color="auto" w:fill="auto"/>
                </w:tcPr>
                <w:p w14:paraId="662D73C5" w14:textId="77777777" w:rsidR="002123E1" w:rsidRPr="004F1EA4" w:rsidRDefault="002123E1" w:rsidP="00BE2797">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No dose adjustment required.</w:t>
                  </w:r>
                </w:p>
              </w:tc>
            </w:tr>
            <w:tr w:rsidR="002123E1" w:rsidRPr="004F1EA4" w14:paraId="41CCD78D" w14:textId="2DDF629E" w:rsidTr="00282CD3">
              <w:trPr>
                <w:trHeight w:val="514"/>
              </w:trPr>
              <w:tc>
                <w:tcPr>
                  <w:tcW w:w="1847" w:type="dxa"/>
                  <w:shd w:val="clear" w:color="auto" w:fill="auto"/>
                </w:tcPr>
                <w:p w14:paraId="5942492A" w14:textId="77777777" w:rsidR="002123E1" w:rsidRPr="004F1EA4" w:rsidRDefault="002123E1" w:rsidP="00BE2797">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Moderate</w:t>
                  </w:r>
                </w:p>
              </w:tc>
              <w:tc>
                <w:tcPr>
                  <w:tcW w:w="2153" w:type="dxa"/>
                  <w:shd w:val="clear" w:color="auto" w:fill="auto"/>
                </w:tcPr>
                <w:p w14:paraId="5EFDC837" w14:textId="56C1F366" w:rsidR="002123E1" w:rsidRPr="004F1EA4" w:rsidRDefault="002123E1" w:rsidP="00BE2797">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30 - 49 mL/min</w:t>
                  </w:r>
                </w:p>
              </w:tc>
              <w:tc>
                <w:tcPr>
                  <w:tcW w:w="2449" w:type="dxa"/>
                  <w:shd w:val="clear" w:color="auto" w:fill="auto"/>
                </w:tcPr>
                <w:p w14:paraId="48F6DEC4" w14:textId="77777777" w:rsidR="002123E1" w:rsidRPr="004F1EA4" w:rsidRDefault="002123E1" w:rsidP="00BE2797">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No dose adjustment required.</w:t>
                  </w:r>
                </w:p>
              </w:tc>
            </w:tr>
            <w:tr w:rsidR="002123E1" w:rsidRPr="004F1EA4" w14:paraId="0A2912F7" w14:textId="6B759487" w:rsidTr="00282CD3">
              <w:trPr>
                <w:trHeight w:val="514"/>
              </w:trPr>
              <w:tc>
                <w:tcPr>
                  <w:tcW w:w="1847" w:type="dxa"/>
                  <w:shd w:val="clear" w:color="auto" w:fill="auto"/>
                </w:tcPr>
                <w:p w14:paraId="0F39A419" w14:textId="24D14973" w:rsidR="002123E1" w:rsidRPr="004F1EA4" w:rsidRDefault="002123E1" w:rsidP="00EB0560">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Severe</w:t>
                  </w:r>
                </w:p>
              </w:tc>
              <w:tc>
                <w:tcPr>
                  <w:tcW w:w="2153" w:type="dxa"/>
                  <w:shd w:val="clear" w:color="auto" w:fill="auto"/>
                </w:tcPr>
                <w:p w14:paraId="31590343" w14:textId="0BFB9018" w:rsidR="002123E1" w:rsidRPr="004F1EA4" w:rsidRDefault="002123E1" w:rsidP="00EB0560">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&lt; 30 mL/min</w:t>
                  </w:r>
                </w:p>
              </w:tc>
              <w:tc>
                <w:tcPr>
                  <w:tcW w:w="2449" w:type="dxa"/>
                  <w:shd w:val="clear" w:color="auto" w:fill="auto"/>
                </w:tcPr>
                <w:p w14:paraId="4CD3933D" w14:textId="77777777" w:rsidR="002123E1" w:rsidRPr="004F1EA4" w:rsidRDefault="002123E1" w:rsidP="00EB0560">
                  <w:pPr>
                    <w:keepNext/>
                    <w:overflowPunct w:val="0"/>
                    <w:autoSpaceDE w:val="0"/>
                    <w:autoSpaceDN w:val="0"/>
                    <w:adjustRightInd w:val="0"/>
                    <w:spacing w:line="480" w:lineRule="auto"/>
                    <w:textAlignment w:val="baseline"/>
                    <w:rPr>
                      <w:rFonts w:ascii="Arial" w:eastAsia="Arial Unicode MS" w:hAnsi="Arial" w:cs="Arial"/>
                      <w:sz w:val="20"/>
                      <w:szCs w:val="20"/>
                    </w:rPr>
                  </w:pPr>
                  <w:r w:rsidRPr="004F1EA4">
                    <w:rPr>
                      <w:rFonts w:ascii="Arial" w:eastAsia="MS Mincho" w:hAnsi="Arial" w:cs="Arial"/>
                      <w:sz w:val="20"/>
                      <w:szCs w:val="20"/>
                    </w:rPr>
                    <w:t xml:space="preserve">Dose should be reduced to 5 mg once daily </w:t>
                  </w:r>
                  <w:r w:rsidRPr="004F1EA4">
                    <w:rPr>
                      <w:rFonts w:ascii="Arial" w:eastAsia="Arial Unicode MS" w:hAnsi="Arial" w:cs="Arial"/>
                      <w:sz w:val="20"/>
                      <w:szCs w:val="20"/>
                    </w:rPr>
                    <w:t>when the indicated dose in the presence of normal renal function is 5 mg twice daily.</w:t>
                  </w:r>
                </w:p>
                <w:p w14:paraId="6BC47B4A" w14:textId="77777777" w:rsidR="002123E1" w:rsidRPr="004F1EA4" w:rsidRDefault="002123E1" w:rsidP="00EB0560">
                  <w:pPr>
                    <w:keepNext/>
                    <w:overflowPunct w:val="0"/>
                    <w:autoSpaceDE w:val="0"/>
                    <w:autoSpaceDN w:val="0"/>
                    <w:adjustRightInd w:val="0"/>
                    <w:spacing w:line="480" w:lineRule="auto"/>
                    <w:textAlignment w:val="baseline"/>
                    <w:rPr>
                      <w:rFonts w:ascii="Arial" w:eastAsia="Arial Unicode MS" w:hAnsi="Arial" w:cs="Arial"/>
                      <w:sz w:val="20"/>
                      <w:szCs w:val="20"/>
                    </w:rPr>
                  </w:pPr>
                </w:p>
                <w:p w14:paraId="736E586E" w14:textId="5DC9720D" w:rsidR="002123E1" w:rsidRDefault="002123E1" w:rsidP="00EB0560">
                  <w:pPr>
                    <w:keepNext/>
                    <w:overflowPunct w:val="0"/>
                    <w:autoSpaceDE w:val="0"/>
                    <w:autoSpaceDN w:val="0"/>
                    <w:adjustRightInd w:val="0"/>
                    <w:spacing w:line="480" w:lineRule="auto"/>
                    <w:textAlignment w:val="baseline"/>
                    <w:rPr>
                      <w:rFonts w:ascii="Arial" w:eastAsia="Arial Unicode MS" w:hAnsi="Arial" w:cs="Arial"/>
                      <w:sz w:val="20"/>
                      <w:szCs w:val="20"/>
                    </w:rPr>
                  </w:pPr>
                  <w:r w:rsidRPr="004F1EA4">
                    <w:rPr>
                      <w:rFonts w:ascii="Arial" w:eastAsia="MS Mincho" w:hAnsi="Arial" w:cs="Arial"/>
                      <w:sz w:val="20"/>
                      <w:szCs w:val="20"/>
                    </w:rPr>
                    <w:t xml:space="preserve">Dose should be reduced to 5 mg twice daily </w:t>
                  </w:r>
                  <w:r w:rsidRPr="004F1EA4">
                    <w:rPr>
                      <w:rFonts w:ascii="Arial" w:eastAsia="Arial Unicode MS" w:hAnsi="Arial" w:cs="Arial"/>
                      <w:sz w:val="20"/>
                      <w:szCs w:val="20"/>
                    </w:rPr>
                    <w:t xml:space="preserve">when the indicated dose in the presence of normal renal function is 10 mg twice daily. </w:t>
                  </w:r>
                </w:p>
                <w:p w14:paraId="14294B18" w14:textId="77777777" w:rsidR="002123E1" w:rsidRPr="008F266B" w:rsidRDefault="002123E1" w:rsidP="00EB0560">
                  <w:pPr>
                    <w:keepNext/>
                    <w:overflowPunct w:val="0"/>
                    <w:autoSpaceDE w:val="0"/>
                    <w:autoSpaceDN w:val="0"/>
                    <w:adjustRightInd w:val="0"/>
                    <w:spacing w:line="480" w:lineRule="auto"/>
                    <w:textAlignment w:val="baseline"/>
                    <w:rPr>
                      <w:rFonts w:ascii="Arial" w:eastAsia="Arial Unicode MS" w:hAnsi="Arial" w:cs="Arial"/>
                      <w:sz w:val="20"/>
                      <w:szCs w:val="20"/>
                    </w:rPr>
                  </w:pPr>
                </w:p>
                <w:p w14:paraId="3EDEF350" w14:textId="6B435DAF" w:rsidR="002123E1" w:rsidRPr="004F1EA4" w:rsidRDefault="002123E1" w:rsidP="00EB0560">
                  <w:pPr>
                    <w:keepNext/>
                    <w:overflowPunct w:val="0"/>
                    <w:autoSpaceDE w:val="0"/>
                    <w:autoSpaceDN w:val="0"/>
                    <w:adjustRightInd w:val="0"/>
                    <w:spacing w:line="480" w:lineRule="auto"/>
                    <w:textAlignment w:val="baseline"/>
                    <w:rPr>
                      <w:rFonts w:ascii="Arial" w:eastAsia="MS Mincho" w:hAnsi="Arial" w:cs="Arial"/>
                      <w:sz w:val="20"/>
                      <w:szCs w:val="20"/>
                    </w:rPr>
                  </w:pPr>
                  <w:r w:rsidRPr="004F1EA4">
                    <w:rPr>
                      <w:rFonts w:ascii="Arial" w:eastAsia="MS Mincho" w:hAnsi="Arial" w:cs="Arial"/>
                      <w:sz w:val="20"/>
                      <w:szCs w:val="20"/>
                    </w:rPr>
                    <w:t xml:space="preserve">Patients with severe renal impairment should remain on a reduced dose even after </w:t>
                  </w:r>
                  <w:proofErr w:type="spellStart"/>
                  <w:r w:rsidRPr="004F1EA4">
                    <w:rPr>
                      <w:rFonts w:ascii="Arial" w:eastAsia="MS Mincho" w:hAnsi="Arial" w:cs="Arial"/>
                      <w:sz w:val="20"/>
                      <w:szCs w:val="20"/>
                    </w:rPr>
                    <w:t>haemodialysis</w:t>
                  </w:r>
                  <w:proofErr w:type="spellEnd"/>
                  <w:r w:rsidRPr="004F1EA4">
                    <w:rPr>
                      <w:rFonts w:ascii="Arial" w:eastAsia="MS Mincho" w:hAnsi="Arial" w:cs="Arial"/>
                      <w:sz w:val="20"/>
                      <w:szCs w:val="20"/>
                    </w:rPr>
                    <w:t xml:space="preserve"> (see section 5.2).</w:t>
                  </w:r>
                </w:p>
              </w:tc>
            </w:tr>
          </w:tbl>
          <w:p w14:paraId="2433761B" w14:textId="77777777" w:rsidR="002123E1" w:rsidRPr="004F1EA4" w:rsidRDefault="002123E1" w:rsidP="00991453">
            <w:pPr>
              <w:keepNext/>
              <w:tabs>
                <w:tab w:val="left" w:pos="990"/>
              </w:tabs>
              <w:rPr>
                <w:rFonts w:ascii="Arial" w:hAnsi="Arial" w:cs="Arial"/>
                <w:b/>
                <w:sz w:val="20"/>
                <w:szCs w:val="20"/>
                <w:lang w:val="en-GB"/>
              </w:rPr>
            </w:pPr>
          </w:p>
        </w:tc>
      </w:tr>
      <w:tr w:rsidR="002123E1" w:rsidRPr="004F1EA4" w14:paraId="774D62C5" w14:textId="533EA433" w:rsidTr="002123E1">
        <w:tc>
          <w:tcPr>
            <w:tcW w:w="5000" w:type="pct"/>
          </w:tcPr>
          <w:p w14:paraId="3929B16B" w14:textId="77777777" w:rsidR="002123E1" w:rsidRPr="004F1EA4" w:rsidRDefault="002123E1" w:rsidP="007314CB">
            <w:pPr>
              <w:pStyle w:val="BodyText3"/>
              <w:tabs>
                <w:tab w:val="left" w:pos="4350"/>
              </w:tabs>
              <w:spacing w:line="480" w:lineRule="auto"/>
              <w:jc w:val="both"/>
              <w:rPr>
                <w:rFonts w:cs="Arial"/>
                <w:bCs/>
                <w:sz w:val="20"/>
                <w:lang w:val="en-GB"/>
              </w:rPr>
            </w:pPr>
          </w:p>
        </w:tc>
      </w:tr>
      <w:tr w:rsidR="002123E1" w:rsidRPr="004F1EA4" w14:paraId="5C3B4675" w14:textId="7247400B" w:rsidTr="002123E1">
        <w:tc>
          <w:tcPr>
            <w:tcW w:w="5000" w:type="pct"/>
          </w:tcPr>
          <w:p w14:paraId="3099C6CD" w14:textId="55108A3E" w:rsidR="002123E1" w:rsidRPr="004F1EA4" w:rsidRDefault="002123E1" w:rsidP="00153E3B">
            <w:pPr>
              <w:autoSpaceDE w:val="0"/>
              <w:autoSpaceDN w:val="0"/>
              <w:adjustRightInd w:val="0"/>
              <w:jc w:val="both"/>
              <w:rPr>
                <w:rFonts w:ascii="Arial" w:hAnsi="Arial" w:cs="Arial"/>
                <w:b/>
                <w:sz w:val="20"/>
                <w:szCs w:val="20"/>
              </w:rPr>
            </w:pPr>
            <w:proofErr w:type="spellStart"/>
            <w:r w:rsidRPr="004F1EA4">
              <w:rPr>
                <w:rFonts w:ascii="Arial" w:hAnsi="Arial" w:cs="Arial"/>
                <w:b/>
                <w:sz w:val="20"/>
                <w:szCs w:val="20"/>
              </w:rPr>
              <w:t>Paediatric</w:t>
            </w:r>
            <w:proofErr w:type="spellEnd"/>
            <w:r w:rsidRPr="004F1EA4">
              <w:rPr>
                <w:rFonts w:ascii="Arial" w:hAnsi="Arial" w:cs="Arial"/>
                <w:b/>
                <w:sz w:val="20"/>
                <w:szCs w:val="20"/>
              </w:rPr>
              <w:t xml:space="preserve"> population</w:t>
            </w:r>
          </w:p>
        </w:tc>
      </w:tr>
      <w:tr w:rsidR="002123E1" w:rsidRPr="004F1EA4" w14:paraId="49D41AFC" w14:textId="2F1C9135" w:rsidTr="002123E1">
        <w:tc>
          <w:tcPr>
            <w:tcW w:w="5000" w:type="pct"/>
          </w:tcPr>
          <w:p w14:paraId="336C9A18" w14:textId="29942C0A" w:rsidR="002123E1" w:rsidRPr="004F1EA4" w:rsidRDefault="002123E1" w:rsidP="00153E3B">
            <w:pPr>
              <w:pStyle w:val="CommentText"/>
              <w:spacing w:line="480" w:lineRule="auto"/>
              <w:jc w:val="both"/>
              <w:rPr>
                <w:rFonts w:ascii="Arial" w:hAnsi="Arial" w:cs="Arial"/>
                <w:lang w:val="en-US"/>
              </w:rPr>
            </w:pPr>
            <w:r w:rsidRPr="004F1EA4">
              <w:rPr>
                <w:rFonts w:ascii="Arial" w:hAnsi="Arial" w:cs="Arial"/>
              </w:rPr>
              <w:t xml:space="preserve">The safety and efficacy of </w:t>
            </w:r>
            <w:r w:rsidRPr="004F1EA4">
              <w:rPr>
                <w:rFonts w:ascii="Arial" w:hAnsi="Arial" w:cs="Arial"/>
                <w:lang w:val="en-US"/>
              </w:rPr>
              <w:t xml:space="preserve">XELJANZ </w:t>
            </w:r>
            <w:r w:rsidRPr="004F1EA4">
              <w:rPr>
                <w:rFonts w:ascii="Arial" w:hAnsi="Arial" w:cs="Arial"/>
              </w:rPr>
              <w:t xml:space="preserve">in children </w:t>
            </w:r>
            <w:r w:rsidRPr="004F1EA4">
              <w:rPr>
                <w:rFonts w:ascii="Arial" w:hAnsi="Arial" w:cs="Arial"/>
                <w:lang w:val="en-US"/>
              </w:rPr>
              <w:t xml:space="preserve">aged 0 to </w:t>
            </w:r>
            <w:r w:rsidRPr="004F1EA4">
              <w:rPr>
                <w:rFonts w:ascii="Arial" w:hAnsi="Arial" w:cs="Arial"/>
              </w:rPr>
              <w:t>less than 18 years have not been established</w:t>
            </w:r>
            <w:r w:rsidRPr="004F1EA4">
              <w:rPr>
                <w:rFonts w:ascii="Arial" w:hAnsi="Arial" w:cs="Arial"/>
                <w:lang w:val="en-US"/>
              </w:rPr>
              <w:t>.</w:t>
            </w:r>
          </w:p>
        </w:tc>
      </w:tr>
      <w:tr w:rsidR="002123E1" w:rsidRPr="004F1EA4" w14:paraId="0EB9380F" w14:textId="4AB9A836" w:rsidTr="002123E1">
        <w:tc>
          <w:tcPr>
            <w:tcW w:w="5000" w:type="pct"/>
          </w:tcPr>
          <w:p w14:paraId="72483480" w14:textId="60483978" w:rsidR="002123E1" w:rsidRPr="004F1EA4" w:rsidRDefault="002123E1" w:rsidP="00153E3B">
            <w:pPr>
              <w:pStyle w:val="Descriptiveinformation"/>
              <w:keepLines/>
              <w:numPr>
                <w:ilvl w:val="12"/>
                <w:numId w:val="0"/>
              </w:numPr>
              <w:tabs>
                <w:tab w:val="left" w:pos="1080"/>
                <w:tab w:val="left" w:pos="1440"/>
                <w:tab w:val="left" w:pos="1800"/>
                <w:tab w:val="left" w:pos="2160"/>
                <w:tab w:val="left" w:pos="2520"/>
                <w:tab w:val="left" w:pos="2880"/>
                <w:tab w:val="left" w:pos="3240"/>
                <w:tab w:val="left" w:pos="3600"/>
                <w:tab w:val="left" w:pos="3960"/>
                <w:tab w:val="left" w:pos="4320"/>
              </w:tabs>
              <w:spacing w:line="480" w:lineRule="auto"/>
              <w:jc w:val="both"/>
              <w:rPr>
                <w:rFonts w:cs="Arial"/>
                <w:i w:val="0"/>
                <w:sz w:val="20"/>
                <w:lang w:val="en-GB"/>
              </w:rPr>
            </w:pPr>
            <w:r w:rsidRPr="004F1EA4">
              <w:rPr>
                <w:rFonts w:cs="Arial"/>
                <w:i w:val="0"/>
                <w:sz w:val="20"/>
                <w:lang w:val="en-GB"/>
              </w:rPr>
              <w:lastRenderedPageBreak/>
              <w:t>No data are available.</w:t>
            </w:r>
          </w:p>
        </w:tc>
      </w:tr>
      <w:tr w:rsidR="002123E1" w:rsidRPr="004F1EA4" w14:paraId="39E154B3" w14:textId="214A1AD1" w:rsidTr="002123E1">
        <w:tc>
          <w:tcPr>
            <w:tcW w:w="5000" w:type="pct"/>
          </w:tcPr>
          <w:p w14:paraId="49212E60" w14:textId="77777777" w:rsidR="002123E1" w:rsidRPr="004F1EA4" w:rsidRDefault="002123E1" w:rsidP="007314CB">
            <w:pPr>
              <w:pStyle w:val="BodyText3"/>
              <w:tabs>
                <w:tab w:val="left" w:pos="4350"/>
              </w:tabs>
              <w:spacing w:line="480" w:lineRule="auto"/>
              <w:jc w:val="both"/>
              <w:rPr>
                <w:rFonts w:cs="Arial"/>
                <w:bCs/>
                <w:sz w:val="20"/>
                <w:u w:val="double"/>
                <w:lang w:val="en-GB"/>
              </w:rPr>
            </w:pPr>
          </w:p>
        </w:tc>
      </w:tr>
      <w:tr w:rsidR="002123E1" w:rsidRPr="004F1EA4" w14:paraId="13784D3B" w14:textId="44FE50A3" w:rsidTr="002123E1">
        <w:tc>
          <w:tcPr>
            <w:tcW w:w="5000" w:type="pct"/>
          </w:tcPr>
          <w:p w14:paraId="3194E5CA" w14:textId="4AFA3ECB" w:rsidR="002123E1" w:rsidRPr="004F1EA4" w:rsidRDefault="002123E1" w:rsidP="007314CB">
            <w:pPr>
              <w:pStyle w:val="BodytextAgency"/>
              <w:spacing w:after="0" w:line="480" w:lineRule="auto"/>
              <w:jc w:val="both"/>
              <w:rPr>
                <w:rFonts w:ascii="Arial" w:hAnsi="Arial" w:cs="Arial"/>
                <w:b/>
                <w:sz w:val="20"/>
                <w:szCs w:val="20"/>
              </w:rPr>
            </w:pPr>
            <w:r w:rsidRPr="004F1EA4">
              <w:rPr>
                <w:rFonts w:ascii="Arial" w:hAnsi="Arial" w:cs="Arial"/>
                <w:b/>
                <w:sz w:val="20"/>
                <w:szCs w:val="20"/>
              </w:rPr>
              <w:t>Method of administration</w:t>
            </w:r>
          </w:p>
        </w:tc>
      </w:tr>
      <w:tr w:rsidR="002123E1" w:rsidRPr="004F1EA4" w14:paraId="1A7B212F" w14:textId="1C454CBE" w:rsidTr="002123E1">
        <w:tc>
          <w:tcPr>
            <w:tcW w:w="5000" w:type="pct"/>
          </w:tcPr>
          <w:p w14:paraId="1818719C" w14:textId="4CBDA07B" w:rsidR="002123E1" w:rsidRPr="004F1EA4" w:rsidRDefault="002123E1" w:rsidP="007314CB">
            <w:pPr>
              <w:spacing w:line="480" w:lineRule="auto"/>
              <w:jc w:val="both"/>
              <w:rPr>
                <w:rFonts w:ascii="Arial" w:hAnsi="Arial" w:cs="Arial"/>
                <w:bCs/>
                <w:sz w:val="20"/>
                <w:szCs w:val="20"/>
                <w:lang w:val="en-GB"/>
              </w:rPr>
            </w:pPr>
            <w:r w:rsidRPr="004F1EA4">
              <w:rPr>
                <w:rFonts w:ascii="Arial" w:hAnsi="Arial" w:cs="Arial"/>
                <w:bCs/>
                <w:sz w:val="20"/>
                <w:szCs w:val="20"/>
                <w:lang w:val="en-GB"/>
              </w:rPr>
              <w:t>XELJANZ is given orally with or without food.</w:t>
            </w:r>
          </w:p>
        </w:tc>
      </w:tr>
      <w:tr w:rsidR="002123E1" w:rsidRPr="004F1EA4" w14:paraId="3040D80C" w14:textId="29AAF3ED" w:rsidTr="002123E1">
        <w:tc>
          <w:tcPr>
            <w:tcW w:w="5000" w:type="pct"/>
          </w:tcPr>
          <w:p w14:paraId="3080626A" w14:textId="77777777" w:rsidR="002123E1" w:rsidRPr="004F1EA4" w:rsidRDefault="002123E1" w:rsidP="007314CB">
            <w:pPr>
              <w:spacing w:line="480" w:lineRule="auto"/>
              <w:jc w:val="both"/>
              <w:rPr>
                <w:rFonts w:ascii="Arial" w:hAnsi="Arial" w:cs="Arial"/>
                <w:b/>
                <w:bCs/>
                <w:sz w:val="20"/>
                <w:szCs w:val="20"/>
                <w:lang w:val="en-GB"/>
              </w:rPr>
            </w:pPr>
            <w:r w:rsidRPr="004F1EA4">
              <w:rPr>
                <w:rFonts w:ascii="Arial" w:hAnsi="Arial" w:cs="Arial"/>
                <w:bCs/>
                <w:sz w:val="20"/>
                <w:szCs w:val="20"/>
                <w:lang w:val="en-GB"/>
              </w:rPr>
              <w:t xml:space="preserve"> </w:t>
            </w:r>
          </w:p>
        </w:tc>
      </w:tr>
      <w:tr w:rsidR="002123E1" w:rsidRPr="004F1EA4" w14:paraId="15B05A53" w14:textId="60D4B804" w:rsidTr="002123E1">
        <w:tc>
          <w:tcPr>
            <w:tcW w:w="5000" w:type="pct"/>
          </w:tcPr>
          <w:p w14:paraId="02DD2533" w14:textId="7418C132" w:rsidR="002123E1" w:rsidRPr="004F1EA4" w:rsidRDefault="002123E1" w:rsidP="007314CB">
            <w:pPr>
              <w:spacing w:line="480" w:lineRule="auto"/>
              <w:jc w:val="both"/>
              <w:rPr>
                <w:rFonts w:ascii="Arial" w:hAnsi="Arial" w:cs="Arial"/>
                <w:bCs/>
                <w:sz w:val="20"/>
                <w:szCs w:val="20"/>
                <w:highlight w:val="yellow"/>
                <w:lang w:val="en-GB"/>
              </w:rPr>
            </w:pPr>
            <w:r w:rsidRPr="00F71FDF">
              <w:rPr>
                <w:rFonts w:ascii="Arial" w:hAnsi="Arial" w:cs="Arial"/>
                <w:bCs/>
                <w:sz w:val="20"/>
                <w:szCs w:val="20"/>
                <w:lang w:val="en-GB"/>
              </w:rPr>
              <w:t>For patients who have difficulties swallowing, XELJANZ tablets may be crushed and taken with water.</w:t>
            </w:r>
          </w:p>
        </w:tc>
      </w:tr>
      <w:tr w:rsidR="002123E1" w:rsidRPr="004F1EA4" w14:paraId="05107238" w14:textId="4C0E29B5" w:rsidTr="002123E1">
        <w:tc>
          <w:tcPr>
            <w:tcW w:w="5000" w:type="pct"/>
          </w:tcPr>
          <w:p w14:paraId="1049FD2E" w14:textId="58EB9594" w:rsidR="002123E1" w:rsidRPr="004F1EA4" w:rsidRDefault="002123E1" w:rsidP="007314CB">
            <w:pPr>
              <w:spacing w:line="480" w:lineRule="auto"/>
              <w:jc w:val="both"/>
              <w:rPr>
                <w:rFonts w:ascii="Arial" w:hAnsi="Arial" w:cs="Arial"/>
                <w:bCs/>
                <w:i/>
                <w:sz w:val="20"/>
                <w:szCs w:val="20"/>
                <w:lang w:val="en-GB"/>
              </w:rPr>
            </w:pPr>
          </w:p>
        </w:tc>
      </w:tr>
      <w:tr w:rsidR="002123E1" w:rsidRPr="004F1EA4" w14:paraId="5DA2E383" w14:textId="297E04D7" w:rsidTr="002123E1">
        <w:tc>
          <w:tcPr>
            <w:tcW w:w="5000" w:type="pct"/>
          </w:tcPr>
          <w:p w14:paraId="7D9D5D67" w14:textId="59239138" w:rsidR="002123E1" w:rsidRPr="004F1EA4" w:rsidRDefault="002123E1" w:rsidP="007314CB">
            <w:pPr>
              <w:spacing w:line="480" w:lineRule="auto"/>
              <w:jc w:val="both"/>
              <w:rPr>
                <w:rFonts w:ascii="Arial" w:hAnsi="Arial" w:cs="Arial"/>
                <w:b/>
                <w:bCs/>
                <w:sz w:val="20"/>
                <w:szCs w:val="20"/>
                <w:lang w:val="en-GB"/>
              </w:rPr>
            </w:pPr>
            <w:r w:rsidRPr="004F1EA4">
              <w:rPr>
                <w:rFonts w:ascii="Arial" w:hAnsi="Arial" w:cs="Arial"/>
                <w:b/>
                <w:bCs/>
                <w:sz w:val="20"/>
                <w:szCs w:val="20"/>
                <w:lang w:val="en-GB"/>
              </w:rPr>
              <w:t>4.3 Contraindications</w:t>
            </w:r>
          </w:p>
        </w:tc>
      </w:tr>
      <w:tr w:rsidR="002123E1" w:rsidRPr="004F1EA4" w14:paraId="3BE1DB9A" w14:textId="4393EB3E" w:rsidTr="002123E1">
        <w:tc>
          <w:tcPr>
            <w:tcW w:w="5000" w:type="pct"/>
          </w:tcPr>
          <w:p w14:paraId="6BDDD52C" w14:textId="656AB940" w:rsidR="002123E1" w:rsidRPr="004F1EA4" w:rsidRDefault="002123E1" w:rsidP="00B538A4">
            <w:pPr>
              <w:pStyle w:val="ListParagraph"/>
              <w:numPr>
                <w:ilvl w:val="0"/>
                <w:numId w:val="8"/>
              </w:numPr>
              <w:spacing w:line="480" w:lineRule="auto"/>
              <w:jc w:val="both"/>
              <w:rPr>
                <w:rFonts w:ascii="Arial" w:hAnsi="Arial" w:cs="Arial"/>
                <w:bCs/>
                <w:sz w:val="20"/>
                <w:szCs w:val="20"/>
                <w:lang w:val="en-GB"/>
              </w:rPr>
            </w:pPr>
            <w:r w:rsidRPr="004F1EA4">
              <w:rPr>
                <w:rFonts w:ascii="Arial" w:hAnsi="Arial" w:cs="Arial"/>
                <w:bCs/>
                <w:sz w:val="20"/>
                <w:szCs w:val="20"/>
                <w:lang w:val="en-GB"/>
              </w:rPr>
              <w:t>Hypersensitivity to the tofacitinib or to any of the excipients listed in section 6.1</w:t>
            </w:r>
          </w:p>
        </w:tc>
      </w:tr>
      <w:tr w:rsidR="002123E1" w:rsidRPr="004F1EA4" w14:paraId="3ED3D7F8" w14:textId="534BA207" w:rsidTr="002123E1">
        <w:tc>
          <w:tcPr>
            <w:tcW w:w="5000" w:type="pct"/>
          </w:tcPr>
          <w:p w14:paraId="0BC97130" w14:textId="0BDEAB01" w:rsidR="002123E1" w:rsidRPr="00490122" w:rsidRDefault="002123E1" w:rsidP="00490122">
            <w:pPr>
              <w:pStyle w:val="ListParagraph"/>
              <w:numPr>
                <w:ilvl w:val="0"/>
                <w:numId w:val="16"/>
              </w:numPr>
              <w:spacing w:line="480" w:lineRule="auto"/>
              <w:ind w:left="336" w:hanging="336"/>
              <w:jc w:val="both"/>
              <w:rPr>
                <w:rFonts w:ascii="Arial" w:hAnsi="Arial" w:cs="Arial"/>
                <w:bCs/>
                <w:sz w:val="20"/>
                <w:szCs w:val="20"/>
                <w:lang w:val="en-GB"/>
              </w:rPr>
            </w:pPr>
            <w:r w:rsidRPr="00490122">
              <w:rPr>
                <w:rFonts w:ascii="Arial" w:hAnsi="Arial" w:cs="Arial"/>
                <w:bCs/>
                <w:sz w:val="20"/>
                <w:szCs w:val="20"/>
                <w:lang w:val="en-GB"/>
              </w:rPr>
              <w:t xml:space="preserve"> Untreated pulmonary</w:t>
            </w:r>
          </w:p>
          <w:p w14:paraId="73C6240F" w14:textId="2EC09CA5" w:rsidR="002123E1" w:rsidRPr="00490122" w:rsidRDefault="002123E1" w:rsidP="00490122">
            <w:pPr>
              <w:spacing w:line="480" w:lineRule="auto"/>
              <w:ind w:left="336"/>
              <w:jc w:val="both"/>
              <w:rPr>
                <w:rFonts w:ascii="Arial" w:hAnsi="Arial" w:cs="Arial"/>
                <w:bCs/>
                <w:sz w:val="20"/>
                <w:szCs w:val="20"/>
                <w:lang w:val="en-GB"/>
              </w:rPr>
            </w:pPr>
            <w:r w:rsidRPr="00490122">
              <w:rPr>
                <w:rFonts w:ascii="Arial" w:hAnsi="Arial" w:cs="Arial"/>
                <w:bCs/>
                <w:sz w:val="20"/>
                <w:szCs w:val="20"/>
                <w:lang w:val="en-GB"/>
              </w:rPr>
              <w:t xml:space="preserve">tuberculosis </w:t>
            </w:r>
            <w:r>
              <w:rPr>
                <w:rFonts w:ascii="Arial" w:hAnsi="Arial" w:cs="Arial"/>
                <w:bCs/>
                <w:sz w:val="20"/>
                <w:szCs w:val="20"/>
                <w:lang w:val="en-GB"/>
              </w:rPr>
              <w:t>(</w:t>
            </w:r>
            <w:r w:rsidRPr="00490122">
              <w:rPr>
                <w:rFonts w:ascii="Arial" w:hAnsi="Arial" w:cs="Arial"/>
                <w:bCs/>
                <w:sz w:val="20"/>
                <w:szCs w:val="20"/>
                <w:lang w:val="en-GB"/>
              </w:rPr>
              <w:t>active and latent) or untreated extra pulmonary tuberculosis</w:t>
            </w:r>
            <w:r>
              <w:rPr>
                <w:rFonts w:ascii="Arial" w:hAnsi="Arial" w:cs="Arial"/>
                <w:bCs/>
                <w:sz w:val="20"/>
                <w:szCs w:val="20"/>
                <w:lang w:val="en-GB"/>
              </w:rPr>
              <w:t xml:space="preserve">, </w:t>
            </w:r>
            <w:r w:rsidRPr="00490122">
              <w:rPr>
                <w:rFonts w:ascii="Arial" w:hAnsi="Arial" w:cs="Arial"/>
                <w:bCs/>
                <w:sz w:val="20"/>
                <w:szCs w:val="20"/>
                <w:lang w:val="en-GB"/>
              </w:rPr>
              <w:t>serious infections such as sepsis, or opportunistic infections (see section 4.4)</w:t>
            </w:r>
          </w:p>
        </w:tc>
      </w:tr>
      <w:tr w:rsidR="002123E1" w:rsidRPr="004F1EA4" w14:paraId="14DC5AAB" w14:textId="19EC456A" w:rsidTr="002123E1">
        <w:tc>
          <w:tcPr>
            <w:tcW w:w="5000" w:type="pct"/>
          </w:tcPr>
          <w:p w14:paraId="1D857D7B" w14:textId="047FBD55" w:rsidR="002123E1" w:rsidRPr="00CE183C" w:rsidRDefault="002123E1" w:rsidP="00B538A4">
            <w:pPr>
              <w:pStyle w:val="Descriptiveinformation"/>
              <w:keepLines/>
              <w:numPr>
                <w:ilvl w:val="0"/>
                <w:numId w:val="8"/>
              </w:numPr>
              <w:tabs>
                <w:tab w:val="left" w:pos="1080"/>
                <w:tab w:val="left" w:pos="1440"/>
                <w:tab w:val="left" w:pos="1800"/>
                <w:tab w:val="left" w:pos="2160"/>
                <w:tab w:val="left" w:pos="2520"/>
                <w:tab w:val="left" w:pos="2880"/>
                <w:tab w:val="left" w:pos="3240"/>
                <w:tab w:val="left" w:pos="3600"/>
                <w:tab w:val="left" w:pos="3960"/>
                <w:tab w:val="left" w:pos="4320"/>
              </w:tabs>
              <w:spacing w:line="480" w:lineRule="auto"/>
              <w:jc w:val="both"/>
              <w:rPr>
                <w:rFonts w:cs="Arial"/>
                <w:i w:val="0"/>
                <w:sz w:val="20"/>
                <w:lang w:val="en-GB"/>
              </w:rPr>
            </w:pPr>
            <w:r w:rsidRPr="00CE183C">
              <w:rPr>
                <w:rFonts w:cs="Arial"/>
                <w:i w:val="0"/>
                <w:sz w:val="20"/>
                <w:lang w:val="en-GB"/>
              </w:rPr>
              <w:t>Severe hepatic impairment (see section 4.2)</w:t>
            </w:r>
            <w:r>
              <w:rPr>
                <w:rFonts w:cs="Arial"/>
                <w:i w:val="0"/>
                <w:sz w:val="20"/>
                <w:lang w:val="en-GB"/>
              </w:rPr>
              <w:t xml:space="preserve"> </w:t>
            </w:r>
          </w:p>
        </w:tc>
      </w:tr>
      <w:tr w:rsidR="002123E1" w:rsidRPr="004F1EA4" w14:paraId="12D24281" w14:textId="79988706" w:rsidTr="002123E1">
        <w:trPr>
          <w:trHeight w:val="332"/>
        </w:trPr>
        <w:tc>
          <w:tcPr>
            <w:tcW w:w="5000" w:type="pct"/>
          </w:tcPr>
          <w:p w14:paraId="618B2593" w14:textId="3FC605D2" w:rsidR="002123E1" w:rsidRPr="00CE183C" w:rsidRDefault="002123E1" w:rsidP="00B538A4">
            <w:pPr>
              <w:pStyle w:val="ListParagraph"/>
              <w:numPr>
                <w:ilvl w:val="0"/>
                <w:numId w:val="8"/>
              </w:numPr>
              <w:spacing w:line="480" w:lineRule="auto"/>
              <w:jc w:val="both"/>
              <w:rPr>
                <w:rFonts w:ascii="Arial" w:hAnsi="Arial" w:cs="Arial"/>
                <w:bCs/>
                <w:sz w:val="20"/>
                <w:szCs w:val="20"/>
                <w:lang w:val="en-GB"/>
              </w:rPr>
            </w:pPr>
            <w:r w:rsidRPr="00CE183C">
              <w:rPr>
                <w:rFonts w:ascii="Arial" w:hAnsi="Arial" w:cs="Arial"/>
                <w:bCs/>
                <w:sz w:val="20"/>
                <w:szCs w:val="20"/>
                <w:lang w:val="en-GB"/>
              </w:rPr>
              <w:t>Pregnancy and lactation (see section 4.6)</w:t>
            </w:r>
          </w:p>
        </w:tc>
      </w:tr>
      <w:tr w:rsidR="002123E1" w:rsidRPr="004F1EA4" w14:paraId="450FDC08" w14:textId="4A40AACD" w:rsidTr="002123E1">
        <w:tc>
          <w:tcPr>
            <w:tcW w:w="5000" w:type="pct"/>
          </w:tcPr>
          <w:p w14:paraId="4BD79788" w14:textId="75152874" w:rsidR="002123E1" w:rsidRPr="00C833E5" w:rsidRDefault="002123E1" w:rsidP="00B538A4">
            <w:pPr>
              <w:pStyle w:val="ListParagraph"/>
              <w:numPr>
                <w:ilvl w:val="0"/>
                <w:numId w:val="10"/>
              </w:numPr>
              <w:spacing w:line="480" w:lineRule="auto"/>
              <w:jc w:val="both"/>
              <w:rPr>
                <w:rFonts w:ascii="Arial" w:hAnsi="Arial" w:cs="Arial"/>
                <w:bCs/>
                <w:sz w:val="20"/>
                <w:szCs w:val="20"/>
                <w:lang w:val="en-GB"/>
              </w:rPr>
            </w:pPr>
            <w:r w:rsidRPr="00C833E5">
              <w:rPr>
                <w:rFonts w:ascii="Arial" w:hAnsi="Arial" w:cs="Arial"/>
                <w:bCs/>
                <w:sz w:val="20"/>
                <w:szCs w:val="20"/>
                <w:lang w:val="en-GB"/>
              </w:rPr>
              <w:t xml:space="preserve">Patients with treatment naïve / experienced HIV </w:t>
            </w:r>
            <w:r>
              <w:rPr>
                <w:rFonts w:ascii="Arial" w:hAnsi="Arial" w:cs="Arial"/>
                <w:bCs/>
                <w:sz w:val="20"/>
                <w:szCs w:val="20"/>
                <w:lang w:val="en-GB"/>
              </w:rPr>
              <w:t>i</w:t>
            </w:r>
            <w:r w:rsidRPr="00C833E5">
              <w:rPr>
                <w:rFonts w:ascii="Arial" w:hAnsi="Arial" w:cs="Arial"/>
                <w:bCs/>
                <w:sz w:val="20"/>
                <w:szCs w:val="20"/>
                <w:lang w:val="en-GB"/>
              </w:rPr>
              <w:t>nfections</w:t>
            </w:r>
          </w:p>
        </w:tc>
      </w:tr>
      <w:tr w:rsidR="002123E1" w:rsidRPr="004F1EA4" w14:paraId="026D7252" w14:textId="50C0DFAB" w:rsidTr="002123E1">
        <w:tc>
          <w:tcPr>
            <w:tcW w:w="5000" w:type="pct"/>
          </w:tcPr>
          <w:p w14:paraId="50ED3FF3" w14:textId="77777777" w:rsidR="002123E1" w:rsidRPr="00C833E5" w:rsidRDefault="002123E1" w:rsidP="00C833E5">
            <w:pPr>
              <w:pStyle w:val="ListParagraph"/>
              <w:spacing w:line="480" w:lineRule="auto"/>
              <w:ind w:left="360"/>
              <w:jc w:val="both"/>
              <w:rPr>
                <w:rFonts w:ascii="Arial" w:hAnsi="Arial" w:cs="Arial"/>
                <w:bCs/>
                <w:sz w:val="20"/>
                <w:szCs w:val="20"/>
                <w:lang w:val="en-GB"/>
              </w:rPr>
            </w:pPr>
          </w:p>
        </w:tc>
      </w:tr>
      <w:tr w:rsidR="002123E1" w:rsidRPr="004F1EA4" w14:paraId="79AD57BF" w14:textId="59A70CE2" w:rsidTr="002123E1">
        <w:tc>
          <w:tcPr>
            <w:tcW w:w="5000" w:type="pct"/>
          </w:tcPr>
          <w:p w14:paraId="7669C3B5" w14:textId="485F144A" w:rsidR="002123E1" w:rsidRPr="00CE183C" w:rsidRDefault="002123E1" w:rsidP="007314CB">
            <w:pPr>
              <w:spacing w:line="480" w:lineRule="auto"/>
              <w:jc w:val="both"/>
              <w:rPr>
                <w:rFonts w:ascii="Arial" w:hAnsi="Arial" w:cs="Arial"/>
                <w:bCs/>
                <w:i/>
                <w:sz w:val="20"/>
                <w:szCs w:val="20"/>
                <w:lang w:val="en-GB"/>
              </w:rPr>
            </w:pPr>
            <w:bookmarkStart w:id="5" w:name="_Hlk19813049"/>
            <w:r w:rsidRPr="00CE183C">
              <w:rPr>
                <w:rFonts w:ascii="Arial" w:hAnsi="Arial" w:cs="Arial"/>
                <w:bCs/>
                <w:i/>
                <w:sz w:val="20"/>
                <w:szCs w:val="20"/>
                <w:lang w:val="en-GB"/>
              </w:rPr>
              <w:t>XELJANZ 10 mg twice daily is contraindicated in patients who have one or more of the following conditions:</w:t>
            </w:r>
            <w:bookmarkEnd w:id="5"/>
          </w:p>
        </w:tc>
      </w:tr>
      <w:tr w:rsidR="002123E1" w:rsidRPr="004F1EA4" w14:paraId="3CAC8B4E" w14:textId="1B03A06D" w:rsidTr="002123E1">
        <w:tc>
          <w:tcPr>
            <w:tcW w:w="5000" w:type="pct"/>
          </w:tcPr>
          <w:p w14:paraId="405E2DEA" w14:textId="5564C7D6" w:rsidR="002123E1" w:rsidRPr="00CE183C" w:rsidRDefault="002123E1" w:rsidP="00B538A4">
            <w:pPr>
              <w:pStyle w:val="ListParagraph"/>
              <w:numPr>
                <w:ilvl w:val="0"/>
                <w:numId w:val="9"/>
              </w:numPr>
              <w:spacing w:line="480" w:lineRule="auto"/>
              <w:jc w:val="both"/>
              <w:rPr>
                <w:rFonts w:ascii="Arial" w:hAnsi="Arial" w:cs="Arial"/>
                <w:bCs/>
                <w:sz w:val="20"/>
                <w:szCs w:val="20"/>
                <w:lang w:val="en-GB"/>
              </w:rPr>
            </w:pPr>
            <w:bookmarkStart w:id="6" w:name="_Hlk19813064"/>
            <w:r w:rsidRPr="00CE183C">
              <w:rPr>
                <w:rFonts w:ascii="Arial" w:hAnsi="Arial" w:cs="Arial"/>
                <w:bCs/>
                <w:sz w:val="20"/>
                <w:szCs w:val="20"/>
                <w:lang w:val="en-GB"/>
              </w:rPr>
              <w:t>Use of combined hormonal contraceptives or hormone replacement therapy</w:t>
            </w:r>
          </w:p>
        </w:tc>
      </w:tr>
      <w:tr w:rsidR="002123E1" w:rsidRPr="004F1EA4" w14:paraId="48CB1FCA" w14:textId="08AAFB67" w:rsidTr="002123E1">
        <w:tc>
          <w:tcPr>
            <w:tcW w:w="5000" w:type="pct"/>
          </w:tcPr>
          <w:p w14:paraId="313E2B67" w14:textId="064DE561" w:rsidR="002123E1" w:rsidRPr="00CE183C" w:rsidRDefault="002123E1" w:rsidP="00B538A4">
            <w:pPr>
              <w:pStyle w:val="ListParagraph"/>
              <w:numPr>
                <w:ilvl w:val="0"/>
                <w:numId w:val="9"/>
              </w:numPr>
              <w:spacing w:line="480" w:lineRule="auto"/>
              <w:jc w:val="both"/>
              <w:rPr>
                <w:rFonts w:ascii="Arial" w:hAnsi="Arial" w:cs="Arial"/>
                <w:bCs/>
                <w:sz w:val="20"/>
                <w:szCs w:val="20"/>
                <w:lang w:val="en-GB"/>
              </w:rPr>
            </w:pPr>
            <w:r w:rsidRPr="00CE183C">
              <w:rPr>
                <w:rFonts w:ascii="Arial" w:hAnsi="Arial" w:cs="Arial"/>
                <w:bCs/>
                <w:sz w:val="20"/>
                <w:szCs w:val="20"/>
                <w:lang w:val="en-GB"/>
              </w:rPr>
              <w:t>Heart failure</w:t>
            </w:r>
          </w:p>
        </w:tc>
      </w:tr>
      <w:tr w:rsidR="002123E1" w:rsidRPr="004F1EA4" w14:paraId="3F3C279C" w14:textId="715A8057" w:rsidTr="002123E1">
        <w:tc>
          <w:tcPr>
            <w:tcW w:w="5000" w:type="pct"/>
          </w:tcPr>
          <w:p w14:paraId="7B0C76F7" w14:textId="1190E61A" w:rsidR="002123E1" w:rsidRPr="00CE183C" w:rsidRDefault="002123E1" w:rsidP="00B538A4">
            <w:pPr>
              <w:pStyle w:val="ListParagraph"/>
              <w:numPr>
                <w:ilvl w:val="0"/>
                <w:numId w:val="9"/>
              </w:numPr>
              <w:spacing w:line="480" w:lineRule="auto"/>
              <w:jc w:val="both"/>
              <w:rPr>
                <w:rFonts w:ascii="Arial" w:hAnsi="Arial" w:cs="Arial"/>
                <w:bCs/>
                <w:sz w:val="20"/>
                <w:szCs w:val="20"/>
                <w:lang w:val="en-GB"/>
              </w:rPr>
            </w:pPr>
            <w:r w:rsidRPr="00CE183C">
              <w:rPr>
                <w:rFonts w:ascii="Arial" w:hAnsi="Arial" w:cs="Arial"/>
                <w:bCs/>
                <w:sz w:val="20"/>
                <w:szCs w:val="20"/>
                <w:lang w:val="en-GB"/>
              </w:rPr>
              <w:t>Previous venous thromboembolism, either deep venous thromboembolism or pulmonary embolism</w:t>
            </w:r>
          </w:p>
        </w:tc>
      </w:tr>
      <w:tr w:rsidR="002123E1" w:rsidRPr="004F1EA4" w14:paraId="606659BE" w14:textId="2215557B" w:rsidTr="002123E1">
        <w:tc>
          <w:tcPr>
            <w:tcW w:w="5000" w:type="pct"/>
          </w:tcPr>
          <w:p w14:paraId="2CA1B868" w14:textId="02E22ADC" w:rsidR="002123E1" w:rsidRPr="00CE183C" w:rsidRDefault="002123E1" w:rsidP="00B538A4">
            <w:pPr>
              <w:pStyle w:val="ListParagraph"/>
              <w:numPr>
                <w:ilvl w:val="0"/>
                <w:numId w:val="9"/>
              </w:numPr>
              <w:spacing w:line="480" w:lineRule="auto"/>
              <w:jc w:val="both"/>
              <w:rPr>
                <w:rFonts w:ascii="Arial" w:hAnsi="Arial" w:cs="Arial"/>
                <w:bCs/>
                <w:sz w:val="20"/>
                <w:szCs w:val="20"/>
                <w:lang w:val="en-GB"/>
              </w:rPr>
            </w:pPr>
            <w:r w:rsidRPr="00CE183C">
              <w:rPr>
                <w:rFonts w:ascii="Arial" w:hAnsi="Arial" w:cs="Arial"/>
                <w:bCs/>
                <w:sz w:val="20"/>
                <w:szCs w:val="20"/>
                <w:lang w:val="en-GB"/>
              </w:rPr>
              <w:t>Inherited coagulation disorder</w:t>
            </w:r>
          </w:p>
        </w:tc>
      </w:tr>
      <w:tr w:rsidR="002123E1" w:rsidRPr="004F1EA4" w14:paraId="09EC9ACC" w14:textId="0686B8AD" w:rsidTr="002123E1">
        <w:tc>
          <w:tcPr>
            <w:tcW w:w="5000" w:type="pct"/>
          </w:tcPr>
          <w:p w14:paraId="571F5964" w14:textId="3023CECC" w:rsidR="002123E1" w:rsidRPr="00CE183C" w:rsidRDefault="002123E1" w:rsidP="00B538A4">
            <w:pPr>
              <w:pStyle w:val="ListParagraph"/>
              <w:numPr>
                <w:ilvl w:val="0"/>
                <w:numId w:val="9"/>
              </w:numPr>
              <w:spacing w:line="480" w:lineRule="auto"/>
              <w:jc w:val="both"/>
              <w:rPr>
                <w:rFonts w:ascii="Arial" w:hAnsi="Arial" w:cs="Arial"/>
                <w:bCs/>
                <w:sz w:val="20"/>
                <w:szCs w:val="20"/>
                <w:lang w:val="en-GB"/>
              </w:rPr>
            </w:pPr>
            <w:r w:rsidRPr="00CE183C">
              <w:rPr>
                <w:rFonts w:ascii="Arial" w:hAnsi="Arial" w:cs="Arial"/>
                <w:bCs/>
                <w:sz w:val="20"/>
                <w:szCs w:val="20"/>
                <w:lang w:val="en-GB"/>
              </w:rPr>
              <w:t>Malignancy</w:t>
            </w:r>
          </w:p>
        </w:tc>
      </w:tr>
      <w:tr w:rsidR="002123E1" w:rsidRPr="004F1EA4" w14:paraId="7B334A1B" w14:textId="11CD7656" w:rsidTr="002123E1">
        <w:tc>
          <w:tcPr>
            <w:tcW w:w="5000" w:type="pct"/>
          </w:tcPr>
          <w:p w14:paraId="2AE13BA4" w14:textId="13B720FC" w:rsidR="002123E1" w:rsidRPr="00CE183C" w:rsidRDefault="002123E1" w:rsidP="00B538A4">
            <w:pPr>
              <w:pStyle w:val="ListParagraph"/>
              <w:numPr>
                <w:ilvl w:val="0"/>
                <w:numId w:val="9"/>
              </w:numPr>
              <w:spacing w:line="480" w:lineRule="auto"/>
              <w:jc w:val="both"/>
              <w:rPr>
                <w:rFonts w:ascii="Arial" w:hAnsi="Arial" w:cs="Arial"/>
                <w:bCs/>
                <w:sz w:val="20"/>
                <w:szCs w:val="20"/>
                <w:lang w:val="en-GB"/>
              </w:rPr>
            </w:pPr>
            <w:r w:rsidRPr="00CE183C">
              <w:rPr>
                <w:rFonts w:ascii="Arial" w:hAnsi="Arial" w:cs="Arial"/>
                <w:bCs/>
                <w:sz w:val="20"/>
                <w:szCs w:val="20"/>
                <w:lang w:val="en-GB"/>
              </w:rPr>
              <w:t>Patients undergoing major surgery</w:t>
            </w:r>
          </w:p>
        </w:tc>
      </w:tr>
      <w:bookmarkEnd w:id="6"/>
      <w:tr w:rsidR="002123E1" w:rsidRPr="004F1EA4" w14:paraId="4B528EF3" w14:textId="74ABC290" w:rsidTr="002123E1">
        <w:tc>
          <w:tcPr>
            <w:tcW w:w="5000" w:type="pct"/>
          </w:tcPr>
          <w:p w14:paraId="3F669A5A" w14:textId="77777777" w:rsidR="002123E1" w:rsidRPr="004F1EA4" w:rsidRDefault="002123E1" w:rsidP="007314CB">
            <w:pPr>
              <w:spacing w:line="480" w:lineRule="auto"/>
              <w:jc w:val="both"/>
              <w:rPr>
                <w:rFonts w:ascii="Arial" w:hAnsi="Arial" w:cs="Arial"/>
                <w:bCs/>
                <w:sz w:val="20"/>
                <w:szCs w:val="20"/>
                <w:lang w:val="en-GB"/>
              </w:rPr>
            </w:pPr>
          </w:p>
        </w:tc>
      </w:tr>
      <w:tr w:rsidR="002123E1" w:rsidRPr="004F1EA4" w14:paraId="122CF70F" w14:textId="4002AC99" w:rsidTr="002123E1">
        <w:tc>
          <w:tcPr>
            <w:tcW w:w="5000" w:type="pct"/>
          </w:tcPr>
          <w:p w14:paraId="193BD9EE" w14:textId="7B4BD34A" w:rsidR="002123E1" w:rsidRPr="004F1EA4" w:rsidRDefault="002123E1" w:rsidP="007314CB">
            <w:pPr>
              <w:pStyle w:val="BulletedSubTitle"/>
              <w:numPr>
                <w:ilvl w:val="0"/>
                <w:numId w:val="0"/>
              </w:numPr>
              <w:spacing w:before="0" w:after="0" w:line="480" w:lineRule="auto"/>
              <w:jc w:val="both"/>
              <w:rPr>
                <w:rFonts w:cs="Arial"/>
                <w:i w:val="0"/>
                <w:sz w:val="20"/>
                <w:lang w:val="en-GB"/>
              </w:rPr>
            </w:pPr>
            <w:bookmarkStart w:id="7" w:name="_Hlk19813015"/>
            <w:bookmarkStart w:id="8" w:name="_Hlk17370245"/>
            <w:r w:rsidRPr="004F1EA4">
              <w:rPr>
                <w:rFonts w:cs="Arial"/>
                <w:i w:val="0"/>
                <w:sz w:val="20"/>
                <w:lang w:val="en-GB"/>
              </w:rPr>
              <w:t>4.4 Special warnings and precautions for use</w:t>
            </w:r>
            <w:bookmarkEnd w:id="7"/>
          </w:p>
        </w:tc>
      </w:tr>
      <w:tr w:rsidR="002123E1" w:rsidRPr="004F1EA4" w14:paraId="35B6E299" w14:textId="536572CE" w:rsidTr="002123E1">
        <w:tc>
          <w:tcPr>
            <w:tcW w:w="5000" w:type="pct"/>
          </w:tcPr>
          <w:p w14:paraId="6A75BFAB" w14:textId="7CC7D245" w:rsidR="002123E1" w:rsidRPr="004F1EA4" w:rsidRDefault="002123E1" w:rsidP="007314CB">
            <w:pPr>
              <w:spacing w:line="480" w:lineRule="auto"/>
              <w:jc w:val="both"/>
              <w:rPr>
                <w:rFonts w:ascii="Arial" w:hAnsi="Arial" w:cs="Arial"/>
                <w:bCs/>
                <w:i/>
                <w:sz w:val="20"/>
                <w:szCs w:val="20"/>
                <w:lang w:val="en-GB"/>
              </w:rPr>
            </w:pPr>
            <w:r w:rsidRPr="004F1EA4">
              <w:rPr>
                <w:rFonts w:ascii="Arial" w:hAnsi="Arial" w:cs="Arial"/>
                <w:bCs/>
                <w:i/>
                <w:sz w:val="20"/>
                <w:szCs w:val="20"/>
                <w:lang w:val="en-GB"/>
              </w:rPr>
              <w:t>Combination with other therapies</w:t>
            </w:r>
          </w:p>
        </w:tc>
      </w:tr>
      <w:tr w:rsidR="002123E1" w:rsidRPr="004F1EA4" w14:paraId="5BEE9210" w14:textId="6711C288" w:rsidTr="002123E1">
        <w:tc>
          <w:tcPr>
            <w:tcW w:w="5000" w:type="pct"/>
          </w:tcPr>
          <w:p w14:paraId="1448F2BB" w14:textId="3FB62F16" w:rsidR="002123E1" w:rsidRPr="004F1EA4" w:rsidRDefault="002123E1" w:rsidP="007314CB">
            <w:pPr>
              <w:spacing w:line="480" w:lineRule="auto"/>
              <w:jc w:val="both"/>
              <w:rPr>
                <w:rFonts w:ascii="Arial" w:hAnsi="Arial" w:cs="Arial"/>
                <w:bCs/>
                <w:sz w:val="20"/>
                <w:szCs w:val="20"/>
                <w:lang w:val="en-GB"/>
              </w:rPr>
            </w:pPr>
            <w:r w:rsidRPr="004F1EA4">
              <w:rPr>
                <w:rFonts w:ascii="Arial" w:hAnsi="Arial" w:cs="Arial"/>
                <w:bCs/>
                <w:sz w:val="20"/>
                <w:szCs w:val="20"/>
                <w:lang w:val="en-GB"/>
              </w:rPr>
              <w:t xml:space="preserve">XELJANZ has not been studied and its use should be avoided in combination with biologics such as TNF antagonists, interleukin (IL)-1R antagonists, IL-6R antagonists, anti-CD20 monoclonal antibodies, IL-17 antagonists, IL-12/IL-23 antagonists, anti-integrins, selective co-stimulation modulators and potent </w:t>
            </w:r>
            <w:r w:rsidRPr="004F1EA4">
              <w:rPr>
                <w:rFonts w:ascii="Arial" w:hAnsi="Arial" w:cs="Arial"/>
                <w:bCs/>
                <w:sz w:val="20"/>
                <w:szCs w:val="20"/>
                <w:lang w:val="en-GB"/>
              </w:rPr>
              <w:lastRenderedPageBreak/>
              <w:t>immunosuppressants such as azathioprine, 6-mercaptopurine, ciclosporin and tacrolimus because of the possibility of increased immunosuppression and increased risk of infection.</w:t>
            </w:r>
          </w:p>
        </w:tc>
      </w:tr>
      <w:tr w:rsidR="002123E1" w:rsidRPr="004F1EA4" w14:paraId="369ED37B" w14:textId="30435373" w:rsidTr="002123E1">
        <w:tc>
          <w:tcPr>
            <w:tcW w:w="5000" w:type="pct"/>
          </w:tcPr>
          <w:p w14:paraId="18459AE1" w14:textId="77777777" w:rsidR="002123E1" w:rsidRPr="004F1EA4" w:rsidRDefault="002123E1" w:rsidP="007314CB">
            <w:pPr>
              <w:spacing w:line="480" w:lineRule="auto"/>
              <w:jc w:val="both"/>
              <w:rPr>
                <w:rFonts w:ascii="Arial" w:hAnsi="Arial" w:cs="Arial"/>
                <w:bCs/>
                <w:sz w:val="20"/>
                <w:szCs w:val="20"/>
                <w:lang w:val="en-GB"/>
              </w:rPr>
            </w:pPr>
          </w:p>
        </w:tc>
      </w:tr>
      <w:tr w:rsidR="002123E1" w:rsidRPr="004F1EA4" w14:paraId="7F1021C8" w14:textId="727B8942" w:rsidTr="002123E1">
        <w:tc>
          <w:tcPr>
            <w:tcW w:w="5000" w:type="pct"/>
          </w:tcPr>
          <w:p w14:paraId="15C53D2A" w14:textId="3B644ABB" w:rsidR="002123E1" w:rsidRPr="008F266B" w:rsidRDefault="002123E1" w:rsidP="007314CB">
            <w:pPr>
              <w:spacing w:line="480" w:lineRule="auto"/>
              <w:jc w:val="both"/>
              <w:rPr>
                <w:rFonts w:ascii="Arial" w:hAnsi="Arial" w:cs="Arial"/>
                <w:sz w:val="20"/>
                <w:szCs w:val="20"/>
                <w:lang w:val="en-GB"/>
              </w:rPr>
            </w:pPr>
            <w:r w:rsidRPr="008F266B">
              <w:rPr>
                <w:rFonts w:ascii="Arial" w:hAnsi="Arial" w:cs="Arial"/>
                <w:sz w:val="20"/>
                <w:szCs w:val="20"/>
                <w:lang w:val="en-GB"/>
              </w:rPr>
              <w:t>There was a higher incidence of adverse events for the combination of XELJANZ with MTX versus XELJANZ as monotherapy in RA clinical studies.</w:t>
            </w:r>
          </w:p>
        </w:tc>
      </w:tr>
      <w:tr w:rsidR="002123E1" w:rsidRPr="004F1EA4" w14:paraId="58914A83" w14:textId="23693D9A" w:rsidTr="002123E1">
        <w:tc>
          <w:tcPr>
            <w:tcW w:w="5000" w:type="pct"/>
          </w:tcPr>
          <w:p w14:paraId="5B4E4918" w14:textId="77777777" w:rsidR="002123E1" w:rsidRPr="004F1EA4" w:rsidRDefault="002123E1" w:rsidP="007314CB">
            <w:pPr>
              <w:spacing w:line="480" w:lineRule="auto"/>
              <w:jc w:val="both"/>
              <w:rPr>
                <w:rFonts w:ascii="Arial" w:hAnsi="Arial" w:cs="Arial"/>
                <w:sz w:val="20"/>
                <w:szCs w:val="20"/>
                <w:lang w:val="en-GB"/>
              </w:rPr>
            </w:pPr>
          </w:p>
        </w:tc>
      </w:tr>
      <w:tr w:rsidR="002123E1" w:rsidRPr="004F1EA4" w14:paraId="53520A26" w14:textId="4C5B2DDC" w:rsidTr="002123E1">
        <w:tc>
          <w:tcPr>
            <w:tcW w:w="5000" w:type="pct"/>
          </w:tcPr>
          <w:p w14:paraId="25E79EAC" w14:textId="53B1FE7A" w:rsidR="002123E1" w:rsidRPr="004F1EA4" w:rsidRDefault="002123E1" w:rsidP="007314CB">
            <w:pPr>
              <w:spacing w:line="480" w:lineRule="auto"/>
              <w:jc w:val="both"/>
              <w:rPr>
                <w:rFonts w:ascii="Arial" w:hAnsi="Arial" w:cs="Arial"/>
                <w:sz w:val="20"/>
                <w:szCs w:val="20"/>
                <w:lang w:val="en-GB"/>
              </w:rPr>
            </w:pPr>
            <w:r w:rsidRPr="004F1EA4">
              <w:rPr>
                <w:rFonts w:ascii="Arial" w:hAnsi="Arial" w:cs="Arial"/>
                <w:sz w:val="20"/>
                <w:szCs w:val="20"/>
                <w:lang w:val="en-GB"/>
              </w:rPr>
              <w:t>The use of XELJANZ in combination with phosphodiesterase 4 inhibitors has not been studied in tofacitinib clinical studies.</w:t>
            </w:r>
          </w:p>
        </w:tc>
      </w:tr>
      <w:tr w:rsidR="002123E1" w:rsidRPr="004F1EA4" w14:paraId="3BE31868" w14:textId="1DEF34A9" w:rsidTr="002123E1">
        <w:tc>
          <w:tcPr>
            <w:tcW w:w="5000" w:type="pct"/>
          </w:tcPr>
          <w:p w14:paraId="03984BFE" w14:textId="0C789029" w:rsidR="002123E1" w:rsidRPr="004F1EA4" w:rsidRDefault="002123E1" w:rsidP="007314CB">
            <w:pPr>
              <w:spacing w:line="480" w:lineRule="auto"/>
              <w:jc w:val="both"/>
              <w:rPr>
                <w:rFonts w:ascii="Arial" w:hAnsi="Arial" w:cs="Arial"/>
                <w:sz w:val="20"/>
                <w:szCs w:val="20"/>
                <w:lang w:val="en-GB"/>
              </w:rPr>
            </w:pPr>
          </w:p>
        </w:tc>
      </w:tr>
      <w:tr w:rsidR="002123E1" w:rsidRPr="004F1EA4" w14:paraId="3B29DDC3" w14:textId="076EACA3" w:rsidTr="002123E1">
        <w:tc>
          <w:tcPr>
            <w:tcW w:w="5000" w:type="pct"/>
          </w:tcPr>
          <w:p w14:paraId="6D9D9C03" w14:textId="17D6B577" w:rsidR="002123E1" w:rsidRPr="004F1EA4" w:rsidRDefault="002123E1" w:rsidP="00944EEE">
            <w:pPr>
              <w:spacing w:line="480" w:lineRule="auto"/>
              <w:jc w:val="both"/>
              <w:rPr>
                <w:rFonts w:ascii="Arial" w:hAnsi="Arial" w:cs="Arial"/>
                <w:i/>
                <w:sz w:val="20"/>
                <w:szCs w:val="20"/>
                <w:lang w:val="en-GB"/>
              </w:rPr>
            </w:pPr>
            <w:r w:rsidRPr="004F1EA4">
              <w:rPr>
                <w:rFonts w:ascii="Arial" w:hAnsi="Arial" w:cs="Arial"/>
                <w:i/>
                <w:sz w:val="20"/>
                <w:szCs w:val="20"/>
                <w:lang w:val="en-GB"/>
              </w:rPr>
              <w:t>Serious infections</w:t>
            </w:r>
          </w:p>
        </w:tc>
      </w:tr>
      <w:tr w:rsidR="002123E1" w:rsidRPr="004F1EA4" w14:paraId="212E6828" w14:textId="5BAC284C" w:rsidTr="002123E1">
        <w:trPr>
          <w:trHeight w:val="1700"/>
        </w:trPr>
        <w:tc>
          <w:tcPr>
            <w:tcW w:w="5000" w:type="pct"/>
          </w:tcPr>
          <w:p w14:paraId="73B63B53" w14:textId="4A366A30" w:rsidR="002123E1" w:rsidRPr="004F1EA4" w:rsidRDefault="002123E1" w:rsidP="00944EEE">
            <w:pPr>
              <w:spacing w:line="480" w:lineRule="auto"/>
              <w:jc w:val="both"/>
              <w:rPr>
                <w:rFonts w:ascii="Arial" w:hAnsi="Arial" w:cs="Arial"/>
                <w:sz w:val="20"/>
                <w:szCs w:val="20"/>
                <w:lang w:val="en-GB"/>
              </w:rPr>
            </w:pPr>
            <w:r w:rsidRPr="004F1EA4">
              <w:rPr>
                <w:rFonts w:ascii="Arial" w:hAnsi="Arial" w:cs="Arial"/>
                <w:sz w:val="20"/>
                <w:szCs w:val="20"/>
                <w:lang w:val="en-GB"/>
              </w:rPr>
              <w:t>Serious and sometimes fatal infections due to bacterial, mycobacterial, invasive fungal, viral, or other opportunistic pathogens have been reported in patients receiving XELJANZ. Rheumatoid arthritis patients taking corticosteroids may be predisposed to infection.</w:t>
            </w:r>
          </w:p>
        </w:tc>
      </w:tr>
      <w:bookmarkEnd w:id="8"/>
      <w:tr w:rsidR="002123E1" w:rsidRPr="004F1EA4" w14:paraId="2C5679FD" w14:textId="731BAEA9" w:rsidTr="002123E1">
        <w:tc>
          <w:tcPr>
            <w:tcW w:w="5000" w:type="pct"/>
          </w:tcPr>
          <w:p w14:paraId="7ACED723" w14:textId="6E314972" w:rsidR="002123E1" w:rsidRPr="004F1EA4" w:rsidRDefault="002123E1" w:rsidP="00944EEE">
            <w:pPr>
              <w:spacing w:line="480" w:lineRule="auto"/>
              <w:jc w:val="both"/>
              <w:rPr>
                <w:rFonts w:ascii="Arial" w:hAnsi="Arial" w:cs="Arial"/>
                <w:sz w:val="20"/>
                <w:szCs w:val="20"/>
                <w:lang w:val="en-GB"/>
              </w:rPr>
            </w:pPr>
            <w:r w:rsidRPr="004F1EA4">
              <w:rPr>
                <w:rFonts w:ascii="Arial" w:hAnsi="Arial" w:cs="Arial"/>
                <w:sz w:val="20"/>
                <w:szCs w:val="20"/>
                <w:lang w:val="en-GB"/>
              </w:rPr>
              <w:t>XELJANZ should not be initiated in patients with active infections, including localised infections.</w:t>
            </w:r>
          </w:p>
        </w:tc>
      </w:tr>
      <w:tr w:rsidR="002123E1" w:rsidRPr="004F1EA4" w14:paraId="0510C8CB" w14:textId="48463EEA" w:rsidTr="002123E1">
        <w:tc>
          <w:tcPr>
            <w:tcW w:w="5000" w:type="pct"/>
          </w:tcPr>
          <w:p w14:paraId="71314D2A" w14:textId="77777777" w:rsidR="002123E1" w:rsidRPr="004F1EA4" w:rsidRDefault="002123E1" w:rsidP="00944EEE">
            <w:pPr>
              <w:spacing w:line="480" w:lineRule="auto"/>
              <w:jc w:val="both"/>
              <w:rPr>
                <w:rFonts w:ascii="Arial" w:hAnsi="Arial" w:cs="Arial"/>
                <w:b/>
                <w:sz w:val="20"/>
                <w:szCs w:val="20"/>
                <w:u w:val="single"/>
                <w:lang w:val="en-GB"/>
              </w:rPr>
            </w:pPr>
          </w:p>
        </w:tc>
      </w:tr>
      <w:tr w:rsidR="002123E1" w:rsidRPr="004F1EA4" w14:paraId="76B01812" w14:textId="77630DCD" w:rsidTr="002123E1">
        <w:tc>
          <w:tcPr>
            <w:tcW w:w="5000" w:type="pct"/>
          </w:tcPr>
          <w:p w14:paraId="5D86A5FF" w14:textId="555AF5F5" w:rsidR="002123E1" w:rsidRPr="004F1EA4" w:rsidRDefault="002123E1" w:rsidP="00944EEE">
            <w:pPr>
              <w:spacing w:line="480" w:lineRule="auto"/>
              <w:jc w:val="both"/>
              <w:rPr>
                <w:rFonts w:ascii="Arial" w:hAnsi="Arial" w:cs="Arial"/>
                <w:sz w:val="20"/>
                <w:szCs w:val="20"/>
                <w:lang w:val="en-GB"/>
              </w:rPr>
            </w:pPr>
            <w:r w:rsidRPr="004F1EA4">
              <w:rPr>
                <w:rFonts w:ascii="Arial" w:hAnsi="Arial" w:cs="Arial"/>
                <w:sz w:val="20"/>
                <w:szCs w:val="20"/>
                <w:lang w:val="en-GB"/>
              </w:rPr>
              <w:t>The risks and benefits of treatment should be considered prior to initiating XELJANZ in patients:</w:t>
            </w:r>
          </w:p>
          <w:p w14:paraId="29A89024" w14:textId="77777777" w:rsidR="002123E1" w:rsidRPr="00C833E5" w:rsidRDefault="002123E1" w:rsidP="00B538A4">
            <w:pPr>
              <w:pStyle w:val="ListParagraph"/>
              <w:numPr>
                <w:ilvl w:val="0"/>
                <w:numId w:val="11"/>
              </w:numPr>
              <w:spacing w:line="480" w:lineRule="auto"/>
              <w:jc w:val="both"/>
              <w:rPr>
                <w:rFonts w:ascii="Arial" w:hAnsi="Arial" w:cs="Arial"/>
                <w:sz w:val="20"/>
                <w:szCs w:val="20"/>
                <w:lang w:val="en-GB"/>
              </w:rPr>
            </w:pPr>
            <w:r w:rsidRPr="00C833E5">
              <w:rPr>
                <w:rFonts w:ascii="Arial" w:hAnsi="Arial" w:cs="Arial"/>
                <w:sz w:val="20"/>
                <w:szCs w:val="20"/>
                <w:lang w:val="en-GB"/>
              </w:rPr>
              <w:t>with recurrent infections</w:t>
            </w:r>
          </w:p>
          <w:p w14:paraId="044C4336" w14:textId="7F097A5F" w:rsidR="002123E1" w:rsidRPr="00C833E5" w:rsidRDefault="002123E1" w:rsidP="00B538A4">
            <w:pPr>
              <w:pStyle w:val="ListParagraph"/>
              <w:numPr>
                <w:ilvl w:val="0"/>
                <w:numId w:val="11"/>
              </w:numPr>
              <w:spacing w:line="480" w:lineRule="auto"/>
              <w:jc w:val="both"/>
              <w:rPr>
                <w:rFonts w:ascii="Arial" w:hAnsi="Arial" w:cs="Arial"/>
                <w:sz w:val="20"/>
                <w:szCs w:val="20"/>
                <w:lang w:val="en-GB"/>
              </w:rPr>
            </w:pPr>
            <w:r w:rsidRPr="00C833E5">
              <w:rPr>
                <w:rFonts w:ascii="Arial" w:hAnsi="Arial" w:cs="Arial"/>
                <w:sz w:val="20"/>
                <w:szCs w:val="20"/>
                <w:lang w:val="en-GB"/>
              </w:rPr>
              <w:t>with a history of a serious or an opportunistic infection</w:t>
            </w:r>
          </w:p>
          <w:p w14:paraId="7CBB10EE" w14:textId="5E5B9008" w:rsidR="002123E1" w:rsidRPr="00C833E5" w:rsidRDefault="002123E1" w:rsidP="00B538A4">
            <w:pPr>
              <w:pStyle w:val="ListParagraph"/>
              <w:numPr>
                <w:ilvl w:val="0"/>
                <w:numId w:val="11"/>
              </w:numPr>
              <w:spacing w:line="480" w:lineRule="auto"/>
              <w:jc w:val="both"/>
              <w:rPr>
                <w:rFonts w:ascii="Arial" w:hAnsi="Arial" w:cs="Arial"/>
                <w:sz w:val="20"/>
                <w:szCs w:val="20"/>
                <w:lang w:val="en-GB"/>
              </w:rPr>
            </w:pPr>
            <w:r w:rsidRPr="00C833E5">
              <w:rPr>
                <w:rFonts w:ascii="Arial" w:hAnsi="Arial" w:cs="Arial"/>
                <w:sz w:val="20"/>
                <w:szCs w:val="20"/>
                <w:lang w:val="en-GB"/>
              </w:rPr>
              <w:t xml:space="preserve">who have resided or travelled in areas of endemic </w:t>
            </w:r>
            <w:proofErr w:type="gramStart"/>
            <w:r w:rsidRPr="00C833E5">
              <w:rPr>
                <w:rFonts w:ascii="Arial" w:hAnsi="Arial" w:cs="Arial"/>
                <w:sz w:val="20"/>
                <w:szCs w:val="20"/>
                <w:lang w:val="en-GB"/>
              </w:rPr>
              <w:t>mycos</w:t>
            </w:r>
            <w:r>
              <w:rPr>
                <w:rFonts w:ascii="Arial" w:hAnsi="Arial" w:cs="Arial"/>
                <w:sz w:val="20"/>
                <w:szCs w:val="20"/>
                <w:lang w:val="en-GB"/>
              </w:rPr>
              <w:t>e</w:t>
            </w:r>
            <w:r w:rsidRPr="00C833E5">
              <w:rPr>
                <w:rFonts w:ascii="Arial" w:hAnsi="Arial" w:cs="Arial"/>
                <w:sz w:val="20"/>
                <w:szCs w:val="20"/>
                <w:lang w:val="en-GB"/>
              </w:rPr>
              <w:t>s</w:t>
            </w:r>
            <w:proofErr w:type="gramEnd"/>
          </w:p>
          <w:p w14:paraId="64E24F54" w14:textId="53450F84" w:rsidR="002123E1" w:rsidRPr="00C833E5" w:rsidRDefault="002123E1" w:rsidP="00B538A4">
            <w:pPr>
              <w:pStyle w:val="ListParagraph"/>
              <w:numPr>
                <w:ilvl w:val="0"/>
                <w:numId w:val="11"/>
              </w:numPr>
              <w:spacing w:line="480" w:lineRule="auto"/>
              <w:jc w:val="both"/>
              <w:rPr>
                <w:rFonts w:ascii="Arial" w:hAnsi="Arial" w:cs="Arial"/>
                <w:sz w:val="20"/>
                <w:szCs w:val="20"/>
                <w:lang w:val="en-GB"/>
              </w:rPr>
            </w:pPr>
            <w:r w:rsidRPr="00C833E5">
              <w:rPr>
                <w:rFonts w:ascii="Arial" w:hAnsi="Arial" w:cs="Arial"/>
                <w:sz w:val="20"/>
                <w:szCs w:val="20"/>
                <w:lang w:val="en-GB"/>
              </w:rPr>
              <w:t>who have underlying conditions that may predispose them to infection</w:t>
            </w:r>
          </w:p>
        </w:tc>
      </w:tr>
      <w:tr w:rsidR="002123E1" w:rsidRPr="004F1EA4" w14:paraId="4B8DA7EC" w14:textId="04ABCE92" w:rsidTr="002123E1">
        <w:tc>
          <w:tcPr>
            <w:tcW w:w="5000" w:type="pct"/>
          </w:tcPr>
          <w:p w14:paraId="5C4FA346" w14:textId="77777777" w:rsidR="002123E1" w:rsidRPr="004F1EA4" w:rsidRDefault="002123E1" w:rsidP="00944EEE">
            <w:pPr>
              <w:spacing w:line="480" w:lineRule="auto"/>
              <w:jc w:val="both"/>
              <w:rPr>
                <w:rFonts w:ascii="Arial" w:hAnsi="Arial" w:cs="Arial"/>
                <w:b/>
                <w:sz w:val="20"/>
                <w:szCs w:val="20"/>
                <w:u w:val="single"/>
                <w:lang w:val="en-GB"/>
              </w:rPr>
            </w:pPr>
          </w:p>
        </w:tc>
      </w:tr>
      <w:tr w:rsidR="002123E1" w:rsidRPr="004F1EA4" w14:paraId="421B18BB" w14:textId="4D35B507" w:rsidTr="002123E1">
        <w:tc>
          <w:tcPr>
            <w:tcW w:w="5000" w:type="pct"/>
          </w:tcPr>
          <w:p w14:paraId="21208C6D" w14:textId="71B10491" w:rsidR="002123E1" w:rsidRPr="004F1EA4" w:rsidRDefault="002123E1" w:rsidP="00944EEE">
            <w:pPr>
              <w:spacing w:line="480" w:lineRule="auto"/>
              <w:jc w:val="both"/>
              <w:rPr>
                <w:rFonts w:ascii="Arial" w:hAnsi="Arial" w:cs="Arial"/>
                <w:sz w:val="20"/>
                <w:szCs w:val="20"/>
                <w:lang w:val="en-GB"/>
              </w:rPr>
            </w:pPr>
            <w:r w:rsidRPr="004F1EA4">
              <w:rPr>
                <w:rFonts w:ascii="Arial" w:hAnsi="Arial" w:cs="Arial"/>
                <w:sz w:val="20"/>
                <w:szCs w:val="20"/>
                <w:lang w:val="en-GB"/>
              </w:rPr>
              <w:t>Patients should be closely monitored for the development of signs and symptoms of infection during and after treatment with XELJANZ. Treatment should be interrupted if a patient develops a serious infection, an opportunistic infection, or sepsis. A patient who develops a new infection during treatment with XELJANZ should undergo prompt and complete diagnostic testing appropriate for an immunocompromised patient, appropriate antimicrobial therapy should be initiated, and the patient should be closely monitored.</w:t>
            </w:r>
          </w:p>
        </w:tc>
      </w:tr>
      <w:tr w:rsidR="002123E1" w:rsidRPr="004F1EA4" w14:paraId="6A88BB89" w14:textId="53066A85" w:rsidTr="002123E1">
        <w:tc>
          <w:tcPr>
            <w:tcW w:w="5000" w:type="pct"/>
          </w:tcPr>
          <w:p w14:paraId="57F3716E" w14:textId="77777777" w:rsidR="002123E1" w:rsidRPr="004F1EA4" w:rsidRDefault="002123E1" w:rsidP="00944EEE">
            <w:pPr>
              <w:spacing w:line="480" w:lineRule="auto"/>
              <w:jc w:val="both"/>
              <w:rPr>
                <w:rFonts w:ascii="Arial" w:hAnsi="Arial" w:cs="Arial"/>
                <w:b/>
                <w:sz w:val="20"/>
                <w:szCs w:val="20"/>
                <w:u w:val="single"/>
                <w:lang w:val="en-GB"/>
              </w:rPr>
            </w:pPr>
          </w:p>
        </w:tc>
      </w:tr>
      <w:tr w:rsidR="002123E1" w:rsidRPr="004F1EA4" w14:paraId="45E1096A" w14:textId="55AED56F" w:rsidTr="002123E1">
        <w:trPr>
          <w:trHeight w:val="70"/>
        </w:trPr>
        <w:tc>
          <w:tcPr>
            <w:tcW w:w="5000" w:type="pct"/>
          </w:tcPr>
          <w:p w14:paraId="088FB147" w14:textId="609C66C2" w:rsidR="002123E1" w:rsidRPr="004F1EA4" w:rsidRDefault="002123E1" w:rsidP="00944EEE">
            <w:pPr>
              <w:spacing w:line="480" w:lineRule="auto"/>
              <w:jc w:val="both"/>
              <w:rPr>
                <w:rFonts w:ascii="Arial" w:hAnsi="Arial" w:cs="Arial"/>
                <w:sz w:val="20"/>
                <w:szCs w:val="20"/>
                <w:lang w:val="en-GB"/>
              </w:rPr>
            </w:pPr>
            <w:r w:rsidRPr="004F1EA4">
              <w:rPr>
                <w:rFonts w:ascii="Arial" w:hAnsi="Arial" w:cs="Arial"/>
                <w:sz w:val="20"/>
                <w:szCs w:val="20"/>
                <w:lang w:val="en-GB"/>
              </w:rPr>
              <w:lastRenderedPageBreak/>
              <w:t>As there is a higher incidence of infections in the elderly and in the diabetic populations in general, caution should be used when treating the elderly and patients with diabetes (see section 4.8).</w:t>
            </w:r>
          </w:p>
        </w:tc>
      </w:tr>
      <w:tr w:rsidR="002123E1" w:rsidRPr="004F1EA4" w14:paraId="3FA71821" w14:textId="1D971951" w:rsidTr="002123E1">
        <w:tc>
          <w:tcPr>
            <w:tcW w:w="5000" w:type="pct"/>
          </w:tcPr>
          <w:p w14:paraId="6DFEA513" w14:textId="77777777" w:rsidR="002123E1" w:rsidRPr="004F1EA4" w:rsidRDefault="002123E1" w:rsidP="00944EEE">
            <w:pPr>
              <w:spacing w:line="480" w:lineRule="auto"/>
              <w:jc w:val="both"/>
              <w:rPr>
                <w:rFonts w:ascii="Arial" w:hAnsi="Arial" w:cs="Arial"/>
                <w:b/>
                <w:sz w:val="20"/>
                <w:szCs w:val="20"/>
                <w:u w:val="single"/>
                <w:lang w:val="en-GB"/>
              </w:rPr>
            </w:pPr>
          </w:p>
        </w:tc>
      </w:tr>
      <w:tr w:rsidR="002123E1" w:rsidRPr="004F1EA4" w14:paraId="217B1326" w14:textId="12A67361" w:rsidTr="002123E1">
        <w:tc>
          <w:tcPr>
            <w:tcW w:w="5000" w:type="pct"/>
          </w:tcPr>
          <w:p w14:paraId="5145297E" w14:textId="206B35A7" w:rsidR="002123E1" w:rsidRPr="004F1EA4" w:rsidRDefault="002123E1" w:rsidP="00944EEE">
            <w:pPr>
              <w:spacing w:line="480" w:lineRule="auto"/>
              <w:jc w:val="both"/>
              <w:rPr>
                <w:rFonts w:ascii="Arial" w:hAnsi="Arial" w:cs="Arial"/>
                <w:sz w:val="20"/>
                <w:szCs w:val="20"/>
                <w:lang w:val="en-GB"/>
              </w:rPr>
            </w:pPr>
            <w:r w:rsidRPr="004F1EA4">
              <w:rPr>
                <w:rFonts w:ascii="Arial" w:hAnsi="Arial" w:cs="Arial"/>
                <w:sz w:val="20"/>
                <w:szCs w:val="20"/>
                <w:lang w:val="en-GB"/>
              </w:rPr>
              <w:t>Risk of infection may be higher with increasing degrees of lymphopenia and consideration should be given to lymphocyte counts when assessing individual patient risk of infection. Discontinuation and monitoring criteria for lymphopenia are discussed in section 4.2.</w:t>
            </w:r>
          </w:p>
        </w:tc>
      </w:tr>
      <w:tr w:rsidR="002123E1" w:rsidRPr="004F1EA4" w14:paraId="40782F55" w14:textId="5355B79C" w:rsidTr="002123E1">
        <w:tc>
          <w:tcPr>
            <w:tcW w:w="5000" w:type="pct"/>
          </w:tcPr>
          <w:p w14:paraId="018C7F64" w14:textId="77777777" w:rsidR="002123E1" w:rsidRPr="004F1EA4" w:rsidRDefault="002123E1" w:rsidP="00944EEE">
            <w:pPr>
              <w:spacing w:line="480" w:lineRule="auto"/>
              <w:jc w:val="both"/>
              <w:rPr>
                <w:rFonts w:ascii="Arial" w:hAnsi="Arial" w:cs="Arial"/>
                <w:b/>
                <w:sz w:val="20"/>
                <w:szCs w:val="20"/>
                <w:u w:val="single"/>
                <w:lang w:val="en-GB"/>
              </w:rPr>
            </w:pPr>
          </w:p>
        </w:tc>
      </w:tr>
      <w:tr w:rsidR="002123E1" w:rsidRPr="004F1EA4" w14:paraId="4C38A4FB" w14:textId="17785253" w:rsidTr="002123E1">
        <w:tc>
          <w:tcPr>
            <w:tcW w:w="5000" w:type="pct"/>
          </w:tcPr>
          <w:p w14:paraId="2761E729" w14:textId="2C24B662" w:rsidR="002123E1" w:rsidRPr="004F1EA4" w:rsidRDefault="002123E1" w:rsidP="00944EEE">
            <w:pPr>
              <w:spacing w:line="480" w:lineRule="auto"/>
              <w:jc w:val="both"/>
              <w:rPr>
                <w:rFonts w:ascii="Arial" w:hAnsi="Arial" w:cs="Arial"/>
                <w:i/>
                <w:sz w:val="20"/>
                <w:szCs w:val="20"/>
                <w:lang w:val="en-GB"/>
              </w:rPr>
            </w:pPr>
            <w:r w:rsidRPr="004F1EA4">
              <w:rPr>
                <w:rFonts w:ascii="Arial" w:hAnsi="Arial" w:cs="Arial"/>
                <w:i/>
                <w:sz w:val="20"/>
                <w:szCs w:val="20"/>
                <w:lang w:val="en-GB"/>
              </w:rPr>
              <w:t>Tuberculosis</w:t>
            </w:r>
          </w:p>
        </w:tc>
      </w:tr>
      <w:tr w:rsidR="002123E1" w:rsidRPr="004F1EA4" w14:paraId="00FE9590" w14:textId="20A5D234" w:rsidTr="002123E1">
        <w:trPr>
          <w:trHeight w:val="1763"/>
        </w:trPr>
        <w:tc>
          <w:tcPr>
            <w:tcW w:w="5000" w:type="pct"/>
          </w:tcPr>
          <w:p w14:paraId="1B26772E" w14:textId="77777777" w:rsidR="002123E1" w:rsidRPr="004F1EA4" w:rsidRDefault="002123E1" w:rsidP="00547BD4">
            <w:pPr>
              <w:spacing w:line="480" w:lineRule="auto"/>
              <w:jc w:val="both"/>
              <w:rPr>
                <w:rFonts w:ascii="Arial" w:hAnsi="Arial" w:cs="Arial"/>
                <w:sz w:val="20"/>
                <w:szCs w:val="20"/>
                <w:lang w:val="en-GB"/>
              </w:rPr>
            </w:pPr>
            <w:r w:rsidRPr="004F1EA4">
              <w:rPr>
                <w:rFonts w:ascii="Arial" w:hAnsi="Arial" w:cs="Arial"/>
                <w:sz w:val="20"/>
                <w:szCs w:val="20"/>
                <w:lang w:val="en-GB"/>
              </w:rPr>
              <w:t>The risks and benefits of treatment should be considered prior to initiating XELJANZ in patients:</w:t>
            </w:r>
          </w:p>
          <w:p w14:paraId="2DB6F102" w14:textId="55769B2D" w:rsidR="002123E1" w:rsidRPr="00C833E5" w:rsidRDefault="002123E1" w:rsidP="00B538A4">
            <w:pPr>
              <w:pStyle w:val="ListParagraph"/>
              <w:numPr>
                <w:ilvl w:val="0"/>
                <w:numId w:val="12"/>
              </w:numPr>
              <w:spacing w:line="480" w:lineRule="auto"/>
              <w:jc w:val="both"/>
              <w:rPr>
                <w:rFonts w:ascii="Arial" w:hAnsi="Arial" w:cs="Arial"/>
                <w:sz w:val="20"/>
                <w:szCs w:val="20"/>
                <w:lang w:val="en-GB"/>
              </w:rPr>
            </w:pPr>
            <w:r w:rsidRPr="00C833E5">
              <w:rPr>
                <w:rFonts w:ascii="Arial" w:hAnsi="Arial" w:cs="Arial"/>
                <w:sz w:val="20"/>
                <w:szCs w:val="20"/>
                <w:lang w:val="en-GB"/>
              </w:rPr>
              <w:t xml:space="preserve">who have been exposed to </w:t>
            </w:r>
            <w:proofErr w:type="gramStart"/>
            <w:r w:rsidRPr="00C833E5">
              <w:rPr>
                <w:rFonts w:ascii="Arial" w:hAnsi="Arial" w:cs="Arial"/>
                <w:sz w:val="20"/>
                <w:szCs w:val="20"/>
                <w:lang w:val="en-GB"/>
              </w:rPr>
              <w:t>TB</w:t>
            </w:r>
            <w:proofErr w:type="gramEnd"/>
          </w:p>
          <w:p w14:paraId="5D248CE3" w14:textId="2811DC77" w:rsidR="002123E1" w:rsidRPr="00C833E5" w:rsidRDefault="002123E1" w:rsidP="00B538A4">
            <w:pPr>
              <w:pStyle w:val="ListParagraph"/>
              <w:numPr>
                <w:ilvl w:val="0"/>
                <w:numId w:val="12"/>
              </w:numPr>
              <w:spacing w:line="480" w:lineRule="auto"/>
              <w:jc w:val="both"/>
              <w:rPr>
                <w:rFonts w:ascii="Arial" w:hAnsi="Arial" w:cs="Arial"/>
                <w:sz w:val="20"/>
                <w:szCs w:val="20"/>
                <w:lang w:val="en-GB"/>
              </w:rPr>
            </w:pPr>
            <w:r w:rsidRPr="00C833E5">
              <w:rPr>
                <w:rFonts w:ascii="Arial" w:hAnsi="Arial" w:cs="Arial"/>
                <w:sz w:val="20"/>
                <w:szCs w:val="20"/>
                <w:lang w:val="en-GB"/>
              </w:rPr>
              <w:t>who have resided or travelled in areas of endemic TB</w:t>
            </w:r>
          </w:p>
        </w:tc>
      </w:tr>
      <w:tr w:rsidR="002123E1" w:rsidRPr="004F1EA4" w14:paraId="0247AD8F" w14:textId="41FEF034" w:rsidTr="002123E1">
        <w:tc>
          <w:tcPr>
            <w:tcW w:w="5000" w:type="pct"/>
          </w:tcPr>
          <w:p w14:paraId="5CCE3B86" w14:textId="5067FF79" w:rsidR="002123E1" w:rsidRPr="004F1EA4" w:rsidRDefault="002123E1" w:rsidP="00547BD4">
            <w:pPr>
              <w:spacing w:line="480" w:lineRule="auto"/>
              <w:jc w:val="both"/>
              <w:rPr>
                <w:rFonts w:ascii="Arial" w:hAnsi="Arial" w:cs="Arial"/>
                <w:sz w:val="20"/>
                <w:szCs w:val="20"/>
                <w:lang w:val="en-GB"/>
              </w:rPr>
            </w:pPr>
            <w:r w:rsidRPr="004F1EA4">
              <w:rPr>
                <w:rFonts w:ascii="Arial" w:hAnsi="Arial" w:cs="Arial"/>
                <w:sz w:val="20"/>
                <w:szCs w:val="20"/>
                <w:lang w:val="en-GB"/>
              </w:rPr>
              <w:t>Patients should be evaluated and tested for latent or active infection prior to and per applicable guidelines during administration of XELJANZ.</w:t>
            </w:r>
          </w:p>
        </w:tc>
      </w:tr>
      <w:tr w:rsidR="002123E1" w:rsidRPr="004F1EA4" w14:paraId="19E7316E" w14:textId="1791FBAE" w:rsidTr="002123E1">
        <w:tc>
          <w:tcPr>
            <w:tcW w:w="5000" w:type="pct"/>
          </w:tcPr>
          <w:p w14:paraId="4E9A0295" w14:textId="77777777" w:rsidR="002123E1" w:rsidRPr="004F1EA4" w:rsidRDefault="002123E1" w:rsidP="00547BD4">
            <w:pPr>
              <w:spacing w:line="480" w:lineRule="auto"/>
              <w:jc w:val="both"/>
              <w:rPr>
                <w:rFonts w:ascii="Arial" w:hAnsi="Arial" w:cs="Arial"/>
                <w:b/>
                <w:sz w:val="20"/>
                <w:szCs w:val="20"/>
                <w:u w:val="single"/>
                <w:lang w:val="en-GB"/>
              </w:rPr>
            </w:pPr>
          </w:p>
        </w:tc>
      </w:tr>
      <w:tr w:rsidR="002123E1" w:rsidRPr="004F1EA4" w14:paraId="0BD2F52A" w14:textId="4A3188B5" w:rsidTr="002123E1">
        <w:tc>
          <w:tcPr>
            <w:tcW w:w="5000" w:type="pct"/>
          </w:tcPr>
          <w:p w14:paraId="5FE834E6" w14:textId="512ECEA3" w:rsidR="002123E1" w:rsidRPr="004F1EA4" w:rsidRDefault="002123E1" w:rsidP="00594697">
            <w:pPr>
              <w:spacing w:line="480" w:lineRule="auto"/>
              <w:jc w:val="both"/>
              <w:rPr>
                <w:rFonts w:ascii="Arial" w:hAnsi="Arial" w:cs="Arial"/>
                <w:sz w:val="20"/>
                <w:szCs w:val="20"/>
                <w:lang w:val="en-GB"/>
              </w:rPr>
            </w:pPr>
            <w:r w:rsidRPr="004F1EA4">
              <w:rPr>
                <w:rFonts w:ascii="Arial" w:hAnsi="Arial" w:cs="Arial"/>
                <w:sz w:val="20"/>
                <w:szCs w:val="20"/>
                <w:lang w:val="en-GB"/>
              </w:rPr>
              <w:t>Patients with latent TB, who test positive, should be treated with standard antimycobacterial therapy before administering XELJANZ.</w:t>
            </w:r>
          </w:p>
        </w:tc>
      </w:tr>
      <w:tr w:rsidR="002123E1" w:rsidRPr="004F1EA4" w14:paraId="36FAA337" w14:textId="32F909BC" w:rsidTr="002123E1">
        <w:tc>
          <w:tcPr>
            <w:tcW w:w="5000" w:type="pct"/>
          </w:tcPr>
          <w:p w14:paraId="16A83111" w14:textId="77777777" w:rsidR="002123E1" w:rsidRPr="004F1EA4" w:rsidRDefault="002123E1" w:rsidP="00594697">
            <w:pPr>
              <w:spacing w:line="480" w:lineRule="auto"/>
              <w:jc w:val="both"/>
              <w:rPr>
                <w:rFonts w:ascii="Arial" w:hAnsi="Arial" w:cs="Arial"/>
                <w:b/>
                <w:sz w:val="20"/>
                <w:szCs w:val="20"/>
                <w:u w:val="single"/>
                <w:lang w:val="en-GB"/>
              </w:rPr>
            </w:pPr>
          </w:p>
        </w:tc>
      </w:tr>
      <w:tr w:rsidR="002123E1" w:rsidRPr="004F1EA4" w14:paraId="67D963CE" w14:textId="276956A1" w:rsidTr="002123E1">
        <w:tc>
          <w:tcPr>
            <w:tcW w:w="5000" w:type="pct"/>
          </w:tcPr>
          <w:p w14:paraId="41C25E67" w14:textId="12AD2351" w:rsidR="002123E1" w:rsidRPr="004F1EA4" w:rsidRDefault="002123E1" w:rsidP="00594697">
            <w:pPr>
              <w:spacing w:line="480" w:lineRule="auto"/>
              <w:jc w:val="both"/>
              <w:rPr>
                <w:rFonts w:ascii="Arial" w:hAnsi="Arial" w:cs="Arial"/>
                <w:sz w:val="20"/>
                <w:szCs w:val="20"/>
                <w:highlight w:val="yellow"/>
                <w:lang w:val="en-GB"/>
              </w:rPr>
            </w:pPr>
            <w:r w:rsidRPr="00F65BBF">
              <w:rPr>
                <w:rFonts w:ascii="Arial" w:hAnsi="Arial" w:cs="Arial"/>
                <w:sz w:val="20"/>
                <w:szCs w:val="20"/>
                <w:lang w:val="en-GB"/>
              </w:rPr>
              <w:t>Anti-tuberculosis therapy should also be considered prior to administration of XELJANZ in patients who test negative for TB but who have a past history of latent or active TB and where an adequate course of treatment cannot be confirmed; or those who test negative but who have risk factors for TB infection. Consultation with a healthcare professional with expertise in the treatment of TB is recommended to aid in the decision about whether initiating anti-tuberculosis therapy is appropriate for an individual patient. Patients should be closely monitored for the development of signs and symptoms of TB, including patients who tested negative for latent TB infection prior to initiating therapy.</w:t>
            </w:r>
          </w:p>
        </w:tc>
      </w:tr>
      <w:tr w:rsidR="002123E1" w:rsidRPr="004F1EA4" w14:paraId="5D681C24" w14:textId="59E595A5" w:rsidTr="002123E1">
        <w:tc>
          <w:tcPr>
            <w:tcW w:w="5000" w:type="pct"/>
          </w:tcPr>
          <w:p w14:paraId="768ED1F7" w14:textId="3D39D3F2" w:rsidR="002123E1" w:rsidRPr="004F1EA4" w:rsidRDefault="002123E1" w:rsidP="00594697">
            <w:pPr>
              <w:keepNext/>
              <w:widowControl w:val="0"/>
              <w:spacing w:line="480" w:lineRule="auto"/>
              <w:jc w:val="both"/>
              <w:rPr>
                <w:rFonts w:ascii="Arial" w:hAnsi="Arial" w:cs="Arial"/>
                <w:i/>
                <w:sz w:val="20"/>
                <w:szCs w:val="20"/>
                <w:lang w:val="en-GB"/>
              </w:rPr>
            </w:pPr>
            <w:r w:rsidRPr="004F1EA4">
              <w:rPr>
                <w:rFonts w:ascii="Arial" w:hAnsi="Arial" w:cs="Arial"/>
                <w:i/>
                <w:sz w:val="20"/>
                <w:szCs w:val="20"/>
                <w:lang w:val="en-GB"/>
              </w:rPr>
              <w:t>Viral reactivation</w:t>
            </w:r>
          </w:p>
        </w:tc>
      </w:tr>
      <w:tr w:rsidR="002123E1" w:rsidRPr="004F1EA4" w14:paraId="67E795C6" w14:textId="4D7B5095" w:rsidTr="002123E1">
        <w:tc>
          <w:tcPr>
            <w:tcW w:w="5000" w:type="pct"/>
          </w:tcPr>
          <w:p w14:paraId="5C6DAFD2" w14:textId="77777777" w:rsidR="002123E1" w:rsidRPr="004F1EA4" w:rsidRDefault="002123E1" w:rsidP="003852E7">
            <w:pPr>
              <w:spacing w:line="480" w:lineRule="auto"/>
              <w:jc w:val="both"/>
              <w:rPr>
                <w:rFonts w:ascii="Arial" w:hAnsi="Arial" w:cs="Arial"/>
                <w:bCs/>
                <w:sz w:val="20"/>
                <w:szCs w:val="20"/>
                <w:lang w:val="en-GB"/>
              </w:rPr>
            </w:pPr>
            <w:r w:rsidRPr="004F1EA4">
              <w:rPr>
                <w:rFonts w:ascii="Arial" w:hAnsi="Arial" w:cs="Arial"/>
                <w:bCs/>
                <w:sz w:val="20"/>
                <w:szCs w:val="20"/>
                <w:lang w:val="en-GB"/>
              </w:rPr>
              <w:t>Viral reactivation and cases of herpes virus reactivation (e.g., herpes zoster) were observed in clinical studies with XELJANZ. In patients treated with XELJANZ, the incidence of herpes zoster appears to be increased in:</w:t>
            </w:r>
          </w:p>
          <w:p w14:paraId="2E15D8BA" w14:textId="7DF63CC8" w:rsidR="002123E1" w:rsidRPr="00C833E5" w:rsidRDefault="002123E1" w:rsidP="00B538A4">
            <w:pPr>
              <w:pStyle w:val="ListParagraph"/>
              <w:numPr>
                <w:ilvl w:val="0"/>
                <w:numId w:val="13"/>
              </w:numPr>
              <w:spacing w:line="480" w:lineRule="auto"/>
              <w:jc w:val="both"/>
              <w:rPr>
                <w:rFonts w:ascii="Arial" w:hAnsi="Arial" w:cs="Arial"/>
                <w:bCs/>
                <w:sz w:val="20"/>
                <w:szCs w:val="20"/>
                <w:lang w:val="en-GB"/>
              </w:rPr>
            </w:pPr>
            <w:r w:rsidRPr="00C833E5">
              <w:rPr>
                <w:rFonts w:ascii="Arial" w:hAnsi="Arial" w:cs="Arial"/>
                <w:bCs/>
                <w:sz w:val="20"/>
                <w:szCs w:val="20"/>
                <w:lang w:val="en-GB"/>
              </w:rPr>
              <w:lastRenderedPageBreak/>
              <w:t>Patients with an ALC less than 1 000 cells/mm</w:t>
            </w:r>
            <w:r w:rsidRPr="00C833E5">
              <w:rPr>
                <w:rFonts w:ascii="Arial" w:hAnsi="Arial" w:cs="Arial"/>
                <w:bCs/>
                <w:sz w:val="20"/>
                <w:szCs w:val="20"/>
                <w:vertAlign w:val="superscript"/>
                <w:lang w:val="en-GB"/>
              </w:rPr>
              <w:t>3</w:t>
            </w:r>
            <w:r w:rsidRPr="00C833E5">
              <w:rPr>
                <w:rFonts w:ascii="Arial" w:hAnsi="Arial" w:cs="Arial"/>
                <w:bCs/>
                <w:sz w:val="20"/>
                <w:szCs w:val="20"/>
                <w:lang w:val="en-GB"/>
              </w:rPr>
              <w:t xml:space="preserve"> (see section 4.2)</w:t>
            </w:r>
          </w:p>
          <w:p w14:paraId="17282952" w14:textId="6B5A6558" w:rsidR="002123E1" w:rsidRPr="00C833E5" w:rsidRDefault="002123E1" w:rsidP="00B538A4">
            <w:pPr>
              <w:pStyle w:val="ListParagraph"/>
              <w:numPr>
                <w:ilvl w:val="0"/>
                <w:numId w:val="13"/>
              </w:numPr>
              <w:spacing w:line="480" w:lineRule="auto"/>
              <w:jc w:val="both"/>
              <w:rPr>
                <w:rFonts w:ascii="Arial" w:hAnsi="Arial" w:cs="Arial"/>
                <w:bCs/>
                <w:sz w:val="20"/>
                <w:szCs w:val="20"/>
                <w:lang w:val="en-GB"/>
              </w:rPr>
            </w:pPr>
            <w:r w:rsidRPr="00C833E5">
              <w:rPr>
                <w:rFonts w:ascii="Arial" w:hAnsi="Arial" w:cs="Arial"/>
                <w:bCs/>
                <w:sz w:val="20"/>
                <w:szCs w:val="20"/>
                <w:lang w:val="en-GB"/>
              </w:rPr>
              <w:t>Patients with long standing RA who have previously received two or</w:t>
            </w:r>
            <w:r>
              <w:rPr>
                <w:rFonts w:ascii="Arial" w:hAnsi="Arial" w:cs="Arial"/>
                <w:bCs/>
                <w:sz w:val="20"/>
                <w:szCs w:val="20"/>
                <w:lang w:val="en-GB"/>
              </w:rPr>
              <w:t xml:space="preserve"> </w:t>
            </w:r>
            <w:r w:rsidRPr="00C833E5">
              <w:rPr>
                <w:rFonts w:ascii="Arial" w:hAnsi="Arial" w:cs="Arial"/>
                <w:bCs/>
                <w:sz w:val="20"/>
                <w:szCs w:val="20"/>
                <w:lang w:val="en-GB"/>
              </w:rPr>
              <w:t>more biological disease modifying antirheumatic drugs (DMARDs)</w:t>
            </w:r>
          </w:p>
          <w:p w14:paraId="33D4FAA1" w14:textId="24833D59" w:rsidR="002123E1" w:rsidRPr="00C833E5" w:rsidRDefault="002123E1" w:rsidP="00B538A4">
            <w:pPr>
              <w:pStyle w:val="ListParagraph"/>
              <w:numPr>
                <w:ilvl w:val="0"/>
                <w:numId w:val="13"/>
              </w:numPr>
              <w:spacing w:line="480" w:lineRule="auto"/>
              <w:jc w:val="both"/>
              <w:rPr>
                <w:rFonts w:ascii="Arial" w:hAnsi="Arial" w:cs="Arial"/>
                <w:sz w:val="20"/>
                <w:szCs w:val="20"/>
                <w:lang w:val="en-GB"/>
              </w:rPr>
            </w:pPr>
            <w:r w:rsidRPr="00C833E5">
              <w:rPr>
                <w:rFonts w:ascii="Arial" w:hAnsi="Arial" w:cs="Arial"/>
                <w:bCs/>
                <w:sz w:val="20"/>
                <w:szCs w:val="20"/>
                <w:lang w:val="en-GB"/>
              </w:rPr>
              <w:t>Patients treated with 10 mg twice daily</w:t>
            </w:r>
          </w:p>
        </w:tc>
      </w:tr>
      <w:tr w:rsidR="002123E1" w:rsidRPr="004F1EA4" w14:paraId="6915974B" w14:textId="41271225" w:rsidTr="002123E1">
        <w:tc>
          <w:tcPr>
            <w:tcW w:w="5000" w:type="pct"/>
          </w:tcPr>
          <w:p w14:paraId="6FD1F6E8" w14:textId="77777777" w:rsidR="002123E1" w:rsidRPr="004F1EA4" w:rsidRDefault="002123E1" w:rsidP="003852E7">
            <w:pPr>
              <w:spacing w:line="480" w:lineRule="auto"/>
              <w:jc w:val="both"/>
              <w:rPr>
                <w:rFonts w:ascii="Arial" w:hAnsi="Arial" w:cs="Arial"/>
                <w:sz w:val="20"/>
                <w:szCs w:val="20"/>
                <w:lang w:val="en-GB"/>
              </w:rPr>
            </w:pPr>
          </w:p>
        </w:tc>
      </w:tr>
      <w:tr w:rsidR="002123E1" w:rsidRPr="004F1EA4" w14:paraId="4BE6D8C1" w14:textId="16F84EA5" w:rsidTr="002123E1">
        <w:trPr>
          <w:trHeight w:val="1997"/>
        </w:trPr>
        <w:tc>
          <w:tcPr>
            <w:tcW w:w="5000" w:type="pct"/>
          </w:tcPr>
          <w:p w14:paraId="568F031E" w14:textId="752AAB63" w:rsidR="002123E1" w:rsidRPr="004F1EA4" w:rsidRDefault="002123E1" w:rsidP="003852E7">
            <w:pPr>
              <w:keepNext/>
              <w:spacing w:line="480" w:lineRule="auto"/>
              <w:jc w:val="both"/>
              <w:rPr>
                <w:rFonts w:ascii="Arial" w:hAnsi="Arial" w:cs="Arial"/>
                <w:sz w:val="20"/>
                <w:szCs w:val="20"/>
                <w:lang w:eastAsia="en-GB"/>
              </w:rPr>
            </w:pPr>
            <w:r w:rsidRPr="004F1EA4">
              <w:rPr>
                <w:rFonts w:ascii="Arial" w:hAnsi="Arial" w:cs="Arial"/>
                <w:sz w:val="20"/>
                <w:szCs w:val="20"/>
              </w:rPr>
              <w:t xml:space="preserve">The impact of </w:t>
            </w:r>
            <w:r w:rsidRPr="004F1EA4">
              <w:rPr>
                <w:rFonts w:ascii="Arial" w:hAnsi="Arial" w:cs="Arial"/>
                <w:iCs/>
                <w:sz w:val="20"/>
                <w:szCs w:val="20"/>
              </w:rPr>
              <w:t>XELJANZ</w:t>
            </w:r>
            <w:r w:rsidRPr="004F1EA4" w:rsidDel="00D2232B">
              <w:rPr>
                <w:rFonts w:ascii="Arial" w:hAnsi="Arial" w:cs="Arial"/>
                <w:iCs/>
                <w:sz w:val="20"/>
                <w:szCs w:val="20"/>
              </w:rPr>
              <w:t xml:space="preserve"> </w:t>
            </w:r>
            <w:r w:rsidRPr="004F1EA4">
              <w:rPr>
                <w:rFonts w:ascii="Arial" w:hAnsi="Arial" w:cs="Arial"/>
                <w:sz w:val="20"/>
                <w:szCs w:val="20"/>
              </w:rPr>
              <w:t xml:space="preserve">on chronic viral hepatitis reactivation is unknown. Patients screened positive for hepatitis B or C were excluded from clinical trials. </w:t>
            </w:r>
            <w:r w:rsidRPr="004F1EA4">
              <w:rPr>
                <w:rFonts w:ascii="Arial" w:hAnsi="Arial" w:cs="Arial"/>
                <w:sz w:val="20"/>
                <w:szCs w:val="20"/>
                <w:lang w:eastAsia="en-GB"/>
              </w:rPr>
              <w:t>Screening for viral hepatitis should be performed in accordance with clinical guidelines before starting therapy with XELJANZ.</w:t>
            </w:r>
          </w:p>
        </w:tc>
      </w:tr>
      <w:tr w:rsidR="002123E1" w:rsidRPr="004F1EA4" w14:paraId="4453762C" w14:textId="71E10FAC" w:rsidTr="002123E1">
        <w:tc>
          <w:tcPr>
            <w:tcW w:w="5000" w:type="pct"/>
          </w:tcPr>
          <w:p w14:paraId="231BC111" w14:textId="76BF0ECF" w:rsidR="002123E1" w:rsidRPr="004F1EA4" w:rsidRDefault="002123E1" w:rsidP="003852E7">
            <w:pPr>
              <w:spacing w:line="480" w:lineRule="auto"/>
              <w:jc w:val="both"/>
              <w:rPr>
                <w:rFonts w:ascii="Arial" w:hAnsi="Arial" w:cs="Arial"/>
                <w:bCs/>
                <w:i/>
                <w:sz w:val="20"/>
                <w:szCs w:val="20"/>
                <w:lang w:val="en-GB"/>
              </w:rPr>
            </w:pPr>
            <w:r w:rsidRPr="004F1EA4">
              <w:rPr>
                <w:rFonts w:ascii="Arial" w:hAnsi="Arial" w:cs="Arial"/>
                <w:bCs/>
                <w:i/>
                <w:sz w:val="20"/>
                <w:szCs w:val="20"/>
                <w:lang w:val="en-GB"/>
              </w:rPr>
              <w:t>Malignancy and lymphoproliferative disorder</w:t>
            </w:r>
          </w:p>
        </w:tc>
      </w:tr>
      <w:tr w:rsidR="002123E1" w:rsidRPr="004F1EA4" w14:paraId="77BFF669" w14:textId="7D65DB4D" w:rsidTr="002123E1">
        <w:tc>
          <w:tcPr>
            <w:tcW w:w="5000" w:type="pct"/>
          </w:tcPr>
          <w:p w14:paraId="6EF83614" w14:textId="13FF5841" w:rsidR="002123E1" w:rsidRPr="004F1EA4" w:rsidRDefault="002123E1" w:rsidP="003852E7">
            <w:pPr>
              <w:spacing w:line="480" w:lineRule="auto"/>
              <w:jc w:val="both"/>
              <w:rPr>
                <w:rFonts w:ascii="Arial" w:hAnsi="Arial" w:cs="Arial"/>
                <w:bCs/>
                <w:sz w:val="20"/>
                <w:szCs w:val="20"/>
                <w:lang w:val="en-GB"/>
              </w:rPr>
            </w:pPr>
            <w:r w:rsidRPr="004F1EA4">
              <w:rPr>
                <w:rFonts w:ascii="Arial" w:hAnsi="Arial" w:cs="Arial"/>
                <w:bCs/>
                <w:sz w:val="20"/>
                <w:szCs w:val="20"/>
                <w:lang w:val="en-GB"/>
              </w:rPr>
              <w:t>The risks and benefits of XELJANZ treatment should be considered prior to initiating therapy in patients with current or a history of malignancy other than a successfully treated non-melanoma skin cancer (NMSC) or when considering continuing XELJANZ in patients who develop a malignancy. The possibility exists for XELJANZ to affect host defences against malignancies.</w:t>
            </w:r>
          </w:p>
        </w:tc>
      </w:tr>
      <w:tr w:rsidR="002123E1" w:rsidRPr="004F1EA4" w14:paraId="1691B79B" w14:textId="2280D7EC" w:rsidTr="002123E1">
        <w:tc>
          <w:tcPr>
            <w:tcW w:w="5000" w:type="pct"/>
          </w:tcPr>
          <w:p w14:paraId="7FB1C6B2" w14:textId="77777777" w:rsidR="002123E1" w:rsidRPr="004F1EA4" w:rsidRDefault="002123E1" w:rsidP="003852E7">
            <w:pPr>
              <w:spacing w:line="480" w:lineRule="auto"/>
              <w:jc w:val="both"/>
              <w:rPr>
                <w:rFonts w:ascii="Arial" w:hAnsi="Arial" w:cs="Arial"/>
                <w:b/>
                <w:bCs/>
                <w:sz w:val="20"/>
                <w:szCs w:val="20"/>
                <w:lang w:val="en-GB"/>
              </w:rPr>
            </w:pPr>
          </w:p>
        </w:tc>
      </w:tr>
      <w:tr w:rsidR="002123E1" w:rsidRPr="004F1EA4" w14:paraId="3EB25715" w14:textId="424A47DC" w:rsidTr="002123E1">
        <w:tc>
          <w:tcPr>
            <w:tcW w:w="5000" w:type="pct"/>
          </w:tcPr>
          <w:p w14:paraId="2173DDFF" w14:textId="3F93F282" w:rsidR="002123E1" w:rsidRPr="004F1EA4" w:rsidRDefault="002123E1" w:rsidP="003852E7">
            <w:pPr>
              <w:spacing w:line="480" w:lineRule="auto"/>
              <w:jc w:val="both"/>
              <w:rPr>
                <w:rFonts w:ascii="Arial" w:hAnsi="Arial" w:cs="Arial"/>
                <w:bCs/>
                <w:sz w:val="20"/>
                <w:szCs w:val="20"/>
                <w:lang w:val="en-GB"/>
              </w:rPr>
            </w:pPr>
            <w:r w:rsidRPr="004F1EA4">
              <w:rPr>
                <w:rFonts w:ascii="Arial" w:hAnsi="Arial" w:cs="Arial"/>
                <w:bCs/>
                <w:sz w:val="20"/>
                <w:szCs w:val="20"/>
                <w:lang w:val="en-GB"/>
              </w:rPr>
              <w:t>Lymphomas have been observed in patients treated with XELJANZ. Patients with RA, particularly those with highly active disease may be at a higher risk (up to several-fold) than the general population for the development of lymphoma. The effect of XELJANZ on the development of lymphoma is uncertain.</w:t>
            </w:r>
          </w:p>
        </w:tc>
      </w:tr>
      <w:tr w:rsidR="002123E1" w:rsidRPr="004F1EA4" w14:paraId="45B35DF4" w14:textId="235B18F9" w:rsidTr="002123E1">
        <w:tc>
          <w:tcPr>
            <w:tcW w:w="5000" w:type="pct"/>
          </w:tcPr>
          <w:p w14:paraId="1EB32C21" w14:textId="77777777" w:rsidR="002123E1" w:rsidRPr="004F1EA4" w:rsidRDefault="002123E1" w:rsidP="003852E7">
            <w:pPr>
              <w:spacing w:line="480" w:lineRule="auto"/>
              <w:jc w:val="both"/>
              <w:rPr>
                <w:rFonts w:ascii="Arial" w:hAnsi="Arial" w:cs="Arial"/>
                <w:b/>
                <w:bCs/>
                <w:sz w:val="20"/>
                <w:szCs w:val="20"/>
                <w:lang w:val="en-GB"/>
              </w:rPr>
            </w:pPr>
          </w:p>
        </w:tc>
      </w:tr>
      <w:tr w:rsidR="002123E1" w:rsidRPr="004F1EA4" w14:paraId="01B6D9DF" w14:textId="5436AF8E" w:rsidTr="002123E1">
        <w:tc>
          <w:tcPr>
            <w:tcW w:w="5000" w:type="pct"/>
          </w:tcPr>
          <w:p w14:paraId="5A90C440" w14:textId="2567412E" w:rsidR="002123E1" w:rsidRPr="004F1EA4" w:rsidRDefault="002123E1" w:rsidP="003852E7">
            <w:pPr>
              <w:spacing w:line="480" w:lineRule="auto"/>
              <w:jc w:val="both"/>
              <w:rPr>
                <w:rFonts w:ascii="Arial" w:hAnsi="Arial" w:cs="Arial"/>
                <w:bCs/>
                <w:sz w:val="20"/>
                <w:szCs w:val="20"/>
                <w:lang w:val="en-GB"/>
              </w:rPr>
            </w:pPr>
            <w:r w:rsidRPr="004F1EA4">
              <w:rPr>
                <w:rFonts w:ascii="Arial" w:hAnsi="Arial" w:cs="Arial"/>
                <w:bCs/>
                <w:sz w:val="20"/>
                <w:szCs w:val="20"/>
                <w:lang w:val="en-GB"/>
              </w:rPr>
              <w:t>Other malignancies were observed in clinical studies and the post-marketing setting, including, but not limited to, lung cancer, breast cancer, melanoma, prostate cancer, and pancreatic cancer.</w:t>
            </w:r>
          </w:p>
        </w:tc>
      </w:tr>
      <w:tr w:rsidR="002123E1" w:rsidRPr="004F1EA4" w14:paraId="538A09F2" w14:textId="18B9322F" w:rsidTr="002123E1">
        <w:tc>
          <w:tcPr>
            <w:tcW w:w="5000" w:type="pct"/>
          </w:tcPr>
          <w:p w14:paraId="139237A3" w14:textId="77777777" w:rsidR="002123E1" w:rsidRPr="004F1EA4" w:rsidRDefault="002123E1" w:rsidP="003852E7">
            <w:pPr>
              <w:spacing w:line="480" w:lineRule="auto"/>
              <w:jc w:val="both"/>
              <w:rPr>
                <w:rFonts w:ascii="Arial" w:hAnsi="Arial" w:cs="Arial"/>
                <w:b/>
                <w:bCs/>
                <w:sz w:val="20"/>
                <w:szCs w:val="20"/>
                <w:lang w:val="en-GB"/>
              </w:rPr>
            </w:pPr>
          </w:p>
        </w:tc>
      </w:tr>
      <w:tr w:rsidR="002123E1" w:rsidRPr="004F1EA4" w14:paraId="3724A10A" w14:textId="51AEB111" w:rsidTr="002123E1">
        <w:tc>
          <w:tcPr>
            <w:tcW w:w="5000" w:type="pct"/>
          </w:tcPr>
          <w:p w14:paraId="7FFBB943" w14:textId="270E3C71" w:rsidR="002123E1" w:rsidRPr="004F1EA4" w:rsidRDefault="002123E1" w:rsidP="003852E7">
            <w:pPr>
              <w:spacing w:line="480" w:lineRule="auto"/>
              <w:jc w:val="both"/>
              <w:rPr>
                <w:rFonts w:ascii="Arial" w:hAnsi="Arial" w:cs="Arial"/>
                <w:bCs/>
                <w:sz w:val="20"/>
                <w:szCs w:val="20"/>
                <w:lang w:val="en-GB"/>
              </w:rPr>
            </w:pPr>
            <w:r w:rsidRPr="004F1EA4">
              <w:rPr>
                <w:rFonts w:ascii="Arial" w:hAnsi="Arial" w:cs="Arial"/>
                <w:bCs/>
                <w:sz w:val="20"/>
                <w:szCs w:val="20"/>
                <w:lang w:val="en-GB"/>
              </w:rPr>
              <w:t>The effect of XELJANZ on the development and course of malignancies is not known.</w:t>
            </w:r>
          </w:p>
        </w:tc>
      </w:tr>
      <w:tr w:rsidR="002123E1" w:rsidRPr="004F1EA4" w14:paraId="763AED79" w14:textId="619CBDC3" w:rsidTr="002123E1">
        <w:tc>
          <w:tcPr>
            <w:tcW w:w="5000" w:type="pct"/>
          </w:tcPr>
          <w:p w14:paraId="05CEB5C5" w14:textId="77777777" w:rsidR="002123E1" w:rsidRPr="004F1EA4" w:rsidRDefault="002123E1" w:rsidP="003852E7">
            <w:pPr>
              <w:spacing w:line="480" w:lineRule="auto"/>
              <w:jc w:val="both"/>
              <w:rPr>
                <w:rFonts w:ascii="Arial" w:hAnsi="Arial" w:cs="Arial"/>
                <w:b/>
                <w:bCs/>
                <w:sz w:val="20"/>
                <w:szCs w:val="20"/>
                <w:lang w:val="en-GB"/>
              </w:rPr>
            </w:pPr>
          </w:p>
        </w:tc>
      </w:tr>
      <w:tr w:rsidR="002123E1" w:rsidRPr="004F1EA4" w14:paraId="386BE8AF" w14:textId="1A7AA86F" w:rsidTr="002123E1">
        <w:tc>
          <w:tcPr>
            <w:tcW w:w="5000" w:type="pct"/>
          </w:tcPr>
          <w:p w14:paraId="3A330218" w14:textId="3B6CEFFB" w:rsidR="002123E1" w:rsidRPr="004F1EA4" w:rsidRDefault="002123E1" w:rsidP="003852E7">
            <w:pPr>
              <w:spacing w:line="480" w:lineRule="auto"/>
              <w:jc w:val="both"/>
              <w:rPr>
                <w:rFonts w:ascii="Arial" w:hAnsi="Arial" w:cs="Arial"/>
                <w:bCs/>
                <w:i/>
                <w:sz w:val="20"/>
                <w:szCs w:val="20"/>
                <w:lang w:val="en-GB"/>
              </w:rPr>
            </w:pPr>
            <w:r w:rsidRPr="004F1EA4">
              <w:rPr>
                <w:rFonts w:ascii="Arial" w:hAnsi="Arial" w:cs="Arial"/>
                <w:bCs/>
                <w:i/>
                <w:sz w:val="20"/>
                <w:szCs w:val="20"/>
                <w:lang w:val="en-GB"/>
              </w:rPr>
              <w:t>Non-melanoma skin cancer</w:t>
            </w:r>
          </w:p>
        </w:tc>
      </w:tr>
      <w:tr w:rsidR="002123E1" w:rsidRPr="004F1EA4" w14:paraId="462BD3D7" w14:textId="7F2C1A20" w:rsidTr="002123E1">
        <w:tc>
          <w:tcPr>
            <w:tcW w:w="5000" w:type="pct"/>
          </w:tcPr>
          <w:p w14:paraId="53332DEA" w14:textId="36498C41" w:rsidR="002123E1" w:rsidRPr="004F1EA4" w:rsidRDefault="002123E1" w:rsidP="003852E7">
            <w:pPr>
              <w:spacing w:line="480" w:lineRule="auto"/>
              <w:jc w:val="both"/>
              <w:rPr>
                <w:rFonts w:ascii="Arial" w:hAnsi="Arial" w:cs="Arial"/>
                <w:bCs/>
                <w:sz w:val="20"/>
                <w:szCs w:val="20"/>
                <w:lang w:val="en-GB"/>
              </w:rPr>
            </w:pPr>
            <w:r w:rsidRPr="004F1EA4">
              <w:rPr>
                <w:rFonts w:ascii="Arial" w:hAnsi="Arial" w:cs="Arial"/>
                <w:bCs/>
                <w:sz w:val="20"/>
                <w:szCs w:val="20"/>
                <w:lang w:val="en-GB"/>
              </w:rPr>
              <w:t>NMSCs have been reported in patients treated with XELJANZ. The risk of NMSC may be higher in patients treated with XELJANZ 10 mg twice daily than in patients treated with 5 mg twice daily. Periodic skin examination is recommended for patients who are at increased risk for skin cancer (see Table 6 in section 4.8).</w:t>
            </w:r>
          </w:p>
        </w:tc>
      </w:tr>
      <w:tr w:rsidR="002123E1" w:rsidRPr="004F1EA4" w14:paraId="3C0147AF" w14:textId="62614DBA" w:rsidTr="002123E1">
        <w:tc>
          <w:tcPr>
            <w:tcW w:w="5000" w:type="pct"/>
          </w:tcPr>
          <w:p w14:paraId="0A7C952E" w14:textId="77777777" w:rsidR="002123E1" w:rsidRPr="00CC56F4" w:rsidRDefault="002123E1" w:rsidP="003852E7">
            <w:pPr>
              <w:spacing w:line="480" w:lineRule="auto"/>
              <w:jc w:val="both"/>
              <w:rPr>
                <w:rFonts w:ascii="Arial" w:hAnsi="Arial" w:cs="Arial"/>
                <w:b/>
                <w:bCs/>
                <w:sz w:val="20"/>
                <w:szCs w:val="20"/>
                <w:lang w:val="en-GB"/>
              </w:rPr>
            </w:pPr>
          </w:p>
        </w:tc>
      </w:tr>
      <w:tr w:rsidR="002123E1" w:rsidRPr="004F1EA4" w14:paraId="791F25D3" w14:textId="100BA4BC" w:rsidTr="002123E1">
        <w:tc>
          <w:tcPr>
            <w:tcW w:w="5000" w:type="pct"/>
          </w:tcPr>
          <w:p w14:paraId="6AD2719F" w14:textId="7CFD3735" w:rsidR="002123E1" w:rsidRPr="00CC56F4" w:rsidRDefault="002123E1" w:rsidP="003852E7">
            <w:pPr>
              <w:spacing w:line="480" w:lineRule="auto"/>
              <w:jc w:val="both"/>
              <w:rPr>
                <w:rFonts w:ascii="Arial" w:hAnsi="Arial" w:cs="Arial"/>
                <w:bCs/>
                <w:i/>
                <w:sz w:val="20"/>
                <w:szCs w:val="20"/>
                <w:lang w:val="en-GB"/>
              </w:rPr>
            </w:pPr>
            <w:r w:rsidRPr="00CC56F4">
              <w:rPr>
                <w:rFonts w:ascii="Arial" w:hAnsi="Arial" w:cs="Arial"/>
                <w:bCs/>
                <w:i/>
                <w:sz w:val="20"/>
                <w:szCs w:val="20"/>
                <w:lang w:val="en-GB"/>
              </w:rPr>
              <w:t>Pulmonary embolism</w:t>
            </w:r>
          </w:p>
        </w:tc>
      </w:tr>
      <w:tr w:rsidR="002123E1" w:rsidRPr="004F1EA4" w14:paraId="0E373475" w14:textId="1A887FBF" w:rsidTr="002123E1">
        <w:tc>
          <w:tcPr>
            <w:tcW w:w="5000" w:type="pct"/>
          </w:tcPr>
          <w:p w14:paraId="144127FB" w14:textId="070CADD8" w:rsidR="002123E1" w:rsidRPr="00CC56F4" w:rsidRDefault="002123E1" w:rsidP="003852E7">
            <w:pPr>
              <w:spacing w:line="480" w:lineRule="auto"/>
              <w:jc w:val="both"/>
              <w:rPr>
                <w:rFonts w:ascii="Arial" w:hAnsi="Arial" w:cs="Arial"/>
                <w:bCs/>
                <w:sz w:val="20"/>
                <w:szCs w:val="20"/>
                <w:lang w:val="en-GB"/>
              </w:rPr>
            </w:pPr>
            <w:r w:rsidRPr="00CC56F4">
              <w:rPr>
                <w:rFonts w:ascii="Arial" w:hAnsi="Arial" w:cs="Arial"/>
                <w:bCs/>
                <w:sz w:val="20"/>
                <w:szCs w:val="20"/>
                <w:lang w:val="en-GB"/>
              </w:rPr>
              <w:t>Pulmonary embolism (PE) has been observed in patients taking XELJANZ in clinical trials and post-marketing reports. XELJANZ 10 mg twice daily is contraindicated in patients who are at high risk for pulmonary embolism (see also section 4.3). Additional risk factors that should be considered in determining the patient’s risk for PE are older age, obesity, smoking status, and immobilisation.</w:t>
            </w:r>
          </w:p>
        </w:tc>
      </w:tr>
      <w:tr w:rsidR="002123E1" w:rsidRPr="004F1EA4" w14:paraId="2EF6A2B0" w14:textId="79707841" w:rsidTr="002123E1">
        <w:tc>
          <w:tcPr>
            <w:tcW w:w="5000" w:type="pct"/>
          </w:tcPr>
          <w:p w14:paraId="0CBB9CC7" w14:textId="77777777" w:rsidR="002123E1" w:rsidRPr="004F1EA4" w:rsidRDefault="002123E1" w:rsidP="003852E7">
            <w:pPr>
              <w:spacing w:line="480" w:lineRule="auto"/>
              <w:jc w:val="both"/>
              <w:rPr>
                <w:rFonts w:ascii="Arial" w:hAnsi="Arial" w:cs="Arial"/>
                <w:b/>
                <w:bCs/>
                <w:sz w:val="20"/>
                <w:szCs w:val="20"/>
                <w:highlight w:val="yellow"/>
                <w:lang w:val="en-GB"/>
              </w:rPr>
            </w:pPr>
          </w:p>
        </w:tc>
      </w:tr>
      <w:tr w:rsidR="002123E1" w:rsidRPr="004F1EA4" w14:paraId="4CB9D743" w14:textId="3958132F" w:rsidTr="002123E1">
        <w:tc>
          <w:tcPr>
            <w:tcW w:w="5000" w:type="pct"/>
          </w:tcPr>
          <w:p w14:paraId="1C64DEE2" w14:textId="5DB4949F" w:rsidR="002123E1" w:rsidRPr="004F1EA4" w:rsidRDefault="002123E1" w:rsidP="003852E7">
            <w:pPr>
              <w:spacing w:line="480" w:lineRule="auto"/>
              <w:jc w:val="both"/>
              <w:rPr>
                <w:rFonts w:ascii="Arial" w:hAnsi="Arial" w:cs="Arial"/>
                <w:bCs/>
                <w:i/>
                <w:sz w:val="20"/>
                <w:szCs w:val="20"/>
                <w:lang w:val="en-GB"/>
              </w:rPr>
            </w:pPr>
            <w:r w:rsidRPr="004F1EA4">
              <w:rPr>
                <w:rFonts w:ascii="Arial" w:hAnsi="Arial" w:cs="Arial"/>
                <w:bCs/>
                <w:i/>
                <w:sz w:val="20"/>
                <w:szCs w:val="20"/>
                <w:lang w:val="en-GB"/>
              </w:rPr>
              <w:t>Interstitial lung disease</w:t>
            </w:r>
          </w:p>
        </w:tc>
      </w:tr>
      <w:tr w:rsidR="002123E1" w:rsidRPr="004F1EA4" w14:paraId="3DDA2F93" w14:textId="1ED9FCE6" w:rsidTr="002123E1">
        <w:tc>
          <w:tcPr>
            <w:tcW w:w="5000" w:type="pct"/>
          </w:tcPr>
          <w:p w14:paraId="318E28A5" w14:textId="0407D379" w:rsidR="002123E1" w:rsidRPr="004F1EA4" w:rsidRDefault="002123E1" w:rsidP="003852E7">
            <w:pPr>
              <w:spacing w:line="480" w:lineRule="auto"/>
              <w:jc w:val="both"/>
              <w:rPr>
                <w:rFonts w:ascii="Arial" w:hAnsi="Arial" w:cs="Arial"/>
                <w:bCs/>
                <w:sz w:val="20"/>
                <w:szCs w:val="20"/>
                <w:lang w:val="en-GB"/>
              </w:rPr>
            </w:pPr>
            <w:r w:rsidRPr="004F1EA4">
              <w:rPr>
                <w:rFonts w:ascii="Arial" w:hAnsi="Arial" w:cs="Arial"/>
                <w:bCs/>
                <w:sz w:val="20"/>
                <w:szCs w:val="20"/>
                <w:lang w:val="en-GB"/>
              </w:rPr>
              <w:t xml:space="preserve">Caution is also recommended in patients with a history of chronic lung disease as they may be more prone to infections. Events of interstitial lung disease (some of which had a fatal outcome) have been reported in patients treated with XELJANZ in RA clinical trials and in the post-marketing </w:t>
            </w:r>
            <w:r w:rsidRPr="00B82ED6">
              <w:rPr>
                <w:rFonts w:ascii="Arial" w:hAnsi="Arial" w:cs="Arial"/>
                <w:bCs/>
                <w:sz w:val="20"/>
                <w:szCs w:val="20"/>
                <w:lang w:val="en-GB"/>
              </w:rPr>
              <w:t xml:space="preserve">setting although the role of Janus kinase (JAK) inhibition in these events is not known. </w:t>
            </w:r>
          </w:p>
        </w:tc>
      </w:tr>
      <w:tr w:rsidR="002123E1" w:rsidRPr="004F1EA4" w14:paraId="4C499941" w14:textId="27D9B5AD" w:rsidTr="002123E1">
        <w:tc>
          <w:tcPr>
            <w:tcW w:w="5000" w:type="pct"/>
          </w:tcPr>
          <w:p w14:paraId="571623A1" w14:textId="77777777" w:rsidR="002123E1" w:rsidRPr="004F1EA4" w:rsidRDefault="002123E1" w:rsidP="003852E7">
            <w:pPr>
              <w:spacing w:line="480" w:lineRule="auto"/>
              <w:jc w:val="both"/>
              <w:rPr>
                <w:rFonts w:ascii="Arial" w:hAnsi="Arial" w:cs="Arial"/>
                <w:b/>
                <w:bCs/>
                <w:sz w:val="20"/>
                <w:szCs w:val="20"/>
                <w:lang w:val="en-GB"/>
              </w:rPr>
            </w:pPr>
          </w:p>
        </w:tc>
      </w:tr>
      <w:tr w:rsidR="002123E1" w:rsidRPr="004F1EA4" w14:paraId="6267438F" w14:textId="49313C9C" w:rsidTr="002123E1">
        <w:tc>
          <w:tcPr>
            <w:tcW w:w="5000" w:type="pct"/>
          </w:tcPr>
          <w:p w14:paraId="2E3EFE0A" w14:textId="3A7B83BF" w:rsidR="002123E1" w:rsidRPr="004F1EA4" w:rsidRDefault="002123E1" w:rsidP="003852E7">
            <w:pPr>
              <w:spacing w:line="480" w:lineRule="auto"/>
              <w:jc w:val="both"/>
              <w:rPr>
                <w:rFonts w:ascii="Arial" w:hAnsi="Arial" w:cs="Arial"/>
                <w:bCs/>
                <w:i/>
                <w:sz w:val="20"/>
                <w:szCs w:val="20"/>
                <w:lang w:val="en-GB"/>
              </w:rPr>
            </w:pPr>
            <w:r w:rsidRPr="004F1EA4">
              <w:rPr>
                <w:rFonts w:ascii="Arial" w:hAnsi="Arial" w:cs="Arial"/>
                <w:bCs/>
                <w:i/>
                <w:sz w:val="20"/>
                <w:szCs w:val="20"/>
                <w:lang w:val="en-GB"/>
              </w:rPr>
              <w:t>Gastrointestinal perforations</w:t>
            </w:r>
          </w:p>
        </w:tc>
      </w:tr>
      <w:tr w:rsidR="002123E1" w:rsidRPr="004F1EA4" w14:paraId="5D2C5161" w14:textId="6CC86209" w:rsidTr="002123E1">
        <w:tc>
          <w:tcPr>
            <w:tcW w:w="5000" w:type="pct"/>
          </w:tcPr>
          <w:p w14:paraId="0DE68CB1" w14:textId="3C35589C" w:rsidR="002123E1" w:rsidRPr="004F1EA4" w:rsidRDefault="002123E1" w:rsidP="003852E7">
            <w:pPr>
              <w:spacing w:line="480" w:lineRule="auto"/>
              <w:jc w:val="both"/>
              <w:rPr>
                <w:rFonts w:ascii="Arial" w:hAnsi="Arial" w:cs="Arial"/>
                <w:bCs/>
                <w:sz w:val="20"/>
                <w:szCs w:val="20"/>
                <w:lang w:val="en-GB"/>
              </w:rPr>
            </w:pPr>
            <w:r w:rsidRPr="004F1EA4">
              <w:rPr>
                <w:rFonts w:ascii="Arial" w:hAnsi="Arial" w:cs="Arial"/>
                <w:bCs/>
                <w:sz w:val="20"/>
                <w:szCs w:val="20"/>
                <w:lang w:val="en-GB"/>
              </w:rPr>
              <w:t>Events of gastrointestinal perforation have been reported in clinical trials although the role of JAK inhibition in these events is not known. XELJANZ should be used with caution in patients who may be at increased risk for gastrointestinal perforation (e.g., patients with a history of diverticulitis, patients with concomitant use of corticosteroids and/or nonsteroidal anti-inflammatory drugs). Patients presenting with new onset abdominal signs and symptoms should be evaluated promptly for early identification of gastrointestinal perforation.</w:t>
            </w:r>
          </w:p>
        </w:tc>
      </w:tr>
      <w:tr w:rsidR="002123E1" w:rsidRPr="004F1EA4" w14:paraId="37F946B1" w14:textId="77777777" w:rsidTr="002123E1">
        <w:tc>
          <w:tcPr>
            <w:tcW w:w="5000" w:type="pct"/>
          </w:tcPr>
          <w:p w14:paraId="26E29B29" w14:textId="77777777" w:rsidR="002123E1" w:rsidRPr="004F1EA4" w:rsidRDefault="002123E1" w:rsidP="003852E7">
            <w:pPr>
              <w:spacing w:line="480" w:lineRule="auto"/>
              <w:jc w:val="both"/>
              <w:rPr>
                <w:rFonts w:ascii="Arial" w:hAnsi="Arial" w:cs="Arial"/>
                <w:bCs/>
                <w:sz w:val="20"/>
                <w:szCs w:val="20"/>
                <w:lang w:val="en-GB"/>
              </w:rPr>
            </w:pPr>
          </w:p>
        </w:tc>
      </w:tr>
      <w:tr w:rsidR="002123E1" w:rsidRPr="004F1EA4" w14:paraId="30C9041A" w14:textId="061DDE8F" w:rsidTr="002123E1">
        <w:tc>
          <w:tcPr>
            <w:tcW w:w="5000" w:type="pct"/>
          </w:tcPr>
          <w:p w14:paraId="09203B6B" w14:textId="76B6AACB" w:rsidR="002123E1" w:rsidRPr="00E0276A" w:rsidRDefault="002123E1" w:rsidP="003852E7">
            <w:pPr>
              <w:spacing w:line="480" w:lineRule="auto"/>
              <w:jc w:val="both"/>
              <w:rPr>
                <w:rFonts w:ascii="Arial" w:hAnsi="Arial" w:cs="Arial"/>
                <w:bCs/>
                <w:i/>
                <w:sz w:val="20"/>
                <w:szCs w:val="20"/>
                <w:lang w:val="en-GB"/>
              </w:rPr>
            </w:pPr>
            <w:r w:rsidRPr="00E0276A">
              <w:rPr>
                <w:rFonts w:ascii="Arial" w:hAnsi="Arial" w:cs="Arial"/>
                <w:bCs/>
                <w:i/>
                <w:sz w:val="20"/>
                <w:szCs w:val="20"/>
                <w:lang w:val="en-GB"/>
              </w:rPr>
              <w:t>Cardiovascular risk</w:t>
            </w:r>
          </w:p>
        </w:tc>
      </w:tr>
      <w:tr w:rsidR="002123E1" w:rsidRPr="004F1EA4" w14:paraId="47FAA473" w14:textId="05B3BBE6" w:rsidTr="002123E1">
        <w:trPr>
          <w:trHeight w:val="1007"/>
        </w:trPr>
        <w:tc>
          <w:tcPr>
            <w:tcW w:w="5000" w:type="pct"/>
          </w:tcPr>
          <w:p w14:paraId="1F381EB8" w14:textId="7AC1489A" w:rsidR="002123E1" w:rsidRPr="00E0276A" w:rsidRDefault="002123E1" w:rsidP="003852E7">
            <w:pPr>
              <w:spacing w:line="480" w:lineRule="auto"/>
              <w:jc w:val="both"/>
              <w:rPr>
                <w:rFonts w:ascii="Arial" w:hAnsi="Arial" w:cs="Arial"/>
                <w:bCs/>
                <w:sz w:val="20"/>
                <w:szCs w:val="20"/>
                <w:lang w:val="en-GB"/>
              </w:rPr>
            </w:pPr>
            <w:r w:rsidRPr="00E0276A">
              <w:rPr>
                <w:rFonts w:ascii="Arial" w:hAnsi="Arial" w:cs="Arial"/>
                <w:bCs/>
                <w:sz w:val="20"/>
                <w:szCs w:val="20"/>
                <w:lang w:val="en-GB"/>
              </w:rPr>
              <w:t xml:space="preserve">RA and </w:t>
            </w:r>
            <w:proofErr w:type="spellStart"/>
            <w:r w:rsidRPr="00E0276A">
              <w:rPr>
                <w:rFonts w:ascii="Arial" w:hAnsi="Arial" w:cs="Arial"/>
                <w:bCs/>
                <w:sz w:val="20"/>
                <w:szCs w:val="20"/>
                <w:lang w:val="en-GB"/>
              </w:rPr>
              <w:t>PsA</w:t>
            </w:r>
            <w:proofErr w:type="spellEnd"/>
            <w:r w:rsidRPr="00E0276A">
              <w:rPr>
                <w:rFonts w:ascii="Arial" w:hAnsi="Arial" w:cs="Arial"/>
                <w:bCs/>
                <w:sz w:val="20"/>
                <w:szCs w:val="20"/>
                <w:lang w:val="en-GB"/>
              </w:rPr>
              <w:t xml:space="preserve"> patients have an increased risk for cardiovascular disorders. Patients treated with XELJANZ should have risk factors (e.g., hypertension, hyperlipidaemia) managed as part of usual standard of care.</w:t>
            </w:r>
          </w:p>
        </w:tc>
      </w:tr>
      <w:tr w:rsidR="002123E1" w:rsidRPr="004F1EA4" w14:paraId="3A4583ED" w14:textId="2E127BCF" w:rsidTr="002123E1">
        <w:tc>
          <w:tcPr>
            <w:tcW w:w="5000" w:type="pct"/>
          </w:tcPr>
          <w:p w14:paraId="5B933A86" w14:textId="77777777" w:rsidR="002123E1" w:rsidRPr="004F1EA4" w:rsidRDefault="002123E1" w:rsidP="003852E7">
            <w:pPr>
              <w:tabs>
                <w:tab w:val="left" w:pos="180"/>
              </w:tabs>
              <w:spacing w:line="480" w:lineRule="auto"/>
              <w:jc w:val="both"/>
              <w:rPr>
                <w:rFonts w:ascii="Arial" w:hAnsi="Arial" w:cs="Arial"/>
                <w:b/>
                <w:bCs/>
                <w:sz w:val="20"/>
                <w:szCs w:val="20"/>
                <w:lang w:val="en-GB"/>
              </w:rPr>
            </w:pPr>
          </w:p>
        </w:tc>
      </w:tr>
      <w:tr w:rsidR="002123E1" w:rsidRPr="004F1EA4" w14:paraId="1E97D2D5" w14:textId="11FCD7BB" w:rsidTr="002123E1">
        <w:tc>
          <w:tcPr>
            <w:tcW w:w="5000" w:type="pct"/>
          </w:tcPr>
          <w:p w14:paraId="77012232" w14:textId="52989718" w:rsidR="002123E1" w:rsidRPr="00840C28" w:rsidRDefault="002123E1" w:rsidP="003852E7">
            <w:pPr>
              <w:tabs>
                <w:tab w:val="left" w:pos="180"/>
              </w:tabs>
              <w:spacing w:line="480" w:lineRule="auto"/>
              <w:jc w:val="both"/>
              <w:rPr>
                <w:rFonts w:ascii="Arial" w:hAnsi="Arial" w:cs="Arial"/>
                <w:bCs/>
                <w:i/>
                <w:sz w:val="20"/>
                <w:szCs w:val="20"/>
                <w:lang w:val="en-GB"/>
              </w:rPr>
            </w:pPr>
            <w:r w:rsidRPr="00840C28">
              <w:rPr>
                <w:rFonts w:ascii="Arial" w:hAnsi="Arial" w:cs="Arial"/>
                <w:bCs/>
                <w:i/>
                <w:sz w:val="20"/>
                <w:szCs w:val="20"/>
                <w:lang w:val="en-GB"/>
              </w:rPr>
              <w:t>Liver enzymes</w:t>
            </w:r>
          </w:p>
        </w:tc>
      </w:tr>
      <w:tr w:rsidR="002123E1" w:rsidRPr="004F1EA4" w14:paraId="67667ECA" w14:textId="3B3E080B" w:rsidTr="002123E1">
        <w:tc>
          <w:tcPr>
            <w:tcW w:w="5000" w:type="pct"/>
          </w:tcPr>
          <w:p w14:paraId="16095663" w14:textId="46A6881B" w:rsidR="002123E1" w:rsidRPr="00840C28" w:rsidRDefault="002123E1" w:rsidP="003852E7">
            <w:pPr>
              <w:tabs>
                <w:tab w:val="left" w:pos="180"/>
              </w:tabs>
              <w:spacing w:line="480" w:lineRule="auto"/>
              <w:jc w:val="both"/>
              <w:rPr>
                <w:rFonts w:ascii="Arial" w:hAnsi="Arial" w:cs="Arial"/>
                <w:bCs/>
                <w:sz w:val="20"/>
                <w:szCs w:val="20"/>
                <w:lang w:val="en-GB"/>
              </w:rPr>
            </w:pPr>
            <w:r w:rsidRPr="00840C28">
              <w:rPr>
                <w:rFonts w:ascii="Arial" w:hAnsi="Arial" w:cs="Arial"/>
                <w:bCs/>
                <w:sz w:val="20"/>
                <w:szCs w:val="20"/>
                <w:lang w:val="en-GB"/>
              </w:rPr>
              <w:t xml:space="preserve">Treatment with XELJANZ was associated with an increased incidence of liver enzyme elevation in some patients (see section 4.8 liver enzyme tests). Caution should be exercised when considering initiation of XELJANZ treatment in patients with elevated alanine aminotransferase (ALT) or aspartate </w:t>
            </w:r>
            <w:r w:rsidRPr="00840C28">
              <w:rPr>
                <w:rFonts w:ascii="Arial" w:hAnsi="Arial" w:cs="Arial"/>
                <w:bCs/>
                <w:sz w:val="20"/>
                <w:szCs w:val="20"/>
                <w:lang w:val="en-GB"/>
              </w:rPr>
              <w:lastRenderedPageBreak/>
              <w:t>aminotransferase (AST), particularly when initiated in combination with potentially hepatotoxic medicines such as MTX. Following initiation, routine monitoring of liver tests and prompt investigation of the causes of any observed liver enzyme elevations are recommended to identify potential cases of drug-induced liver injury. If drug-induced liver injury is suspected, the administration of XELJANZ should be interrupted until this diagnosis has been excluded.</w:t>
            </w:r>
          </w:p>
        </w:tc>
      </w:tr>
      <w:tr w:rsidR="002123E1" w:rsidRPr="004F1EA4" w14:paraId="03EB57AC" w14:textId="5F939B25" w:rsidTr="002123E1">
        <w:tc>
          <w:tcPr>
            <w:tcW w:w="5000" w:type="pct"/>
          </w:tcPr>
          <w:p w14:paraId="3E487CD3" w14:textId="77777777" w:rsidR="002123E1" w:rsidRPr="004F1EA4" w:rsidRDefault="002123E1" w:rsidP="003852E7">
            <w:pPr>
              <w:tabs>
                <w:tab w:val="left" w:pos="180"/>
              </w:tabs>
              <w:spacing w:line="480" w:lineRule="auto"/>
              <w:jc w:val="both"/>
              <w:rPr>
                <w:rFonts w:ascii="Arial" w:hAnsi="Arial" w:cs="Arial"/>
                <w:b/>
                <w:bCs/>
                <w:sz w:val="20"/>
                <w:szCs w:val="20"/>
                <w:lang w:val="en-GB"/>
              </w:rPr>
            </w:pPr>
          </w:p>
        </w:tc>
      </w:tr>
      <w:tr w:rsidR="002123E1" w:rsidRPr="004F1EA4" w14:paraId="4BC4DDF1" w14:textId="54FE20FE" w:rsidTr="002123E1">
        <w:tc>
          <w:tcPr>
            <w:tcW w:w="5000" w:type="pct"/>
          </w:tcPr>
          <w:p w14:paraId="007D3E53" w14:textId="3CCDCFD9" w:rsidR="002123E1" w:rsidRPr="008B300E" w:rsidRDefault="002123E1" w:rsidP="003852E7">
            <w:pPr>
              <w:tabs>
                <w:tab w:val="left" w:pos="180"/>
              </w:tabs>
              <w:spacing w:line="480" w:lineRule="auto"/>
              <w:jc w:val="both"/>
              <w:rPr>
                <w:rFonts w:ascii="Arial" w:hAnsi="Arial" w:cs="Arial"/>
                <w:bCs/>
                <w:sz w:val="20"/>
                <w:szCs w:val="20"/>
                <w:lang w:val="en-GB"/>
              </w:rPr>
            </w:pPr>
            <w:r w:rsidRPr="008B300E">
              <w:rPr>
                <w:rFonts w:ascii="Arial" w:hAnsi="Arial" w:cs="Arial"/>
                <w:i/>
                <w:sz w:val="20"/>
                <w:szCs w:val="20"/>
              </w:rPr>
              <w:t>Hypersensitivity</w:t>
            </w:r>
          </w:p>
        </w:tc>
      </w:tr>
      <w:tr w:rsidR="002123E1" w:rsidRPr="004F1EA4" w14:paraId="345C011F" w14:textId="44312F2E" w:rsidTr="002123E1">
        <w:trPr>
          <w:trHeight w:val="1754"/>
        </w:trPr>
        <w:tc>
          <w:tcPr>
            <w:tcW w:w="5000" w:type="pct"/>
          </w:tcPr>
          <w:p w14:paraId="124E9F95" w14:textId="79C07FD8" w:rsidR="002123E1" w:rsidRPr="004F1EA4" w:rsidRDefault="002123E1" w:rsidP="003852E7">
            <w:pPr>
              <w:pStyle w:val="BodyText"/>
              <w:jc w:val="both"/>
              <w:rPr>
                <w:b w:val="0"/>
                <w:sz w:val="20"/>
                <w:szCs w:val="20"/>
              </w:rPr>
            </w:pPr>
            <w:r w:rsidRPr="004F1EA4">
              <w:rPr>
                <w:b w:val="0"/>
                <w:sz w:val="20"/>
                <w:szCs w:val="20"/>
              </w:rPr>
              <w:t>In post-marketing experience, cases of medicine hypersensitivity associated with XELJANZ administration have been reported. Allergic reactions included angioedema and urticaria; serious reactions have occurred. If any serious allergic or anaphylactic reaction occurs, XELJANZ should be discontinued immediately.</w:t>
            </w:r>
          </w:p>
        </w:tc>
      </w:tr>
      <w:tr w:rsidR="002123E1" w:rsidRPr="004F1EA4" w14:paraId="691C0771" w14:textId="4D766181" w:rsidTr="002123E1">
        <w:tc>
          <w:tcPr>
            <w:tcW w:w="5000" w:type="pct"/>
          </w:tcPr>
          <w:p w14:paraId="64D502A2" w14:textId="77777777" w:rsidR="002123E1" w:rsidRPr="004F1EA4" w:rsidRDefault="002123E1" w:rsidP="003852E7">
            <w:pPr>
              <w:pStyle w:val="BodyText"/>
              <w:jc w:val="both"/>
              <w:rPr>
                <w:sz w:val="20"/>
                <w:szCs w:val="20"/>
              </w:rPr>
            </w:pPr>
          </w:p>
        </w:tc>
      </w:tr>
      <w:tr w:rsidR="002123E1" w:rsidRPr="004F1EA4" w14:paraId="5B392921" w14:textId="51C31B01" w:rsidTr="002123E1">
        <w:tc>
          <w:tcPr>
            <w:tcW w:w="5000" w:type="pct"/>
          </w:tcPr>
          <w:p w14:paraId="52FA06A9" w14:textId="4E329BD6" w:rsidR="002123E1" w:rsidRPr="004F1EA4" w:rsidRDefault="002123E1" w:rsidP="003852E7">
            <w:pPr>
              <w:pStyle w:val="BodyText"/>
              <w:jc w:val="both"/>
              <w:rPr>
                <w:b w:val="0"/>
                <w:i/>
                <w:sz w:val="20"/>
                <w:szCs w:val="20"/>
                <w:highlight w:val="green"/>
              </w:rPr>
            </w:pPr>
            <w:r w:rsidRPr="004F1EA4">
              <w:rPr>
                <w:b w:val="0"/>
                <w:i/>
                <w:sz w:val="20"/>
                <w:szCs w:val="20"/>
              </w:rPr>
              <w:t>Laboratory parameters</w:t>
            </w:r>
          </w:p>
        </w:tc>
      </w:tr>
      <w:tr w:rsidR="002123E1" w:rsidRPr="004F1EA4" w14:paraId="007486FD" w14:textId="3F45EB8E" w:rsidTr="002123E1">
        <w:tc>
          <w:tcPr>
            <w:tcW w:w="5000" w:type="pct"/>
          </w:tcPr>
          <w:p w14:paraId="511543EC" w14:textId="4E6C0623" w:rsidR="002123E1" w:rsidRPr="003131BD" w:rsidRDefault="002123E1" w:rsidP="003852E7">
            <w:pPr>
              <w:pStyle w:val="BodyText"/>
              <w:jc w:val="both"/>
              <w:rPr>
                <w:b w:val="0"/>
                <w:i/>
                <w:sz w:val="20"/>
                <w:szCs w:val="20"/>
              </w:rPr>
            </w:pPr>
            <w:r w:rsidRPr="003131BD">
              <w:rPr>
                <w:b w:val="0"/>
                <w:i/>
                <w:sz w:val="20"/>
                <w:szCs w:val="20"/>
              </w:rPr>
              <w:t>Lymphocytes</w:t>
            </w:r>
          </w:p>
        </w:tc>
      </w:tr>
      <w:tr w:rsidR="002123E1" w:rsidRPr="004F1EA4" w14:paraId="2E114CC1" w14:textId="26D69DE7" w:rsidTr="002123E1">
        <w:tc>
          <w:tcPr>
            <w:tcW w:w="5000" w:type="pct"/>
          </w:tcPr>
          <w:p w14:paraId="509EAA5C" w14:textId="7FC3B737" w:rsidR="002123E1" w:rsidRPr="003131BD" w:rsidRDefault="002123E1" w:rsidP="003852E7">
            <w:pPr>
              <w:pStyle w:val="BodyText"/>
              <w:jc w:val="both"/>
              <w:rPr>
                <w:b w:val="0"/>
                <w:sz w:val="20"/>
                <w:szCs w:val="20"/>
              </w:rPr>
            </w:pPr>
            <w:r w:rsidRPr="003131BD">
              <w:rPr>
                <w:b w:val="0"/>
                <w:sz w:val="20"/>
                <w:szCs w:val="20"/>
              </w:rPr>
              <w:t>Treatment with XELJANZ was associated with an increased incidence of lymphopenia compared to placebo. Lymphocyte counts less than 750 cells/mm</w:t>
            </w:r>
            <w:r w:rsidRPr="003131BD">
              <w:rPr>
                <w:b w:val="0"/>
                <w:sz w:val="20"/>
                <w:szCs w:val="20"/>
                <w:vertAlign w:val="superscript"/>
              </w:rPr>
              <w:t>3</w:t>
            </w:r>
            <w:r w:rsidRPr="003131BD">
              <w:rPr>
                <w:b w:val="0"/>
                <w:sz w:val="20"/>
                <w:szCs w:val="20"/>
              </w:rPr>
              <w:t xml:space="preserve"> were associated with an increased incidence of serious infections. It is not recommended to initiate or continue XELJANZ treatment in patients with a confirmed lymphocyte count less than 750 cells/mm</w:t>
            </w:r>
            <w:r w:rsidRPr="003131BD">
              <w:rPr>
                <w:b w:val="0"/>
                <w:sz w:val="20"/>
                <w:szCs w:val="20"/>
                <w:vertAlign w:val="superscript"/>
              </w:rPr>
              <w:t>3</w:t>
            </w:r>
            <w:r w:rsidRPr="003131BD">
              <w:rPr>
                <w:b w:val="0"/>
                <w:sz w:val="20"/>
                <w:szCs w:val="20"/>
              </w:rPr>
              <w:t>. Lymphocytes should be monitored at baseline and every 3 months thereafter. For recommended modifications based on lymphocyte counts, see section 4.2.</w:t>
            </w:r>
          </w:p>
        </w:tc>
      </w:tr>
      <w:tr w:rsidR="002123E1" w:rsidRPr="004F1EA4" w14:paraId="2BDF6DD9" w14:textId="1945F21E" w:rsidTr="002123E1">
        <w:tc>
          <w:tcPr>
            <w:tcW w:w="5000" w:type="pct"/>
          </w:tcPr>
          <w:p w14:paraId="4FFF2E50" w14:textId="777505D1" w:rsidR="002123E1" w:rsidRPr="003131BD" w:rsidRDefault="002123E1" w:rsidP="003852E7">
            <w:pPr>
              <w:widowControl w:val="0"/>
              <w:spacing w:line="480" w:lineRule="auto"/>
              <w:jc w:val="both"/>
              <w:rPr>
                <w:rFonts w:ascii="Arial" w:hAnsi="Arial" w:cs="Arial"/>
                <w:b/>
                <w:sz w:val="20"/>
                <w:szCs w:val="20"/>
                <w:lang w:val="en-GB"/>
              </w:rPr>
            </w:pPr>
          </w:p>
        </w:tc>
      </w:tr>
      <w:tr w:rsidR="002123E1" w:rsidRPr="004F1EA4" w14:paraId="726A0121" w14:textId="0ABF797E" w:rsidTr="002123E1">
        <w:tc>
          <w:tcPr>
            <w:tcW w:w="5000" w:type="pct"/>
          </w:tcPr>
          <w:p w14:paraId="66AF65E4" w14:textId="70916414" w:rsidR="002123E1" w:rsidRPr="005D22B2" w:rsidRDefault="002123E1" w:rsidP="003852E7">
            <w:pPr>
              <w:widowControl w:val="0"/>
              <w:spacing w:line="480" w:lineRule="auto"/>
              <w:jc w:val="both"/>
              <w:rPr>
                <w:rFonts w:ascii="Arial" w:hAnsi="Arial" w:cs="Arial"/>
                <w:i/>
                <w:sz w:val="20"/>
                <w:szCs w:val="20"/>
                <w:lang w:val="en-GB"/>
              </w:rPr>
            </w:pPr>
            <w:r w:rsidRPr="005D22B2">
              <w:rPr>
                <w:rFonts w:ascii="Arial" w:hAnsi="Arial" w:cs="Arial"/>
                <w:i/>
                <w:sz w:val="20"/>
                <w:szCs w:val="20"/>
                <w:lang w:val="en-GB"/>
              </w:rPr>
              <w:t>Neutrophils</w:t>
            </w:r>
          </w:p>
        </w:tc>
      </w:tr>
      <w:tr w:rsidR="002123E1" w:rsidRPr="004F1EA4" w14:paraId="36FF1ED5" w14:textId="3C7D66B6" w:rsidTr="002123E1">
        <w:tc>
          <w:tcPr>
            <w:tcW w:w="5000" w:type="pct"/>
          </w:tcPr>
          <w:p w14:paraId="70016D9E" w14:textId="5A15048A" w:rsidR="002123E1" w:rsidRPr="005D22B2" w:rsidRDefault="002123E1" w:rsidP="003852E7">
            <w:pPr>
              <w:pStyle w:val="BodyText"/>
              <w:jc w:val="both"/>
              <w:rPr>
                <w:b w:val="0"/>
                <w:sz w:val="20"/>
                <w:szCs w:val="20"/>
              </w:rPr>
            </w:pPr>
            <w:r w:rsidRPr="005D22B2">
              <w:rPr>
                <w:b w:val="0"/>
                <w:sz w:val="20"/>
                <w:szCs w:val="20"/>
              </w:rPr>
              <w:t>Treatment with XELJANZ was associated with an increased incidence of neutropenia (less than 2 000 cells/mm</w:t>
            </w:r>
            <w:r w:rsidRPr="005D22B2">
              <w:rPr>
                <w:b w:val="0"/>
                <w:sz w:val="20"/>
                <w:szCs w:val="20"/>
                <w:vertAlign w:val="superscript"/>
              </w:rPr>
              <w:t>3</w:t>
            </w:r>
            <w:r w:rsidRPr="005D22B2">
              <w:rPr>
                <w:b w:val="0"/>
                <w:sz w:val="20"/>
                <w:szCs w:val="20"/>
              </w:rPr>
              <w:t>) compared to placebo. It is not recommended to initiate XELJANZ treatment in patients with an ANC less than 1 000 cells/mm</w:t>
            </w:r>
            <w:r w:rsidRPr="005D22B2">
              <w:rPr>
                <w:b w:val="0"/>
                <w:sz w:val="20"/>
                <w:szCs w:val="20"/>
                <w:vertAlign w:val="superscript"/>
              </w:rPr>
              <w:t>3</w:t>
            </w:r>
            <w:r w:rsidRPr="005D22B2">
              <w:rPr>
                <w:b w:val="0"/>
                <w:sz w:val="20"/>
                <w:szCs w:val="20"/>
              </w:rPr>
              <w:t>. ANC should be monitored at baseline and after 4 to 8 weeks of treatment and every 3 months thereafter. For recommended modifications based on ANC, see section 4.2.</w:t>
            </w:r>
          </w:p>
        </w:tc>
      </w:tr>
      <w:tr w:rsidR="002123E1" w:rsidRPr="004F1EA4" w14:paraId="0BE69274" w14:textId="19A3675E" w:rsidTr="002123E1">
        <w:tc>
          <w:tcPr>
            <w:tcW w:w="5000" w:type="pct"/>
          </w:tcPr>
          <w:p w14:paraId="389618CB" w14:textId="77777777" w:rsidR="002123E1" w:rsidRPr="004F1EA4" w:rsidRDefault="002123E1" w:rsidP="003852E7">
            <w:pPr>
              <w:pStyle w:val="BodyText"/>
              <w:jc w:val="both"/>
              <w:rPr>
                <w:sz w:val="20"/>
                <w:szCs w:val="20"/>
                <w:highlight w:val="yellow"/>
              </w:rPr>
            </w:pPr>
          </w:p>
        </w:tc>
      </w:tr>
      <w:tr w:rsidR="002123E1" w:rsidRPr="004F1EA4" w14:paraId="1351AE1D" w14:textId="0F28C078" w:rsidTr="002123E1">
        <w:tc>
          <w:tcPr>
            <w:tcW w:w="5000" w:type="pct"/>
          </w:tcPr>
          <w:p w14:paraId="6A7BD3A8" w14:textId="2370C39A" w:rsidR="002123E1" w:rsidRPr="005D22B2" w:rsidRDefault="002123E1" w:rsidP="003852E7">
            <w:pPr>
              <w:widowControl w:val="0"/>
              <w:spacing w:line="480" w:lineRule="auto"/>
              <w:jc w:val="both"/>
              <w:rPr>
                <w:rFonts w:ascii="Arial" w:hAnsi="Arial" w:cs="Arial"/>
                <w:i/>
                <w:sz w:val="20"/>
                <w:szCs w:val="20"/>
                <w:lang w:val="en-GB"/>
              </w:rPr>
            </w:pPr>
            <w:r w:rsidRPr="005D22B2">
              <w:rPr>
                <w:rFonts w:ascii="Arial" w:hAnsi="Arial" w:cs="Arial"/>
                <w:i/>
                <w:sz w:val="20"/>
                <w:szCs w:val="20"/>
                <w:lang w:val="en-GB"/>
              </w:rPr>
              <w:t>Haemoglobin</w:t>
            </w:r>
          </w:p>
        </w:tc>
      </w:tr>
      <w:tr w:rsidR="002123E1" w:rsidRPr="004F1EA4" w14:paraId="1D09A544" w14:textId="3E0AECF0" w:rsidTr="002123E1">
        <w:tc>
          <w:tcPr>
            <w:tcW w:w="5000" w:type="pct"/>
          </w:tcPr>
          <w:p w14:paraId="4946AD79" w14:textId="61612002" w:rsidR="002123E1" w:rsidRPr="005D22B2" w:rsidRDefault="002123E1" w:rsidP="003852E7">
            <w:pPr>
              <w:widowControl w:val="0"/>
              <w:spacing w:line="480" w:lineRule="auto"/>
              <w:jc w:val="both"/>
              <w:rPr>
                <w:rFonts w:ascii="Arial" w:hAnsi="Arial" w:cs="Arial"/>
                <w:sz w:val="20"/>
                <w:szCs w:val="20"/>
                <w:lang w:val="en-GB"/>
              </w:rPr>
            </w:pPr>
            <w:r w:rsidRPr="005D22B2">
              <w:rPr>
                <w:rFonts w:ascii="Arial" w:hAnsi="Arial" w:cs="Arial"/>
                <w:sz w:val="20"/>
                <w:szCs w:val="20"/>
                <w:lang w:val="en-GB"/>
              </w:rPr>
              <w:t xml:space="preserve">Treatment with XELJANZ has been associated with decreases in haemoglobin levels. It is not recommended to initiate XELJANZ treatment in patients with a haemoglobin value less than 9 g/dL. </w:t>
            </w:r>
            <w:r w:rsidRPr="005D22B2">
              <w:rPr>
                <w:rFonts w:ascii="Arial" w:hAnsi="Arial" w:cs="Arial"/>
                <w:sz w:val="20"/>
                <w:szCs w:val="20"/>
                <w:lang w:val="en-GB"/>
              </w:rPr>
              <w:lastRenderedPageBreak/>
              <w:t>Haemoglobin should be monitored at baseline and after 4 to 8 weeks of treatment and every 3 months thereafter. For recommended modifications based on haemoglobin level, see section 4.2.</w:t>
            </w:r>
          </w:p>
        </w:tc>
      </w:tr>
      <w:tr w:rsidR="002123E1" w:rsidRPr="004F1EA4" w14:paraId="385E64F7" w14:textId="15D2D4E4" w:rsidTr="002123E1">
        <w:tc>
          <w:tcPr>
            <w:tcW w:w="5000" w:type="pct"/>
          </w:tcPr>
          <w:p w14:paraId="6223CEE7" w14:textId="77777777" w:rsidR="002123E1" w:rsidRPr="004F1EA4" w:rsidRDefault="002123E1" w:rsidP="003852E7">
            <w:pPr>
              <w:spacing w:line="480" w:lineRule="auto"/>
              <w:jc w:val="both"/>
              <w:rPr>
                <w:rFonts w:ascii="Arial" w:hAnsi="Arial" w:cs="Arial"/>
                <w:b/>
                <w:sz w:val="20"/>
                <w:szCs w:val="20"/>
                <w:highlight w:val="yellow"/>
                <w:lang w:val="en-GB"/>
              </w:rPr>
            </w:pPr>
          </w:p>
        </w:tc>
      </w:tr>
      <w:tr w:rsidR="002123E1" w:rsidRPr="004F1EA4" w14:paraId="21AE4943" w14:textId="65701862" w:rsidTr="002123E1">
        <w:tc>
          <w:tcPr>
            <w:tcW w:w="5000" w:type="pct"/>
          </w:tcPr>
          <w:p w14:paraId="706BE64E" w14:textId="5C030EE8" w:rsidR="002123E1" w:rsidRPr="002A6370" w:rsidRDefault="002123E1" w:rsidP="003852E7">
            <w:pPr>
              <w:spacing w:line="480" w:lineRule="auto"/>
              <w:jc w:val="both"/>
              <w:rPr>
                <w:rFonts w:ascii="Arial" w:hAnsi="Arial" w:cs="Arial"/>
                <w:i/>
                <w:sz w:val="20"/>
                <w:szCs w:val="20"/>
                <w:lang w:val="en-GB"/>
              </w:rPr>
            </w:pPr>
            <w:r w:rsidRPr="002A6370">
              <w:rPr>
                <w:rFonts w:ascii="Arial" w:hAnsi="Arial" w:cs="Arial"/>
                <w:i/>
                <w:sz w:val="20"/>
                <w:szCs w:val="20"/>
                <w:lang w:val="en-GB"/>
              </w:rPr>
              <w:t>Lipid monitoring</w:t>
            </w:r>
          </w:p>
        </w:tc>
      </w:tr>
      <w:tr w:rsidR="002123E1" w:rsidRPr="004F1EA4" w14:paraId="2951605D" w14:textId="5ED25CCD" w:rsidTr="002123E1">
        <w:tc>
          <w:tcPr>
            <w:tcW w:w="5000" w:type="pct"/>
          </w:tcPr>
          <w:p w14:paraId="657E89B2" w14:textId="78F31233" w:rsidR="002123E1" w:rsidRPr="002A6370" w:rsidRDefault="002123E1" w:rsidP="003852E7">
            <w:pPr>
              <w:pStyle w:val="Heading1"/>
              <w:keepNext w:val="0"/>
              <w:rPr>
                <w:rFonts w:ascii="Arial" w:hAnsi="Arial" w:cs="Arial"/>
                <w:b w:val="0"/>
              </w:rPr>
            </w:pPr>
            <w:r w:rsidRPr="002A6370">
              <w:rPr>
                <w:rFonts w:ascii="Arial" w:hAnsi="Arial" w:cs="Arial"/>
                <w:b w:val="0"/>
              </w:rPr>
              <w:t>Treatment with XELJANZ was associated with increases in lipid parameters such as total cholesterol, low-density lipoprotein (LDL) cholesterol, and high-density lipoprotein (HDL) cholesterol. Maximum effects were generally observed within 6 weeks. Assessment of lipid parameters should be performed after 8 weeks following initiation of XELJANZ therapy. Patients should be managed according to clinical guidelines for the management of hyperlipidaemia. Increases in total and LDL cholesterol associated with XELJANZ may be decreased to pre-treatment levels with statin therapy.</w:t>
            </w:r>
          </w:p>
        </w:tc>
      </w:tr>
      <w:tr w:rsidR="002123E1" w:rsidRPr="004F1EA4" w14:paraId="6A0E0BB0" w14:textId="570B1098" w:rsidTr="002123E1">
        <w:trPr>
          <w:trHeight w:val="512"/>
        </w:trPr>
        <w:tc>
          <w:tcPr>
            <w:tcW w:w="5000" w:type="pct"/>
          </w:tcPr>
          <w:p w14:paraId="10B4053C" w14:textId="77777777" w:rsidR="002123E1" w:rsidRPr="004F1EA4" w:rsidRDefault="002123E1" w:rsidP="003852E7">
            <w:pPr>
              <w:rPr>
                <w:rFonts w:ascii="Arial" w:hAnsi="Arial" w:cs="Arial"/>
                <w:sz w:val="20"/>
                <w:szCs w:val="20"/>
                <w:lang w:val="en-GB"/>
              </w:rPr>
            </w:pPr>
          </w:p>
        </w:tc>
      </w:tr>
      <w:tr w:rsidR="002123E1" w:rsidRPr="004F1EA4" w14:paraId="21089DFF" w14:textId="3690B9A7" w:rsidTr="002123E1">
        <w:tc>
          <w:tcPr>
            <w:tcW w:w="5000" w:type="pct"/>
          </w:tcPr>
          <w:p w14:paraId="5EE10077" w14:textId="01485B83" w:rsidR="002123E1" w:rsidRPr="004F1EA4" w:rsidRDefault="002123E1" w:rsidP="003852E7">
            <w:pPr>
              <w:pStyle w:val="Subtitle"/>
              <w:jc w:val="both"/>
              <w:rPr>
                <w:b w:val="0"/>
                <w:bCs/>
                <w:i/>
                <w:sz w:val="20"/>
                <w:szCs w:val="20"/>
              </w:rPr>
            </w:pPr>
            <w:r w:rsidRPr="004F1EA4">
              <w:rPr>
                <w:b w:val="0"/>
                <w:bCs/>
                <w:i/>
                <w:sz w:val="20"/>
                <w:szCs w:val="20"/>
              </w:rPr>
              <w:t>Vaccinations</w:t>
            </w:r>
          </w:p>
        </w:tc>
      </w:tr>
      <w:tr w:rsidR="002123E1" w:rsidRPr="004F1EA4" w14:paraId="4885DBCA" w14:textId="4C988213" w:rsidTr="002123E1">
        <w:tc>
          <w:tcPr>
            <w:tcW w:w="5000" w:type="pct"/>
          </w:tcPr>
          <w:p w14:paraId="5D997CAF" w14:textId="23E254E8" w:rsidR="002123E1" w:rsidRPr="004F1EA4" w:rsidRDefault="002123E1" w:rsidP="003852E7">
            <w:pPr>
              <w:pStyle w:val="Heading1"/>
              <w:keepNext w:val="0"/>
              <w:rPr>
                <w:rFonts w:ascii="Arial" w:hAnsi="Arial" w:cs="Arial"/>
                <w:b w:val="0"/>
                <w:bCs/>
                <w:iCs/>
              </w:rPr>
            </w:pPr>
            <w:r w:rsidRPr="004F1EA4">
              <w:rPr>
                <w:rFonts w:ascii="Arial" w:hAnsi="Arial" w:cs="Arial"/>
                <w:b w:val="0"/>
                <w:bCs/>
                <w:iCs/>
              </w:rPr>
              <w:t xml:space="preserve">Prior to initiating XELJANZ, it is recommended that all patients be brought up to date with all immunisations in agreement with current immunisation guidelines. It is recommended that live vaccines not be given concurrently with XELJANZ. The decision to use live vaccines prior to XELJANZ treatment should </w:t>
            </w:r>
            <w:proofErr w:type="gramStart"/>
            <w:r w:rsidRPr="004F1EA4">
              <w:rPr>
                <w:rFonts w:ascii="Arial" w:hAnsi="Arial" w:cs="Arial"/>
                <w:b w:val="0"/>
                <w:bCs/>
                <w:iCs/>
              </w:rPr>
              <w:t>take into account</w:t>
            </w:r>
            <w:proofErr w:type="gramEnd"/>
            <w:r w:rsidRPr="004F1EA4">
              <w:rPr>
                <w:rFonts w:ascii="Arial" w:hAnsi="Arial" w:cs="Arial"/>
                <w:b w:val="0"/>
                <w:bCs/>
                <w:iCs/>
              </w:rPr>
              <w:t xml:space="preserve"> the pre-existing immunosuppression in a given patient.</w:t>
            </w:r>
          </w:p>
        </w:tc>
      </w:tr>
      <w:tr w:rsidR="002123E1" w:rsidRPr="004F1EA4" w14:paraId="4321F064" w14:textId="7C8B5781" w:rsidTr="002123E1">
        <w:tc>
          <w:tcPr>
            <w:tcW w:w="5000" w:type="pct"/>
          </w:tcPr>
          <w:p w14:paraId="09720EC3" w14:textId="77777777" w:rsidR="002123E1" w:rsidRPr="004F1EA4" w:rsidRDefault="002123E1" w:rsidP="003852E7">
            <w:pPr>
              <w:spacing w:line="480" w:lineRule="auto"/>
              <w:jc w:val="both"/>
              <w:rPr>
                <w:rFonts w:ascii="Arial" w:hAnsi="Arial" w:cs="Arial"/>
                <w:sz w:val="20"/>
                <w:szCs w:val="20"/>
                <w:lang w:val="en-GB"/>
              </w:rPr>
            </w:pPr>
          </w:p>
        </w:tc>
      </w:tr>
      <w:tr w:rsidR="002123E1" w:rsidRPr="004F1EA4" w14:paraId="0649F8EF" w14:textId="53C99107" w:rsidTr="002123E1">
        <w:tc>
          <w:tcPr>
            <w:tcW w:w="5000" w:type="pct"/>
          </w:tcPr>
          <w:p w14:paraId="6A256D27" w14:textId="255ECD77" w:rsidR="002123E1" w:rsidRPr="004F1EA4" w:rsidRDefault="002123E1" w:rsidP="003852E7">
            <w:pPr>
              <w:spacing w:line="480" w:lineRule="auto"/>
              <w:jc w:val="both"/>
              <w:rPr>
                <w:rFonts w:ascii="Arial" w:hAnsi="Arial" w:cs="Arial"/>
                <w:sz w:val="20"/>
                <w:szCs w:val="20"/>
                <w:lang w:val="en-GB"/>
              </w:rPr>
            </w:pPr>
            <w:r w:rsidRPr="004F1EA4">
              <w:rPr>
                <w:rFonts w:ascii="Arial" w:hAnsi="Arial" w:cs="Arial"/>
                <w:sz w:val="20"/>
                <w:szCs w:val="20"/>
                <w:lang w:val="en-GB"/>
              </w:rPr>
              <w:t xml:space="preserve">Prophylactic zoster vaccination should be considered in accordance with vaccination guidelines. </w:t>
            </w:r>
            <w:proofErr w:type="gramStart"/>
            <w:r w:rsidRPr="004F1EA4">
              <w:rPr>
                <w:rFonts w:ascii="Arial" w:hAnsi="Arial" w:cs="Arial"/>
                <w:sz w:val="20"/>
                <w:szCs w:val="20"/>
                <w:lang w:val="en-GB"/>
              </w:rPr>
              <w:t>Particular consideration</w:t>
            </w:r>
            <w:proofErr w:type="gramEnd"/>
            <w:r w:rsidRPr="004F1EA4">
              <w:rPr>
                <w:rFonts w:ascii="Arial" w:hAnsi="Arial" w:cs="Arial"/>
                <w:sz w:val="20"/>
                <w:szCs w:val="20"/>
                <w:lang w:val="en-GB"/>
              </w:rPr>
              <w:t xml:space="preserve"> should be given to patients with longstanding RA who have previously received two or more biological DMARDs. If live zoster vaccine is administered, it should only be administered to patients with a known history of chickenpox or those that are seropositive for varicella zoster virus (VZV). If the history of chickenpox is considered doubtful or unreliable it is recommended to test for antibodies against VZV.</w:t>
            </w:r>
          </w:p>
        </w:tc>
      </w:tr>
      <w:tr w:rsidR="002123E1" w:rsidRPr="004F1EA4" w14:paraId="756301E1" w14:textId="462918F5" w:rsidTr="002123E1">
        <w:tc>
          <w:tcPr>
            <w:tcW w:w="5000" w:type="pct"/>
          </w:tcPr>
          <w:p w14:paraId="0A66EF34" w14:textId="77777777" w:rsidR="002123E1" w:rsidRPr="004F1EA4" w:rsidRDefault="002123E1" w:rsidP="003852E7">
            <w:pPr>
              <w:pStyle w:val="Heading2"/>
              <w:keepNext w:val="0"/>
              <w:spacing w:line="480" w:lineRule="auto"/>
              <w:jc w:val="both"/>
              <w:rPr>
                <w:i/>
                <w:sz w:val="20"/>
                <w:szCs w:val="20"/>
              </w:rPr>
            </w:pPr>
          </w:p>
        </w:tc>
      </w:tr>
      <w:tr w:rsidR="002123E1" w:rsidRPr="004F1EA4" w14:paraId="7EEDCB6B" w14:textId="2BAA223B" w:rsidTr="002123E1">
        <w:tc>
          <w:tcPr>
            <w:tcW w:w="5000" w:type="pct"/>
          </w:tcPr>
          <w:p w14:paraId="1B5C56AE" w14:textId="77777777" w:rsidR="002123E1" w:rsidRDefault="002123E1" w:rsidP="003852E7">
            <w:pPr>
              <w:pStyle w:val="Heading2"/>
              <w:keepNext w:val="0"/>
              <w:spacing w:line="480" w:lineRule="auto"/>
              <w:jc w:val="both"/>
              <w:rPr>
                <w:b w:val="0"/>
                <w:sz w:val="20"/>
                <w:szCs w:val="20"/>
              </w:rPr>
            </w:pPr>
            <w:r w:rsidRPr="004F1EA4">
              <w:rPr>
                <w:b w:val="0"/>
                <w:sz w:val="20"/>
                <w:szCs w:val="20"/>
              </w:rPr>
              <w:t>Vaccination with live vaccines should occur at least 2 weeks but preferably 4 weeks prior to initiation of XELJANZ or in accordance with current vaccination guidelines regarding immunomodulatory medicines. No data are available on the secondary transmission of infection by live vaccines to patients receiving XELJANZ.</w:t>
            </w:r>
          </w:p>
          <w:p w14:paraId="6ADD9DF4" w14:textId="04A725A8" w:rsidR="002123E1" w:rsidRPr="002123E1" w:rsidRDefault="002123E1" w:rsidP="002123E1">
            <w:pPr>
              <w:rPr>
                <w:lang w:val="en-GB"/>
              </w:rPr>
            </w:pPr>
          </w:p>
        </w:tc>
      </w:tr>
      <w:tr w:rsidR="002123E1" w:rsidRPr="004F1EA4" w14:paraId="7041DD1F" w14:textId="6849F800" w:rsidTr="002123E1">
        <w:tc>
          <w:tcPr>
            <w:tcW w:w="5000" w:type="pct"/>
          </w:tcPr>
          <w:p w14:paraId="2218712C" w14:textId="77777777" w:rsidR="002123E1" w:rsidRPr="004F1EA4" w:rsidRDefault="002123E1" w:rsidP="003852E7">
            <w:pPr>
              <w:spacing w:line="480" w:lineRule="auto"/>
              <w:jc w:val="both"/>
              <w:rPr>
                <w:rFonts w:ascii="Arial" w:hAnsi="Arial" w:cs="Arial"/>
                <w:b/>
                <w:bCs/>
                <w:sz w:val="20"/>
                <w:szCs w:val="20"/>
                <w:lang w:val="en-GB"/>
              </w:rPr>
            </w:pPr>
          </w:p>
        </w:tc>
      </w:tr>
      <w:tr w:rsidR="002123E1" w:rsidRPr="004F1EA4" w14:paraId="2200544E" w14:textId="61C8A245" w:rsidTr="002123E1">
        <w:tc>
          <w:tcPr>
            <w:tcW w:w="5000" w:type="pct"/>
          </w:tcPr>
          <w:p w14:paraId="316190F8" w14:textId="514AE695" w:rsidR="002123E1" w:rsidRPr="004F1EA4" w:rsidRDefault="002123E1" w:rsidP="003852E7">
            <w:pPr>
              <w:spacing w:line="480" w:lineRule="auto"/>
              <w:jc w:val="both"/>
              <w:rPr>
                <w:rFonts w:ascii="Arial" w:hAnsi="Arial" w:cs="Arial"/>
                <w:b/>
                <w:bCs/>
                <w:sz w:val="20"/>
                <w:szCs w:val="20"/>
                <w:lang w:val="en-GB"/>
              </w:rPr>
            </w:pPr>
            <w:r w:rsidRPr="004F1EA4">
              <w:rPr>
                <w:rFonts w:ascii="Arial" w:hAnsi="Arial" w:cs="Arial"/>
                <w:b/>
                <w:bCs/>
                <w:sz w:val="20"/>
                <w:szCs w:val="20"/>
                <w:lang w:val="en-GB"/>
              </w:rPr>
              <w:lastRenderedPageBreak/>
              <w:t xml:space="preserve">Excipients with known effect </w:t>
            </w:r>
          </w:p>
        </w:tc>
      </w:tr>
      <w:tr w:rsidR="002123E1" w:rsidRPr="004F1EA4" w14:paraId="6C4DC23C" w14:textId="2A051F20" w:rsidTr="002123E1">
        <w:tc>
          <w:tcPr>
            <w:tcW w:w="5000" w:type="pct"/>
          </w:tcPr>
          <w:p w14:paraId="3121E427" w14:textId="4F6AAD3F" w:rsidR="002123E1" w:rsidRPr="004F1EA4" w:rsidRDefault="002123E1" w:rsidP="003852E7">
            <w:pPr>
              <w:spacing w:line="480" w:lineRule="auto"/>
              <w:jc w:val="both"/>
              <w:rPr>
                <w:rFonts w:ascii="Arial" w:hAnsi="Arial" w:cs="Arial"/>
                <w:sz w:val="20"/>
                <w:szCs w:val="20"/>
                <w:lang w:val="en-GB"/>
              </w:rPr>
            </w:pPr>
            <w:r w:rsidRPr="004F1EA4">
              <w:rPr>
                <w:rFonts w:ascii="Arial" w:hAnsi="Arial" w:cs="Arial"/>
                <w:sz w:val="20"/>
                <w:szCs w:val="20"/>
                <w:lang w:val="en-GB"/>
              </w:rPr>
              <w:t xml:space="preserve">XELJANZ contains lactose. </w:t>
            </w:r>
          </w:p>
        </w:tc>
      </w:tr>
      <w:tr w:rsidR="002123E1" w:rsidRPr="004F1EA4" w14:paraId="34380B2A" w14:textId="77777777" w:rsidTr="002123E1">
        <w:tc>
          <w:tcPr>
            <w:tcW w:w="5000" w:type="pct"/>
          </w:tcPr>
          <w:p w14:paraId="1CCC32E8" w14:textId="77777777" w:rsidR="002123E1" w:rsidRPr="004F1EA4" w:rsidRDefault="002123E1" w:rsidP="003852E7">
            <w:pPr>
              <w:spacing w:line="480" w:lineRule="auto"/>
              <w:jc w:val="both"/>
              <w:rPr>
                <w:rFonts w:ascii="Arial" w:hAnsi="Arial" w:cs="Arial"/>
                <w:sz w:val="20"/>
                <w:szCs w:val="20"/>
                <w:lang w:val="en-GB"/>
              </w:rPr>
            </w:pPr>
          </w:p>
        </w:tc>
      </w:tr>
      <w:tr w:rsidR="002123E1" w:rsidRPr="004F1EA4" w14:paraId="1FB7A7C8" w14:textId="7244D90F" w:rsidTr="002123E1">
        <w:tc>
          <w:tcPr>
            <w:tcW w:w="5000" w:type="pct"/>
          </w:tcPr>
          <w:p w14:paraId="027054EC" w14:textId="1DE59B07" w:rsidR="002123E1" w:rsidRPr="004F1EA4" w:rsidRDefault="002123E1" w:rsidP="003852E7">
            <w:pPr>
              <w:widowControl w:val="0"/>
              <w:spacing w:line="480" w:lineRule="auto"/>
              <w:jc w:val="both"/>
              <w:rPr>
                <w:rFonts w:ascii="Arial" w:hAnsi="Arial" w:cs="Arial"/>
                <w:bCs/>
                <w:sz w:val="20"/>
                <w:szCs w:val="20"/>
                <w:lang w:val="en-GB"/>
              </w:rPr>
            </w:pPr>
            <w:r w:rsidRPr="004F1EA4">
              <w:rPr>
                <w:rFonts w:ascii="Arial" w:hAnsi="Arial" w:cs="Arial"/>
                <w:sz w:val="20"/>
                <w:szCs w:val="20"/>
                <w:lang w:val="en-GB"/>
              </w:rPr>
              <w:t>Patients with</w:t>
            </w:r>
            <w:r>
              <w:rPr>
                <w:rFonts w:ascii="Arial" w:hAnsi="Arial" w:cs="Arial"/>
                <w:sz w:val="20"/>
                <w:szCs w:val="20"/>
                <w:lang w:val="en-GB"/>
              </w:rPr>
              <w:t xml:space="preserve"> </w:t>
            </w:r>
            <w:r w:rsidRPr="004F1EA4">
              <w:rPr>
                <w:rFonts w:ascii="Arial" w:hAnsi="Arial" w:cs="Arial"/>
                <w:sz w:val="20"/>
                <w:szCs w:val="20"/>
                <w:lang w:val="en-GB"/>
              </w:rPr>
              <w:t xml:space="preserve">hereditary conditions of galactose intolerance e.g. </w:t>
            </w:r>
            <w:proofErr w:type="spellStart"/>
            <w:r w:rsidRPr="004F1EA4">
              <w:rPr>
                <w:rFonts w:ascii="Arial" w:hAnsi="Arial" w:cs="Arial"/>
                <w:sz w:val="20"/>
                <w:szCs w:val="20"/>
                <w:lang w:val="en-GB"/>
              </w:rPr>
              <w:t>galactosaemia</w:t>
            </w:r>
            <w:proofErr w:type="spellEnd"/>
            <w:r w:rsidRPr="004F1EA4">
              <w:rPr>
                <w:rFonts w:ascii="Arial" w:hAnsi="Arial" w:cs="Arial"/>
                <w:sz w:val="20"/>
                <w:szCs w:val="20"/>
                <w:lang w:val="en-GB"/>
              </w:rPr>
              <w:t xml:space="preserve">, Lapp lactase deficiency or glucose-galactose malabsorption should not take XELJANZ. XELJANZ may </w:t>
            </w:r>
            <w:proofErr w:type="gramStart"/>
            <w:r w:rsidRPr="004F1EA4">
              <w:rPr>
                <w:rFonts w:ascii="Arial" w:hAnsi="Arial" w:cs="Arial"/>
                <w:sz w:val="20"/>
                <w:szCs w:val="20"/>
                <w:lang w:val="en-GB"/>
              </w:rPr>
              <w:t>have an effect on</w:t>
            </w:r>
            <w:proofErr w:type="gramEnd"/>
            <w:r w:rsidRPr="004F1EA4">
              <w:rPr>
                <w:rFonts w:ascii="Arial" w:hAnsi="Arial" w:cs="Arial"/>
                <w:sz w:val="20"/>
                <w:szCs w:val="20"/>
                <w:lang w:val="en-GB"/>
              </w:rPr>
              <w:t xml:space="preserve"> the glycaemic control of patients with diabetes mellitus.</w:t>
            </w:r>
          </w:p>
        </w:tc>
      </w:tr>
      <w:tr w:rsidR="002123E1" w:rsidRPr="004F1EA4" w14:paraId="559E608B" w14:textId="26589BE6" w:rsidTr="002123E1">
        <w:tc>
          <w:tcPr>
            <w:tcW w:w="5000" w:type="pct"/>
          </w:tcPr>
          <w:p w14:paraId="152ADB3C" w14:textId="77777777" w:rsidR="002123E1" w:rsidRPr="004F1EA4" w:rsidRDefault="002123E1" w:rsidP="003852E7">
            <w:pPr>
              <w:widowControl w:val="0"/>
              <w:spacing w:line="480" w:lineRule="auto"/>
              <w:jc w:val="both"/>
              <w:rPr>
                <w:rFonts w:ascii="Arial" w:hAnsi="Arial" w:cs="Arial"/>
                <w:sz w:val="20"/>
                <w:szCs w:val="20"/>
                <w:lang w:val="en-GB"/>
              </w:rPr>
            </w:pPr>
          </w:p>
        </w:tc>
      </w:tr>
      <w:tr w:rsidR="002123E1" w:rsidRPr="004F1EA4" w14:paraId="50C9626C" w14:textId="2AD4C591" w:rsidTr="002123E1">
        <w:tc>
          <w:tcPr>
            <w:tcW w:w="5000" w:type="pct"/>
          </w:tcPr>
          <w:p w14:paraId="58CD3F8F" w14:textId="209698B4" w:rsidR="002123E1" w:rsidRPr="004F1EA4" w:rsidRDefault="002123E1" w:rsidP="003852E7">
            <w:pPr>
              <w:widowControl w:val="0"/>
              <w:spacing w:line="480" w:lineRule="auto"/>
              <w:jc w:val="both"/>
              <w:rPr>
                <w:rFonts w:ascii="Arial" w:hAnsi="Arial" w:cs="Arial"/>
                <w:b/>
                <w:sz w:val="20"/>
                <w:szCs w:val="20"/>
                <w:lang w:val="en-GB"/>
              </w:rPr>
            </w:pPr>
            <w:r w:rsidRPr="004F1EA4">
              <w:rPr>
                <w:rFonts w:ascii="Arial" w:hAnsi="Arial" w:cs="Arial"/>
                <w:b/>
                <w:sz w:val="20"/>
                <w:szCs w:val="20"/>
                <w:lang w:val="en-GB"/>
              </w:rPr>
              <w:t>4.5 Interaction with other medicinal products and other forms of interaction</w:t>
            </w:r>
          </w:p>
        </w:tc>
      </w:tr>
      <w:tr w:rsidR="002123E1" w:rsidRPr="004F1EA4" w14:paraId="47333977" w14:textId="45FD9A9B" w:rsidTr="002123E1">
        <w:tc>
          <w:tcPr>
            <w:tcW w:w="5000" w:type="pct"/>
          </w:tcPr>
          <w:p w14:paraId="1C21F421" w14:textId="6A563FF1" w:rsidR="002123E1" w:rsidRPr="004F1EA4" w:rsidRDefault="002123E1" w:rsidP="003852E7">
            <w:pPr>
              <w:widowControl w:val="0"/>
              <w:spacing w:line="480" w:lineRule="auto"/>
              <w:jc w:val="both"/>
              <w:rPr>
                <w:rFonts w:ascii="Arial" w:hAnsi="Arial" w:cs="Arial"/>
                <w:bCs/>
                <w:i/>
                <w:sz w:val="20"/>
                <w:szCs w:val="20"/>
                <w:lang w:val="en-GB"/>
              </w:rPr>
            </w:pPr>
            <w:r w:rsidRPr="004F1EA4">
              <w:rPr>
                <w:rFonts w:ascii="Arial" w:hAnsi="Arial" w:cs="Arial"/>
                <w:bCs/>
                <w:i/>
                <w:sz w:val="20"/>
                <w:szCs w:val="20"/>
                <w:lang w:val="en-GB"/>
              </w:rPr>
              <w:t>Potential for other medicines to influence the pharmacokinetics (PK) of tofacitinib.</w:t>
            </w:r>
          </w:p>
        </w:tc>
      </w:tr>
      <w:tr w:rsidR="002123E1" w:rsidRPr="004F1EA4" w14:paraId="757249AE" w14:textId="660CDBF3" w:rsidTr="002123E1">
        <w:tc>
          <w:tcPr>
            <w:tcW w:w="5000" w:type="pct"/>
          </w:tcPr>
          <w:p w14:paraId="4305D201" w14:textId="2309A198" w:rsidR="002123E1" w:rsidRPr="004F1EA4" w:rsidRDefault="002123E1" w:rsidP="003852E7">
            <w:pPr>
              <w:spacing w:line="480" w:lineRule="auto"/>
              <w:jc w:val="both"/>
              <w:rPr>
                <w:rFonts w:ascii="Arial" w:hAnsi="Arial" w:cs="Arial"/>
                <w:sz w:val="20"/>
                <w:szCs w:val="20"/>
                <w:lang w:val="en-GB"/>
              </w:rPr>
            </w:pPr>
            <w:r w:rsidRPr="004F1EA4">
              <w:rPr>
                <w:rFonts w:ascii="Arial" w:hAnsi="Arial" w:cs="Arial"/>
                <w:sz w:val="20"/>
                <w:szCs w:val="20"/>
                <w:lang w:val="en-GB"/>
              </w:rPr>
              <w:t>Since tofacitinib is metabolised by CYP3A4, interaction with medicines that inhibit or induce CYP3A4 is likely. Tofacitinib exposure is increased when co-administered with potent inhibitors of CYP3A4 (e.g., ketoconazole) or when administration of one or more concomitant medicines results in both moderate inhibition of CYP3A4 and potent inhibition of CYP2C19 (e.g., fluconazole) (see section 4.2).</w:t>
            </w:r>
          </w:p>
        </w:tc>
      </w:tr>
      <w:tr w:rsidR="002123E1" w:rsidRPr="004F1EA4" w14:paraId="4800C715" w14:textId="52CCA9EB" w:rsidTr="002123E1">
        <w:tc>
          <w:tcPr>
            <w:tcW w:w="5000" w:type="pct"/>
          </w:tcPr>
          <w:p w14:paraId="540E5D40" w14:textId="4C6CFAE5" w:rsidR="002123E1" w:rsidRPr="004F1EA4" w:rsidRDefault="002123E1" w:rsidP="003852E7">
            <w:pPr>
              <w:spacing w:line="480" w:lineRule="auto"/>
              <w:jc w:val="both"/>
              <w:rPr>
                <w:rFonts w:ascii="Arial" w:hAnsi="Arial" w:cs="Arial"/>
                <w:i/>
                <w:sz w:val="20"/>
                <w:szCs w:val="20"/>
                <w:lang w:val="en-GB"/>
              </w:rPr>
            </w:pPr>
          </w:p>
        </w:tc>
      </w:tr>
      <w:tr w:rsidR="002123E1" w:rsidRPr="004F1EA4" w14:paraId="5C1B7242" w14:textId="50EB62C3" w:rsidTr="002123E1">
        <w:trPr>
          <w:trHeight w:val="1016"/>
        </w:trPr>
        <w:tc>
          <w:tcPr>
            <w:tcW w:w="5000" w:type="pct"/>
          </w:tcPr>
          <w:p w14:paraId="5D878D93" w14:textId="0FAA1B42" w:rsidR="002123E1" w:rsidRPr="004F1EA4" w:rsidRDefault="002123E1" w:rsidP="003852E7">
            <w:pPr>
              <w:widowControl w:val="0"/>
              <w:spacing w:line="480" w:lineRule="auto"/>
              <w:jc w:val="both"/>
              <w:rPr>
                <w:rFonts w:ascii="Arial" w:hAnsi="Arial" w:cs="Arial"/>
                <w:sz w:val="20"/>
                <w:szCs w:val="20"/>
                <w:lang w:val="en-GB"/>
              </w:rPr>
            </w:pPr>
            <w:r w:rsidRPr="004F1EA4">
              <w:rPr>
                <w:rFonts w:ascii="Arial" w:hAnsi="Arial" w:cs="Arial"/>
                <w:sz w:val="20"/>
                <w:szCs w:val="20"/>
                <w:lang w:val="en-GB"/>
              </w:rPr>
              <w:t>Tofacitinib exposure is decreased when co-administered with potent CYP inducers (e.g., rifampicin). Inhibitors of CYP2C19 alone or P-glycoprotein are unlikely to significantly alter the PK of XELJANZ.</w:t>
            </w:r>
          </w:p>
        </w:tc>
      </w:tr>
      <w:tr w:rsidR="002123E1" w:rsidRPr="004F1EA4" w14:paraId="0C493C46" w14:textId="2795B1C1" w:rsidTr="002123E1">
        <w:tc>
          <w:tcPr>
            <w:tcW w:w="5000" w:type="pct"/>
          </w:tcPr>
          <w:p w14:paraId="79B6DA9B" w14:textId="77777777" w:rsidR="002123E1" w:rsidRPr="004F1EA4" w:rsidRDefault="002123E1" w:rsidP="003852E7">
            <w:pPr>
              <w:widowControl w:val="0"/>
              <w:spacing w:line="480" w:lineRule="auto"/>
              <w:rPr>
                <w:rFonts w:ascii="Arial" w:hAnsi="Arial" w:cs="Arial"/>
                <w:sz w:val="20"/>
                <w:szCs w:val="20"/>
                <w:lang w:val="en-GB"/>
              </w:rPr>
            </w:pPr>
          </w:p>
        </w:tc>
      </w:tr>
      <w:tr w:rsidR="002123E1" w:rsidRPr="004F1EA4" w14:paraId="61B851A2" w14:textId="507E1298" w:rsidTr="002123E1">
        <w:tc>
          <w:tcPr>
            <w:tcW w:w="5000" w:type="pct"/>
          </w:tcPr>
          <w:p w14:paraId="145A9850" w14:textId="1B1108A5" w:rsidR="002123E1" w:rsidRPr="004F1EA4" w:rsidRDefault="002123E1" w:rsidP="003852E7">
            <w:pPr>
              <w:autoSpaceDE w:val="0"/>
              <w:autoSpaceDN w:val="0"/>
              <w:adjustRightInd w:val="0"/>
              <w:spacing w:line="480" w:lineRule="auto"/>
              <w:jc w:val="both"/>
              <w:rPr>
                <w:rFonts w:ascii="Arial" w:eastAsia="SimSun" w:hAnsi="Arial" w:cs="Arial"/>
                <w:bCs/>
                <w:sz w:val="20"/>
                <w:szCs w:val="20"/>
                <w:lang w:val="en-GB" w:eastAsia="zh-CN"/>
              </w:rPr>
            </w:pPr>
            <w:r w:rsidRPr="004F1EA4">
              <w:rPr>
                <w:rFonts w:ascii="Arial" w:eastAsia="SimSun" w:hAnsi="Arial" w:cs="Arial"/>
                <w:bCs/>
                <w:sz w:val="20"/>
                <w:szCs w:val="20"/>
                <w:lang w:val="en-GB" w:eastAsia="zh-CN"/>
              </w:rPr>
              <w:t xml:space="preserve">Co-administration with ketoconazole (strong CYP3A4 inhibitor), fluconazole (moderate CYP3A4 and potent CYP2C19 inhibitor), tacrolimus (mild CYP3A4 inhibitor) and ciclosporin (moderate CYP3A4 inhibitor) increased tofacitinib AUC, while rifampicin (potent CYP inducer) decreased tofacitinib AUC. Co-administration of </w:t>
            </w:r>
            <w:r w:rsidRPr="004F1EA4">
              <w:rPr>
                <w:rFonts w:ascii="Arial" w:hAnsi="Arial" w:cs="Arial"/>
                <w:sz w:val="20"/>
                <w:szCs w:val="20"/>
                <w:lang w:val="en-GB"/>
              </w:rPr>
              <w:t xml:space="preserve">tofacitinib </w:t>
            </w:r>
            <w:r w:rsidRPr="004F1EA4">
              <w:rPr>
                <w:rFonts w:ascii="Arial" w:eastAsia="SimSun" w:hAnsi="Arial" w:cs="Arial"/>
                <w:bCs/>
                <w:sz w:val="20"/>
                <w:szCs w:val="20"/>
                <w:lang w:val="en-GB" w:eastAsia="zh-CN"/>
              </w:rPr>
              <w:t xml:space="preserve">with potent CYP inducers (e.g., rifampicin) may result in a loss of or reduced clinical response (see Figure 1). Co-administration of potent inducers of CYP3A4 with </w:t>
            </w:r>
            <w:r w:rsidRPr="004F1EA4">
              <w:rPr>
                <w:rFonts w:ascii="Arial" w:hAnsi="Arial" w:cs="Arial"/>
                <w:sz w:val="20"/>
                <w:szCs w:val="20"/>
                <w:lang w:val="en-GB"/>
              </w:rPr>
              <w:t xml:space="preserve">tofacitinib </w:t>
            </w:r>
            <w:r w:rsidRPr="004F1EA4">
              <w:rPr>
                <w:rFonts w:ascii="Arial" w:eastAsia="SimSun" w:hAnsi="Arial" w:cs="Arial"/>
                <w:bCs/>
                <w:sz w:val="20"/>
                <w:szCs w:val="20"/>
                <w:lang w:val="en-GB" w:eastAsia="zh-CN"/>
              </w:rPr>
              <w:t xml:space="preserve">is not recommended. Co-administration with ketoconazole and fluconazole increased tofacitinib </w:t>
            </w:r>
            <w:proofErr w:type="spellStart"/>
            <w:r w:rsidRPr="004F1EA4">
              <w:rPr>
                <w:rFonts w:ascii="Arial" w:eastAsia="SimSun" w:hAnsi="Arial" w:cs="Arial"/>
                <w:bCs/>
                <w:sz w:val="20"/>
                <w:szCs w:val="20"/>
                <w:lang w:val="en-GB" w:eastAsia="zh-CN"/>
              </w:rPr>
              <w:t>Cmax</w:t>
            </w:r>
            <w:proofErr w:type="spellEnd"/>
            <w:r w:rsidRPr="004F1EA4">
              <w:rPr>
                <w:rFonts w:ascii="Arial" w:eastAsia="SimSun" w:hAnsi="Arial" w:cs="Arial"/>
                <w:bCs/>
                <w:sz w:val="20"/>
                <w:szCs w:val="20"/>
                <w:lang w:val="en-GB" w:eastAsia="zh-CN"/>
              </w:rPr>
              <w:t xml:space="preserve">, while tacrolimus, ciclosporin and rifampicin decreased tofacitinib </w:t>
            </w:r>
            <w:proofErr w:type="spellStart"/>
            <w:r w:rsidRPr="004F1EA4">
              <w:rPr>
                <w:rFonts w:ascii="Arial" w:eastAsia="SimSun" w:hAnsi="Arial" w:cs="Arial"/>
                <w:bCs/>
                <w:sz w:val="20"/>
                <w:szCs w:val="20"/>
                <w:lang w:val="en-GB" w:eastAsia="zh-CN"/>
              </w:rPr>
              <w:t>Cmax</w:t>
            </w:r>
            <w:proofErr w:type="spellEnd"/>
            <w:r w:rsidRPr="004F1EA4">
              <w:rPr>
                <w:rFonts w:ascii="Arial" w:eastAsia="SimSun" w:hAnsi="Arial" w:cs="Arial"/>
                <w:bCs/>
                <w:sz w:val="20"/>
                <w:szCs w:val="20"/>
                <w:lang w:val="en-GB" w:eastAsia="zh-CN"/>
              </w:rPr>
              <w:t>. Concomitant administration with MTX 15 – 25 mg once weekly had no effect on the PK of tofacitinib</w:t>
            </w:r>
            <w:r w:rsidRPr="004F1EA4">
              <w:rPr>
                <w:sz w:val="20"/>
                <w:szCs w:val="20"/>
              </w:rPr>
              <w:t xml:space="preserve"> </w:t>
            </w:r>
            <w:r w:rsidRPr="004F1EA4">
              <w:rPr>
                <w:rFonts w:ascii="Arial" w:eastAsia="SimSun" w:hAnsi="Arial" w:cs="Arial"/>
                <w:bCs/>
                <w:sz w:val="20"/>
                <w:szCs w:val="20"/>
                <w:lang w:val="en-GB" w:eastAsia="zh-CN"/>
              </w:rPr>
              <w:t>in RA patients (see Figure 1).</w:t>
            </w:r>
          </w:p>
        </w:tc>
      </w:tr>
      <w:tr w:rsidR="002123E1" w:rsidRPr="004F1EA4" w14:paraId="35441805" w14:textId="73F07E58" w:rsidTr="002123E1">
        <w:tc>
          <w:tcPr>
            <w:tcW w:w="5000" w:type="pct"/>
          </w:tcPr>
          <w:p w14:paraId="37CE86A1" w14:textId="77777777" w:rsidR="002123E1" w:rsidRPr="004F1EA4" w:rsidRDefault="002123E1" w:rsidP="003852E7">
            <w:pPr>
              <w:pStyle w:val="Heading2"/>
              <w:keepNext w:val="0"/>
              <w:spacing w:line="480" w:lineRule="auto"/>
              <w:jc w:val="both"/>
              <w:rPr>
                <w:bCs w:val="0"/>
                <w:i/>
                <w:sz w:val="20"/>
                <w:szCs w:val="20"/>
              </w:rPr>
            </w:pPr>
          </w:p>
        </w:tc>
      </w:tr>
      <w:tr w:rsidR="002123E1" w:rsidRPr="004F1EA4" w14:paraId="6287FBA9" w14:textId="6C7054A9" w:rsidTr="002123E1">
        <w:trPr>
          <w:trHeight w:val="1925"/>
        </w:trPr>
        <w:tc>
          <w:tcPr>
            <w:tcW w:w="5000" w:type="pct"/>
          </w:tcPr>
          <w:p w14:paraId="4B567EAD" w14:textId="77777777" w:rsidR="002123E1" w:rsidRDefault="002123E1" w:rsidP="003852E7">
            <w:pPr>
              <w:pStyle w:val="Heading2"/>
              <w:keepNext w:val="0"/>
              <w:spacing w:line="480" w:lineRule="auto"/>
              <w:jc w:val="both"/>
              <w:rPr>
                <w:b w:val="0"/>
                <w:bCs w:val="0"/>
                <w:sz w:val="20"/>
                <w:szCs w:val="20"/>
              </w:rPr>
            </w:pPr>
            <w:r w:rsidRPr="004F1EA4">
              <w:rPr>
                <w:b w:val="0"/>
                <w:bCs w:val="0"/>
                <w:sz w:val="20"/>
                <w:szCs w:val="20"/>
              </w:rPr>
              <w:lastRenderedPageBreak/>
              <w:t>Figure 1. Impact of other medicines on PK of tofacitinib.</w:t>
            </w:r>
          </w:p>
          <w:p w14:paraId="3EC39FC6" w14:textId="77777777" w:rsidR="002123E1" w:rsidRDefault="002123E1" w:rsidP="003C391A">
            <w:pPr>
              <w:rPr>
                <w:lang w:val="en-GB"/>
              </w:rPr>
            </w:pPr>
          </w:p>
          <w:p w14:paraId="1B6D00BC" w14:textId="2E842BCA" w:rsidR="002123E1" w:rsidRDefault="002123E1" w:rsidP="003C391A">
            <w:pPr>
              <w:rPr>
                <w:lang w:val="en-GB"/>
              </w:rPr>
            </w:pPr>
            <w:r w:rsidRPr="004F1EA4">
              <w:rPr>
                <w:bCs/>
                <w:noProof/>
                <w:sz w:val="20"/>
                <w:szCs w:val="20"/>
              </w:rPr>
              <w:drawing>
                <wp:inline distT="0" distB="0" distL="0" distR="0" wp14:anchorId="1F90A20D" wp14:editId="484F6D95">
                  <wp:extent cx="4949359" cy="31831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635" cy="3226415"/>
                          </a:xfrm>
                          <a:prstGeom prst="rect">
                            <a:avLst/>
                          </a:prstGeom>
                          <a:noFill/>
                          <a:ln>
                            <a:noFill/>
                          </a:ln>
                        </pic:spPr>
                      </pic:pic>
                    </a:graphicData>
                  </a:graphic>
                </wp:inline>
              </w:drawing>
            </w:r>
          </w:p>
          <w:p w14:paraId="5B2B9D6C" w14:textId="77777777" w:rsidR="002123E1" w:rsidRPr="004F1EA4" w:rsidRDefault="002123E1" w:rsidP="003C391A">
            <w:pPr>
              <w:pStyle w:val="Heading2"/>
              <w:keepNext w:val="0"/>
              <w:spacing w:after="240" w:line="480" w:lineRule="auto"/>
              <w:jc w:val="both"/>
              <w:rPr>
                <w:b w:val="0"/>
                <w:bCs w:val="0"/>
                <w:sz w:val="20"/>
                <w:szCs w:val="20"/>
              </w:rPr>
            </w:pPr>
            <w:r w:rsidRPr="004F1EA4">
              <w:rPr>
                <w:b w:val="0"/>
                <w:bCs w:val="0"/>
                <w:sz w:val="20"/>
                <w:szCs w:val="20"/>
              </w:rPr>
              <w:t>Note: Reference group is administration of tofacitinib alone.</w:t>
            </w:r>
          </w:p>
          <w:p w14:paraId="7468A6C9" w14:textId="7BDF9DC2" w:rsidR="002123E1" w:rsidRPr="003C391A" w:rsidRDefault="002123E1" w:rsidP="003C391A">
            <w:pPr>
              <w:spacing w:line="480" w:lineRule="auto"/>
              <w:jc w:val="both"/>
              <w:rPr>
                <w:lang w:val="en-GB"/>
              </w:rPr>
            </w:pPr>
            <w:r w:rsidRPr="004F1EA4">
              <w:rPr>
                <w:rFonts w:ascii="Arial" w:hAnsi="Arial" w:cs="Arial"/>
                <w:sz w:val="20"/>
                <w:szCs w:val="20"/>
                <w:vertAlign w:val="superscript"/>
                <w:lang w:val="en-GB"/>
              </w:rPr>
              <w:t>a</w:t>
            </w:r>
            <w:r w:rsidRPr="004F1EA4">
              <w:rPr>
                <w:rFonts w:ascii="Arial" w:hAnsi="Arial" w:cs="Arial"/>
                <w:sz w:val="20"/>
                <w:szCs w:val="20"/>
                <w:lang w:val="en-GB"/>
              </w:rPr>
              <w:t xml:space="preserve"> XELJANZ dose should be reduced to 5 mg twice daily in patients receiving 10 mg twice daily. XELJANZ dose should be reduced to 5 mg once daily in patients receiving 5 mg twice daily (see section 4.2).</w:t>
            </w:r>
          </w:p>
        </w:tc>
      </w:tr>
      <w:tr w:rsidR="002123E1" w:rsidRPr="004F1EA4" w14:paraId="6A0F08D8" w14:textId="66196004" w:rsidTr="002123E1">
        <w:tc>
          <w:tcPr>
            <w:tcW w:w="5000" w:type="pct"/>
          </w:tcPr>
          <w:p w14:paraId="18D51269" w14:textId="008E7D15" w:rsidR="002123E1" w:rsidRPr="004F1EA4" w:rsidRDefault="002123E1" w:rsidP="003852E7">
            <w:pPr>
              <w:pStyle w:val="Heading2"/>
              <w:keepNext w:val="0"/>
              <w:spacing w:line="480" w:lineRule="auto"/>
              <w:jc w:val="both"/>
              <w:rPr>
                <w:bCs w:val="0"/>
                <w:sz w:val="20"/>
                <w:szCs w:val="20"/>
              </w:rPr>
            </w:pPr>
          </w:p>
        </w:tc>
      </w:tr>
      <w:tr w:rsidR="002123E1" w:rsidRPr="004F1EA4" w14:paraId="0C230D1F" w14:textId="79009A8E" w:rsidTr="002123E1">
        <w:tc>
          <w:tcPr>
            <w:tcW w:w="5000" w:type="pct"/>
          </w:tcPr>
          <w:p w14:paraId="544A4B79" w14:textId="0C89EED7" w:rsidR="002123E1" w:rsidRPr="004F1EA4" w:rsidRDefault="002123E1" w:rsidP="003852E7">
            <w:pPr>
              <w:pStyle w:val="Heading2"/>
              <w:keepNext w:val="0"/>
              <w:spacing w:line="480" w:lineRule="auto"/>
              <w:jc w:val="both"/>
              <w:rPr>
                <w:b w:val="0"/>
                <w:bCs w:val="0"/>
                <w:i/>
                <w:sz w:val="20"/>
                <w:szCs w:val="20"/>
              </w:rPr>
            </w:pPr>
            <w:r w:rsidRPr="004F1EA4">
              <w:rPr>
                <w:b w:val="0"/>
                <w:bCs w:val="0"/>
                <w:i/>
                <w:sz w:val="20"/>
                <w:szCs w:val="20"/>
              </w:rPr>
              <w:t xml:space="preserve">Potential for </w:t>
            </w:r>
            <w:r w:rsidRPr="004F1EA4">
              <w:rPr>
                <w:b w:val="0"/>
                <w:sz w:val="20"/>
                <w:szCs w:val="20"/>
              </w:rPr>
              <w:t>t</w:t>
            </w:r>
            <w:r w:rsidRPr="004F1EA4">
              <w:rPr>
                <w:b w:val="0"/>
                <w:i/>
                <w:sz w:val="20"/>
                <w:szCs w:val="20"/>
              </w:rPr>
              <w:t>ofacitinib</w:t>
            </w:r>
            <w:r w:rsidRPr="004F1EA4">
              <w:rPr>
                <w:b w:val="0"/>
                <w:bCs w:val="0"/>
                <w:i/>
                <w:sz w:val="20"/>
                <w:szCs w:val="20"/>
              </w:rPr>
              <w:t xml:space="preserve"> to influence the PK of other medicine</w:t>
            </w:r>
          </w:p>
        </w:tc>
      </w:tr>
      <w:tr w:rsidR="002123E1" w:rsidRPr="004F1EA4" w14:paraId="6D643522" w14:textId="64822114" w:rsidTr="002123E1">
        <w:tc>
          <w:tcPr>
            <w:tcW w:w="5000" w:type="pct"/>
          </w:tcPr>
          <w:p w14:paraId="4AEE653E" w14:textId="64D3FD3D" w:rsidR="002123E1" w:rsidRPr="004F1EA4" w:rsidRDefault="002123E1" w:rsidP="003852E7">
            <w:pPr>
              <w:pStyle w:val="Heading2"/>
              <w:keepNext w:val="0"/>
              <w:spacing w:line="480" w:lineRule="auto"/>
              <w:jc w:val="both"/>
              <w:rPr>
                <w:b w:val="0"/>
                <w:i/>
                <w:sz w:val="20"/>
                <w:szCs w:val="20"/>
              </w:rPr>
            </w:pPr>
            <w:r w:rsidRPr="004F1EA4">
              <w:rPr>
                <w:b w:val="0"/>
                <w:bCs w:val="0"/>
                <w:sz w:val="20"/>
                <w:szCs w:val="20"/>
              </w:rPr>
              <w:t>Co-administration of</w:t>
            </w:r>
            <w:r w:rsidRPr="004F1EA4">
              <w:rPr>
                <w:b w:val="0"/>
                <w:sz w:val="20"/>
                <w:szCs w:val="20"/>
              </w:rPr>
              <w:t xml:space="preserve"> tofacitinib</w:t>
            </w:r>
            <w:r w:rsidRPr="004F1EA4">
              <w:rPr>
                <w:b w:val="0"/>
                <w:bCs w:val="0"/>
                <w:sz w:val="20"/>
                <w:szCs w:val="20"/>
              </w:rPr>
              <w:t xml:space="preserve"> did not </w:t>
            </w:r>
            <w:proofErr w:type="gramStart"/>
            <w:r w:rsidRPr="004F1EA4">
              <w:rPr>
                <w:b w:val="0"/>
                <w:bCs w:val="0"/>
                <w:sz w:val="20"/>
                <w:szCs w:val="20"/>
              </w:rPr>
              <w:t>have an effect on</w:t>
            </w:r>
            <w:proofErr w:type="gramEnd"/>
            <w:r w:rsidRPr="004F1EA4">
              <w:rPr>
                <w:b w:val="0"/>
                <w:bCs w:val="0"/>
                <w:sz w:val="20"/>
                <w:szCs w:val="20"/>
              </w:rPr>
              <w:t xml:space="preserve"> the PK of oral contraceptives, levonorgestrel and ethinyl </w:t>
            </w:r>
            <w:proofErr w:type="spellStart"/>
            <w:r w:rsidRPr="004F1EA4">
              <w:rPr>
                <w:b w:val="0"/>
                <w:bCs w:val="0"/>
                <w:sz w:val="20"/>
                <w:szCs w:val="20"/>
              </w:rPr>
              <w:t>estradiol</w:t>
            </w:r>
            <w:proofErr w:type="spellEnd"/>
            <w:r w:rsidRPr="004F1EA4">
              <w:rPr>
                <w:b w:val="0"/>
                <w:bCs w:val="0"/>
                <w:sz w:val="20"/>
                <w:szCs w:val="20"/>
              </w:rPr>
              <w:t>, in healthy female volunteers.</w:t>
            </w:r>
          </w:p>
        </w:tc>
      </w:tr>
      <w:tr w:rsidR="002123E1" w:rsidRPr="004F1EA4" w14:paraId="570A5789" w14:textId="68DBD596" w:rsidTr="002123E1">
        <w:tc>
          <w:tcPr>
            <w:tcW w:w="5000" w:type="pct"/>
          </w:tcPr>
          <w:p w14:paraId="274CB8A6" w14:textId="77777777" w:rsidR="002123E1" w:rsidRPr="004F1EA4" w:rsidRDefault="002123E1" w:rsidP="003852E7">
            <w:pPr>
              <w:pStyle w:val="Heading2"/>
              <w:keepNext w:val="0"/>
              <w:spacing w:line="480" w:lineRule="auto"/>
              <w:jc w:val="both"/>
              <w:rPr>
                <w:b w:val="0"/>
                <w:bCs w:val="0"/>
                <w:sz w:val="20"/>
                <w:szCs w:val="20"/>
              </w:rPr>
            </w:pPr>
          </w:p>
        </w:tc>
      </w:tr>
      <w:tr w:rsidR="002123E1" w:rsidRPr="004F1EA4" w14:paraId="2542B378" w14:textId="44392D69" w:rsidTr="002123E1">
        <w:tc>
          <w:tcPr>
            <w:tcW w:w="5000" w:type="pct"/>
          </w:tcPr>
          <w:p w14:paraId="6C128E8C" w14:textId="77777777" w:rsidR="002123E1" w:rsidRDefault="002123E1" w:rsidP="003852E7">
            <w:pPr>
              <w:pStyle w:val="Heading2"/>
              <w:keepNext w:val="0"/>
              <w:spacing w:line="480" w:lineRule="auto"/>
              <w:jc w:val="both"/>
              <w:rPr>
                <w:b w:val="0"/>
                <w:sz w:val="20"/>
                <w:szCs w:val="20"/>
              </w:rPr>
            </w:pPr>
            <w:r w:rsidRPr="004F1EA4">
              <w:rPr>
                <w:b w:val="0"/>
                <w:sz w:val="20"/>
                <w:szCs w:val="20"/>
              </w:rPr>
              <w:t xml:space="preserve">In RA patients, co-administration of tofacitinib with MTX 15 - 25 mg once weekly decreased the AUC and </w:t>
            </w:r>
            <w:proofErr w:type="spellStart"/>
            <w:r w:rsidRPr="004F1EA4">
              <w:rPr>
                <w:b w:val="0"/>
                <w:sz w:val="20"/>
                <w:szCs w:val="20"/>
              </w:rPr>
              <w:t>Cmax</w:t>
            </w:r>
            <w:proofErr w:type="spellEnd"/>
            <w:r w:rsidRPr="004F1EA4">
              <w:rPr>
                <w:b w:val="0"/>
                <w:sz w:val="20"/>
                <w:szCs w:val="20"/>
              </w:rPr>
              <w:t xml:space="preserve"> of MTX by 10 % and </w:t>
            </w:r>
          </w:p>
          <w:p w14:paraId="0C761067" w14:textId="77777777" w:rsidR="002123E1" w:rsidRDefault="002123E1" w:rsidP="003852E7">
            <w:pPr>
              <w:pStyle w:val="Heading2"/>
              <w:keepNext w:val="0"/>
              <w:spacing w:line="480" w:lineRule="auto"/>
              <w:jc w:val="both"/>
              <w:rPr>
                <w:b w:val="0"/>
                <w:sz w:val="20"/>
                <w:szCs w:val="20"/>
              </w:rPr>
            </w:pPr>
            <w:r w:rsidRPr="004F1EA4">
              <w:rPr>
                <w:b w:val="0"/>
                <w:sz w:val="20"/>
                <w:szCs w:val="20"/>
              </w:rPr>
              <w:t>13 %, respectively. The extent of decrease in MTX exposure does not warrant modifications to the individualised dosing of MTX.</w:t>
            </w:r>
          </w:p>
          <w:p w14:paraId="0618344C" w14:textId="77777777" w:rsidR="002123E1" w:rsidRDefault="002123E1" w:rsidP="002123E1">
            <w:pPr>
              <w:rPr>
                <w:lang w:val="en-GB"/>
              </w:rPr>
            </w:pPr>
          </w:p>
          <w:p w14:paraId="77326898" w14:textId="77777777" w:rsidR="002123E1" w:rsidRDefault="002123E1" w:rsidP="002123E1">
            <w:pPr>
              <w:rPr>
                <w:lang w:val="en-GB"/>
              </w:rPr>
            </w:pPr>
          </w:p>
          <w:p w14:paraId="2D1BA74F" w14:textId="77777777" w:rsidR="002123E1" w:rsidRDefault="002123E1" w:rsidP="002123E1">
            <w:pPr>
              <w:rPr>
                <w:lang w:val="en-GB"/>
              </w:rPr>
            </w:pPr>
          </w:p>
          <w:p w14:paraId="092C867A" w14:textId="77777777" w:rsidR="002123E1" w:rsidRDefault="002123E1" w:rsidP="002123E1">
            <w:pPr>
              <w:rPr>
                <w:lang w:val="en-GB"/>
              </w:rPr>
            </w:pPr>
          </w:p>
          <w:p w14:paraId="09A3534E" w14:textId="18EE4DD4" w:rsidR="002123E1" w:rsidRPr="002123E1" w:rsidRDefault="002123E1" w:rsidP="002123E1">
            <w:pPr>
              <w:rPr>
                <w:lang w:val="en-GB"/>
              </w:rPr>
            </w:pPr>
          </w:p>
        </w:tc>
      </w:tr>
      <w:tr w:rsidR="002123E1" w:rsidRPr="004F1EA4" w14:paraId="3EB0F3E4" w14:textId="0AADE3CB" w:rsidTr="002123E1">
        <w:tc>
          <w:tcPr>
            <w:tcW w:w="5000" w:type="pct"/>
          </w:tcPr>
          <w:p w14:paraId="07B74DB6" w14:textId="77777777" w:rsidR="002123E1" w:rsidRPr="004F1EA4" w:rsidRDefault="002123E1" w:rsidP="003852E7">
            <w:pPr>
              <w:pStyle w:val="Heading2"/>
              <w:keepNext w:val="0"/>
              <w:spacing w:line="480" w:lineRule="auto"/>
              <w:jc w:val="both"/>
              <w:rPr>
                <w:i/>
                <w:sz w:val="20"/>
                <w:szCs w:val="20"/>
              </w:rPr>
            </w:pPr>
          </w:p>
        </w:tc>
      </w:tr>
      <w:tr w:rsidR="002123E1" w:rsidRPr="004F1EA4" w14:paraId="26931DDF" w14:textId="02C24000" w:rsidTr="002123E1">
        <w:tc>
          <w:tcPr>
            <w:tcW w:w="5000" w:type="pct"/>
          </w:tcPr>
          <w:p w14:paraId="065CF5F1" w14:textId="77057CDB" w:rsidR="002123E1" w:rsidRPr="004F1EA4" w:rsidRDefault="002123E1" w:rsidP="003852E7">
            <w:pPr>
              <w:pStyle w:val="Heading2"/>
              <w:keepNext w:val="0"/>
              <w:spacing w:line="480" w:lineRule="auto"/>
              <w:jc w:val="both"/>
              <w:rPr>
                <w:sz w:val="20"/>
                <w:szCs w:val="20"/>
              </w:rPr>
            </w:pPr>
            <w:r w:rsidRPr="004F1EA4">
              <w:rPr>
                <w:sz w:val="20"/>
                <w:szCs w:val="20"/>
              </w:rPr>
              <w:lastRenderedPageBreak/>
              <w:t>4.6 Fertility, pregnancy and lactation</w:t>
            </w:r>
          </w:p>
        </w:tc>
      </w:tr>
      <w:tr w:rsidR="002123E1" w:rsidRPr="004F1EA4" w14:paraId="765BB0E0" w14:textId="257F9C15" w:rsidTr="002123E1">
        <w:tc>
          <w:tcPr>
            <w:tcW w:w="5000" w:type="pct"/>
          </w:tcPr>
          <w:p w14:paraId="63AB205F" w14:textId="20CC8402" w:rsidR="002123E1" w:rsidRPr="00C6595B" w:rsidRDefault="002123E1" w:rsidP="003852E7">
            <w:pPr>
              <w:pStyle w:val="Heading2"/>
              <w:spacing w:line="480" w:lineRule="auto"/>
              <w:jc w:val="both"/>
              <w:rPr>
                <w:sz w:val="20"/>
                <w:szCs w:val="20"/>
              </w:rPr>
            </w:pPr>
            <w:r w:rsidRPr="00C6595B">
              <w:rPr>
                <w:sz w:val="20"/>
                <w:szCs w:val="20"/>
              </w:rPr>
              <w:t>Women of childbearing potential/contraception in females</w:t>
            </w:r>
          </w:p>
        </w:tc>
      </w:tr>
      <w:tr w:rsidR="002123E1" w:rsidRPr="004F1EA4" w14:paraId="78908EB9" w14:textId="58518CDB" w:rsidTr="002123E1">
        <w:tc>
          <w:tcPr>
            <w:tcW w:w="5000" w:type="pct"/>
          </w:tcPr>
          <w:p w14:paraId="18B62A29" w14:textId="37574F3B" w:rsidR="002123E1" w:rsidRPr="004F1EA4" w:rsidRDefault="002123E1" w:rsidP="003852E7">
            <w:pPr>
              <w:pStyle w:val="Heading2"/>
              <w:spacing w:line="480" w:lineRule="auto"/>
              <w:jc w:val="both"/>
              <w:rPr>
                <w:b w:val="0"/>
                <w:i/>
                <w:sz w:val="20"/>
                <w:szCs w:val="20"/>
              </w:rPr>
            </w:pPr>
            <w:r w:rsidRPr="004F1EA4">
              <w:rPr>
                <w:b w:val="0"/>
                <w:sz w:val="20"/>
                <w:szCs w:val="20"/>
              </w:rPr>
              <w:t>Women of childbearing potential should be advised to use effective contraception during treatment with XELJANZ and for at least 4 weeks after the last dose.</w:t>
            </w:r>
          </w:p>
        </w:tc>
      </w:tr>
      <w:tr w:rsidR="002123E1" w:rsidRPr="004F1EA4" w14:paraId="37C55A75" w14:textId="42CE61D9" w:rsidTr="002123E1">
        <w:tc>
          <w:tcPr>
            <w:tcW w:w="5000" w:type="pct"/>
          </w:tcPr>
          <w:p w14:paraId="01DC5953" w14:textId="77777777" w:rsidR="002123E1" w:rsidRPr="004F1EA4" w:rsidRDefault="002123E1" w:rsidP="003852E7">
            <w:pPr>
              <w:pStyle w:val="Heading2"/>
              <w:spacing w:line="480" w:lineRule="auto"/>
              <w:jc w:val="both"/>
              <w:rPr>
                <w:b w:val="0"/>
                <w:i/>
                <w:sz w:val="20"/>
                <w:szCs w:val="20"/>
              </w:rPr>
            </w:pPr>
          </w:p>
        </w:tc>
      </w:tr>
      <w:tr w:rsidR="002123E1" w:rsidRPr="004F1EA4" w14:paraId="26C29681" w14:textId="65E3F6AC" w:rsidTr="002123E1">
        <w:tc>
          <w:tcPr>
            <w:tcW w:w="5000" w:type="pct"/>
          </w:tcPr>
          <w:p w14:paraId="2883EAF6" w14:textId="7E4EDF57" w:rsidR="002123E1" w:rsidRPr="00C6595B" w:rsidRDefault="002123E1" w:rsidP="003852E7">
            <w:pPr>
              <w:pStyle w:val="Heading2"/>
              <w:spacing w:line="480" w:lineRule="auto"/>
              <w:jc w:val="both"/>
              <w:rPr>
                <w:sz w:val="20"/>
                <w:szCs w:val="20"/>
              </w:rPr>
            </w:pPr>
            <w:r w:rsidRPr="00C6595B">
              <w:rPr>
                <w:sz w:val="20"/>
                <w:szCs w:val="20"/>
              </w:rPr>
              <w:t>Pregnancy</w:t>
            </w:r>
          </w:p>
        </w:tc>
      </w:tr>
      <w:tr w:rsidR="002123E1" w:rsidRPr="004F1EA4" w14:paraId="6D6E92A7" w14:textId="0F8924A2" w:rsidTr="002123E1">
        <w:tc>
          <w:tcPr>
            <w:tcW w:w="5000" w:type="pct"/>
          </w:tcPr>
          <w:p w14:paraId="55C74749" w14:textId="6F8448ED" w:rsidR="002123E1" w:rsidRPr="004F1EA4" w:rsidRDefault="002123E1" w:rsidP="003852E7">
            <w:pPr>
              <w:pStyle w:val="Heading2"/>
              <w:spacing w:line="480" w:lineRule="auto"/>
              <w:jc w:val="both"/>
              <w:rPr>
                <w:b w:val="0"/>
                <w:sz w:val="20"/>
                <w:szCs w:val="20"/>
              </w:rPr>
            </w:pPr>
            <w:r w:rsidRPr="004F1EA4">
              <w:rPr>
                <w:b w:val="0"/>
                <w:sz w:val="20"/>
                <w:szCs w:val="20"/>
              </w:rPr>
              <w:t>There are no adequate and well-controlled studies on the use of XELJANZ in pregnant women. XELJANZ has been shown to be teratogenic in rats and rabbits, and to affect parturition and peri/postnatal development (see section 5.3).</w:t>
            </w:r>
          </w:p>
        </w:tc>
      </w:tr>
      <w:tr w:rsidR="002123E1" w:rsidRPr="004F1EA4" w14:paraId="4CA7D69B" w14:textId="4546E2C5" w:rsidTr="002123E1">
        <w:tc>
          <w:tcPr>
            <w:tcW w:w="5000" w:type="pct"/>
          </w:tcPr>
          <w:p w14:paraId="74FE701E" w14:textId="77777777" w:rsidR="002123E1" w:rsidRPr="004F1EA4" w:rsidRDefault="002123E1" w:rsidP="003852E7">
            <w:pPr>
              <w:pStyle w:val="Heading2"/>
              <w:keepNext w:val="0"/>
              <w:spacing w:line="480" w:lineRule="auto"/>
              <w:jc w:val="both"/>
              <w:rPr>
                <w:b w:val="0"/>
                <w:sz w:val="20"/>
                <w:szCs w:val="20"/>
              </w:rPr>
            </w:pPr>
          </w:p>
        </w:tc>
      </w:tr>
      <w:tr w:rsidR="002123E1" w:rsidRPr="004F1EA4" w14:paraId="0B5007E0" w14:textId="1C588E3B" w:rsidTr="002123E1">
        <w:tc>
          <w:tcPr>
            <w:tcW w:w="5000" w:type="pct"/>
          </w:tcPr>
          <w:p w14:paraId="0D7A6EBA" w14:textId="095783AE" w:rsidR="002123E1" w:rsidRPr="004F1EA4" w:rsidRDefault="002123E1" w:rsidP="003852E7">
            <w:pPr>
              <w:pStyle w:val="Heading2"/>
              <w:keepNext w:val="0"/>
              <w:spacing w:line="480" w:lineRule="auto"/>
              <w:jc w:val="both"/>
              <w:rPr>
                <w:b w:val="0"/>
                <w:sz w:val="20"/>
                <w:szCs w:val="20"/>
              </w:rPr>
            </w:pPr>
            <w:r w:rsidRPr="004F1EA4">
              <w:rPr>
                <w:b w:val="0"/>
                <w:sz w:val="20"/>
                <w:szCs w:val="20"/>
              </w:rPr>
              <w:t>As a precautionary measure, the use of XELJANZ during pregnancy is contraindicated (see section 4.3).</w:t>
            </w:r>
          </w:p>
        </w:tc>
      </w:tr>
      <w:tr w:rsidR="002123E1" w:rsidRPr="004F1EA4" w14:paraId="18C67CE0" w14:textId="39D950F0" w:rsidTr="002123E1">
        <w:tc>
          <w:tcPr>
            <w:tcW w:w="5000" w:type="pct"/>
          </w:tcPr>
          <w:p w14:paraId="1C711018" w14:textId="45FCF020" w:rsidR="002123E1" w:rsidRPr="004F1EA4" w:rsidRDefault="002123E1" w:rsidP="003852E7">
            <w:pPr>
              <w:pStyle w:val="Heading2"/>
              <w:keepNext w:val="0"/>
              <w:spacing w:line="480" w:lineRule="auto"/>
              <w:jc w:val="both"/>
              <w:rPr>
                <w:sz w:val="20"/>
                <w:szCs w:val="20"/>
              </w:rPr>
            </w:pPr>
          </w:p>
        </w:tc>
      </w:tr>
      <w:tr w:rsidR="002123E1" w:rsidRPr="004F1EA4" w14:paraId="7910028D" w14:textId="43D379FF" w:rsidTr="002123E1">
        <w:tc>
          <w:tcPr>
            <w:tcW w:w="5000" w:type="pct"/>
          </w:tcPr>
          <w:p w14:paraId="730B9EC1" w14:textId="2E266D21" w:rsidR="002123E1" w:rsidRPr="00C6595B" w:rsidRDefault="002123E1" w:rsidP="003852E7">
            <w:pPr>
              <w:spacing w:line="480" w:lineRule="auto"/>
              <w:jc w:val="both"/>
              <w:rPr>
                <w:rFonts w:ascii="Arial" w:hAnsi="Arial" w:cs="Arial"/>
                <w:b/>
                <w:sz w:val="20"/>
                <w:szCs w:val="20"/>
                <w:lang w:val="en-GB"/>
              </w:rPr>
            </w:pPr>
            <w:r w:rsidRPr="00C6595B">
              <w:rPr>
                <w:rFonts w:ascii="Arial" w:hAnsi="Arial" w:cs="Arial"/>
                <w:b/>
                <w:sz w:val="20"/>
                <w:szCs w:val="20"/>
                <w:lang w:val="en-GB"/>
              </w:rPr>
              <w:t>Breastfeeding</w:t>
            </w:r>
          </w:p>
        </w:tc>
      </w:tr>
      <w:tr w:rsidR="002123E1" w:rsidRPr="004F1EA4" w14:paraId="740BAEEC" w14:textId="36DB887B" w:rsidTr="002123E1">
        <w:tc>
          <w:tcPr>
            <w:tcW w:w="5000" w:type="pct"/>
          </w:tcPr>
          <w:p w14:paraId="629A6BC2" w14:textId="22AD7153" w:rsidR="002123E1" w:rsidRPr="004F1EA4" w:rsidRDefault="002123E1" w:rsidP="003852E7">
            <w:pPr>
              <w:spacing w:line="480" w:lineRule="auto"/>
              <w:jc w:val="both"/>
              <w:rPr>
                <w:rFonts w:ascii="Arial" w:hAnsi="Arial" w:cs="Arial"/>
                <w:bCs/>
                <w:sz w:val="20"/>
                <w:szCs w:val="20"/>
                <w:lang w:val="en-GB"/>
              </w:rPr>
            </w:pPr>
            <w:r w:rsidRPr="004F1EA4">
              <w:rPr>
                <w:rFonts w:ascii="Arial" w:hAnsi="Arial" w:cs="Arial"/>
                <w:bCs/>
                <w:sz w:val="20"/>
                <w:szCs w:val="20"/>
                <w:lang w:val="en-GB"/>
              </w:rPr>
              <w:t>It is not known whether XELJANZ is secreted in human milk. A risk to the breastfed child cannot be excluded. XELJANZ was secreted in the milk of lactating rats (see section 5.3). As a precautionary measure, the use of XELJANZ during breastfeeding is contraindicated (see section 4.3).</w:t>
            </w:r>
          </w:p>
        </w:tc>
      </w:tr>
      <w:tr w:rsidR="002123E1" w:rsidRPr="004F1EA4" w14:paraId="3C02F569" w14:textId="34F738C1" w:rsidTr="002123E1">
        <w:tc>
          <w:tcPr>
            <w:tcW w:w="5000" w:type="pct"/>
          </w:tcPr>
          <w:p w14:paraId="2BD3E2DC" w14:textId="77777777" w:rsidR="002123E1" w:rsidRPr="004F1EA4" w:rsidRDefault="002123E1" w:rsidP="003852E7">
            <w:pPr>
              <w:pStyle w:val="Heading2"/>
              <w:keepNext w:val="0"/>
              <w:spacing w:line="480" w:lineRule="auto"/>
              <w:jc w:val="both"/>
              <w:rPr>
                <w:iCs/>
                <w:sz w:val="20"/>
                <w:szCs w:val="20"/>
              </w:rPr>
            </w:pPr>
          </w:p>
        </w:tc>
      </w:tr>
      <w:tr w:rsidR="002123E1" w:rsidRPr="004F1EA4" w14:paraId="2A8AE713" w14:textId="0C8B0849" w:rsidTr="002123E1">
        <w:tc>
          <w:tcPr>
            <w:tcW w:w="5000" w:type="pct"/>
          </w:tcPr>
          <w:p w14:paraId="46A2ECC9" w14:textId="1E9C3E7E" w:rsidR="002123E1" w:rsidRPr="00C6595B" w:rsidRDefault="002123E1" w:rsidP="003852E7">
            <w:pPr>
              <w:pStyle w:val="Heading2"/>
              <w:keepNext w:val="0"/>
              <w:spacing w:line="480" w:lineRule="auto"/>
              <w:jc w:val="both"/>
              <w:rPr>
                <w:iCs/>
                <w:sz w:val="20"/>
                <w:szCs w:val="20"/>
              </w:rPr>
            </w:pPr>
            <w:r w:rsidRPr="00C6595B">
              <w:rPr>
                <w:iCs/>
                <w:sz w:val="20"/>
                <w:szCs w:val="20"/>
              </w:rPr>
              <w:t>Fertility</w:t>
            </w:r>
          </w:p>
        </w:tc>
      </w:tr>
      <w:tr w:rsidR="002123E1" w:rsidRPr="004F1EA4" w14:paraId="07CC0CC5" w14:textId="6B5743F2" w:rsidTr="002123E1">
        <w:tc>
          <w:tcPr>
            <w:tcW w:w="5000" w:type="pct"/>
          </w:tcPr>
          <w:p w14:paraId="395E6AAC" w14:textId="56CCF592" w:rsidR="002123E1" w:rsidRPr="004F1EA4" w:rsidRDefault="002123E1" w:rsidP="003852E7">
            <w:pPr>
              <w:pStyle w:val="Heading2"/>
              <w:keepNext w:val="0"/>
              <w:spacing w:line="480" w:lineRule="auto"/>
              <w:jc w:val="both"/>
              <w:rPr>
                <w:b w:val="0"/>
                <w:iCs/>
                <w:sz w:val="20"/>
                <w:szCs w:val="20"/>
              </w:rPr>
            </w:pPr>
            <w:r w:rsidRPr="004F1EA4">
              <w:rPr>
                <w:b w:val="0"/>
                <w:iCs/>
                <w:sz w:val="20"/>
                <w:szCs w:val="20"/>
              </w:rPr>
              <w:t>Formal studies of the potential effect on human fertility have not been conducted. XELJANZ impaired female fertility but not male fertility in rats (see section 5.3).</w:t>
            </w:r>
          </w:p>
        </w:tc>
      </w:tr>
      <w:tr w:rsidR="002123E1" w:rsidRPr="004F1EA4" w14:paraId="20B7B985" w14:textId="786954ED" w:rsidTr="002123E1">
        <w:tc>
          <w:tcPr>
            <w:tcW w:w="5000" w:type="pct"/>
          </w:tcPr>
          <w:p w14:paraId="64F5CDE3" w14:textId="77777777" w:rsidR="002123E1" w:rsidRPr="004F1EA4" w:rsidRDefault="002123E1" w:rsidP="003852E7">
            <w:pPr>
              <w:spacing w:line="480" w:lineRule="auto"/>
              <w:jc w:val="both"/>
              <w:rPr>
                <w:rFonts w:ascii="Arial" w:hAnsi="Arial" w:cs="Arial"/>
                <w:bCs/>
                <w:sz w:val="20"/>
                <w:szCs w:val="20"/>
                <w:lang w:val="en-GB"/>
              </w:rPr>
            </w:pPr>
          </w:p>
        </w:tc>
      </w:tr>
      <w:tr w:rsidR="002123E1" w:rsidRPr="004F1EA4" w14:paraId="6C295E5C" w14:textId="25BD09B0" w:rsidTr="002123E1">
        <w:tc>
          <w:tcPr>
            <w:tcW w:w="5000" w:type="pct"/>
          </w:tcPr>
          <w:p w14:paraId="1A0422EA" w14:textId="5D57710A" w:rsidR="002123E1" w:rsidRPr="004F1EA4" w:rsidRDefault="002123E1" w:rsidP="003852E7">
            <w:pPr>
              <w:spacing w:line="480" w:lineRule="auto"/>
              <w:jc w:val="both"/>
              <w:rPr>
                <w:rFonts w:ascii="Arial" w:hAnsi="Arial" w:cs="Arial"/>
                <w:b/>
                <w:bCs/>
                <w:sz w:val="20"/>
                <w:szCs w:val="20"/>
                <w:lang w:val="en-GB"/>
              </w:rPr>
            </w:pPr>
            <w:r w:rsidRPr="004F1EA4">
              <w:rPr>
                <w:rFonts w:ascii="Arial" w:hAnsi="Arial" w:cs="Arial"/>
                <w:b/>
                <w:bCs/>
                <w:sz w:val="20"/>
                <w:szCs w:val="20"/>
                <w:lang w:val="en-GB"/>
              </w:rPr>
              <w:t>4.7 Effects on ability to drive and use machines</w:t>
            </w:r>
          </w:p>
        </w:tc>
      </w:tr>
      <w:tr w:rsidR="002123E1" w:rsidRPr="004F1EA4" w14:paraId="5F1FE7B5" w14:textId="31F47559" w:rsidTr="002123E1">
        <w:tc>
          <w:tcPr>
            <w:tcW w:w="5000" w:type="pct"/>
          </w:tcPr>
          <w:p w14:paraId="4234DDA2" w14:textId="5B7D7CBF" w:rsidR="002123E1" w:rsidRPr="004F1EA4" w:rsidRDefault="002123E1" w:rsidP="003852E7">
            <w:pPr>
              <w:spacing w:line="480" w:lineRule="auto"/>
              <w:jc w:val="both"/>
              <w:rPr>
                <w:rFonts w:ascii="Arial" w:hAnsi="Arial" w:cs="Arial"/>
                <w:bCs/>
                <w:sz w:val="20"/>
                <w:szCs w:val="20"/>
                <w:lang w:val="en-GB"/>
              </w:rPr>
            </w:pPr>
            <w:r w:rsidRPr="004F1EA4">
              <w:rPr>
                <w:rFonts w:ascii="Arial" w:hAnsi="Arial" w:cs="Arial"/>
                <w:bCs/>
                <w:sz w:val="20"/>
                <w:szCs w:val="20"/>
                <w:lang w:val="en-GB"/>
              </w:rPr>
              <w:t>XELJANZ has no or negligible influence on the ability to drive and use machines.</w:t>
            </w:r>
          </w:p>
        </w:tc>
      </w:tr>
      <w:tr w:rsidR="002123E1" w:rsidRPr="004F1EA4" w14:paraId="671CCA4C" w14:textId="51D19BA5" w:rsidTr="002123E1">
        <w:tc>
          <w:tcPr>
            <w:tcW w:w="5000" w:type="pct"/>
          </w:tcPr>
          <w:p w14:paraId="5465ACAE" w14:textId="77777777" w:rsidR="002123E1" w:rsidRPr="004F1EA4" w:rsidRDefault="002123E1" w:rsidP="003852E7">
            <w:pPr>
              <w:spacing w:line="480" w:lineRule="auto"/>
              <w:jc w:val="both"/>
              <w:rPr>
                <w:rFonts w:ascii="Arial" w:hAnsi="Arial" w:cs="Arial"/>
                <w:bCs/>
                <w:sz w:val="20"/>
                <w:szCs w:val="20"/>
                <w:lang w:val="en-GB"/>
              </w:rPr>
            </w:pPr>
          </w:p>
        </w:tc>
      </w:tr>
      <w:tr w:rsidR="002123E1" w:rsidRPr="004F1EA4" w14:paraId="1986406B" w14:textId="2BFB7778" w:rsidTr="002123E1">
        <w:tc>
          <w:tcPr>
            <w:tcW w:w="5000" w:type="pct"/>
          </w:tcPr>
          <w:p w14:paraId="06F57A88" w14:textId="1B27311C" w:rsidR="002123E1" w:rsidRPr="004F1EA4" w:rsidRDefault="002123E1" w:rsidP="003852E7">
            <w:pPr>
              <w:spacing w:line="480" w:lineRule="auto"/>
              <w:jc w:val="both"/>
              <w:rPr>
                <w:rFonts w:ascii="Arial" w:hAnsi="Arial" w:cs="Arial"/>
                <w:b/>
                <w:noProof/>
                <w:sz w:val="20"/>
                <w:szCs w:val="20"/>
                <w:lang w:val="en-GB"/>
              </w:rPr>
            </w:pPr>
            <w:r w:rsidRPr="004F1EA4">
              <w:rPr>
                <w:rFonts w:ascii="Arial" w:hAnsi="Arial" w:cs="Arial"/>
                <w:b/>
                <w:noProof/>
                <w:sz w:val="20"/>
                <w:szCs w:val="20"/>
                <w:lang w:val="en-GB"/>
              </w:rPr>
              <w:t>4.8 Undesirable effects</w:t>
            </w:r>
          </w:p>
        </w:tc>
      </w:tr>
      <w:tr w:rsidR="002123E1" w:rsidRPr="004F1EA4" w14:paraId="55AC3309" w14:textId="00994B3E" w:rsidTr="002123E1">
        <w:tc>
          <w:tcPr>
            <w:tcW w:w="5000" w:type="pct"/>
          </w:tcPr>
          <w:p w14:paraId="0C4510F3" w14:textId="676C067A" w:rsidR="002123E1" w:rsidRPr="004F1EA4" w:rsidRDefault="002123E1" w:rsidP="003852E7">
            <w:pPr>
              <w:spacing w:line="480" w:lineRule="auto"/>
              <w:jc w:val="both"/>
              <w:rPr>
                <w:rFonts w:ascii="Arial" w:hAnsi="Arial" w:cs="Arial"/>
                <w:i/>
                <w:noProof/>
                <w:sz w:val="20"/>
                <w:szCs w:val="20"/>
                <w:lang w:val="en-GB"/>
              </w:rPr>
            </w:pPr>
            <w:r w:rsidRPr="004F1EA4">
              <w:rPr>
                <w:rFonts w:ascii="Arial" w:hAnsi="Arial" w:cs="Arial"/>
                <w:i/>
                <w:noProof/>
                <w:sz w:val="20"/>
                <w:szCs w:val="20"/>
                <w:lang w:val="en-GB"/>
              </w:rPr>
              <w:t>Summary of the safety profile</w:t>
            </w:r>
          </w:p>
        </w:tc>
      </w:tr>
      <w:tr w:rsidR="002123E1" w:rsidRPr="004F1EA4" w14:paraId="11C823F9" w14:textId="4F7EBA6A" w:rsidTr="002123E1">
        <w:tc>
          <w:tcPr>
            <w:tcW w:w="5000" w:type="pct"/>
          </w:tcPr>
          <w:p w14:paraId="19898031" w14:textId="77777777" w:rsidR="002123E1" w:rsidRDefault="002123E1" w:rsidP="003852E7">
            <w:pPr>
              <w:spacing w:line="480" w:lineRule="auto"/>
              <w:jc w:val="both"/>
              <w:rPr>
                <w:rFonts w:ascii="Arial" w:hAnsi="Arial" w:cs="Arial"/>
                <w:noProof/>
                <w:sz w:val="20"/>
                <w:szCs w:val="20"/>
                <w:lang w:val="en-GB"/>
              </w:rPr>
            </w:pPr>
          </w:p>
          <w:p w14:paraId="7DF237E1" w14:textId="77777777" w:rsidR="002123E1" w:rsidRDefault="002123E1" w:rsidP="003852E7">
            <w:pPr>
              <w:spacing w:line="480" w:lineRule="auto"/>
              <w:jc w:val="both"/>
              <w:rPr>
                <w:rFonts w:ascii="Arial" w:hAnsi="Arial" w:cs="Arial"/>
                <w:noProof/>
                <w:sz w:val="20"/>
                <w:szCs w:val="20"/>
                <w:lang w:val="en-GB"/>
              </w:rPr>
            </w:pPr>
          </w:p>
          <w:p w14:paraId="23EA598B" w14:textId="4B079BD6" w:rsidR="002123E1" w:rsidRPr="004F1EA4" w:rsidRDefault="002123E1" w:rsidP="003852E7">
            <w:pPr>
              <w:spacing w:line="480" w:lineRule="auto"/>
              <w:jc w:val="both"/>
              <w:rPr>
                <w:rFonts w:ascii="Arial" w:hAnsi="Arial" w:cs="Arial"/>
                <w:noProof/>
                <w:sz w:val="20"/>
                <w:szCs w:val="20"/>
                <w:lang w:val="en-GB"/>
              </w:rPr>
            </w:pPr>
          </w:p>
        </w:tc>
      </w:tr>
      <w:tr w:rsidR="002123E1" w:rsidRPr="004F1EA4" w14:paraId="09D7E60C" w14:textId="78B04930" w:rsidTr="002123E1">
        <w:tc>
          <w:tcPr>
            <w:tcW w:w="5000" w:type="pct"/>
          </w:tcPr>
          <w:p w14:paraId="5B175F87" w14:textId="098B9EE9" w:rsidR="002123E1" w:rsidRPr="004F1EA4" w:rsidRDefault="002123E1" w:rsidP="003852E7">
            <w:pPr>
              <w:spacing w:line="480" w:lineRule="auto"/>
              <w:jc w:val="both"/>
              <w:rPr>
                <w:rFonts w:ascii="Arial" w:hAnsi="Arial" w:cs="Arial"/>
                <w:i/>
                <w:noProof/>
                <w:sz w:val="20"/>
                <w:szCs w:val="20"/>
                <w:lang w:val="en-GB"/>
              </w:rPr>
            </w:pPr>
            <w:r w:rsidRPr="004F1EA4">
              <w:rPr>
                <w:rFonts w:ascii="Arial" w:hAnsi="Arial" w:cs="Arial"/>
                <w:i/>
                <w:noProof/>
                <w:sz w:val="20"/>
                <w:szCs w:val="20"/>
                <w:lang w:val="en-GB"/>
              </w:rPr>
              <w:lastRenderedPageBreak/>
              <w:t>Rheumatoid arthritis</w:t>
            </w:r>
          </w:p>
        </w:tc>
      </w:tr>
      <w:tr w:rsidR="002123E1" w:rsidRPr="004F1EA4" w14:paraId="05AFD534" w14:textId="505A3FF6" w:rsidTr="002123E1">
        <w:tc>
          <w:tcPr>
            <w:tcW w:w="5000" w:type="pct"/>
          </w:tcPr>
          <w:p w14:paraId="6D95A6EC" w14:textId="519C45F5" w:rsidR="002123E1" w:rsidRPr="004F1EA4" w:rsidRDefault="002123E1" w:rsidP="003852E7">
            <w:pPr>
              <w:spacing w:line="480" w:lineRule="auto"/>
              <w:jc w:val="both"/>
              <w:rPr>
                <w:rFonts w:ascii="Arial" w:hAnsi="Arial" w:cs="Arial"/>
                <w:noProof/>
                <w:sz w:val="20"/>
                <w:szCs w:val="20"/>
                <w:lang w:val="en-GB"/>
              </w:rPr>
            </w:pPr>
            <w:r w:rsidRPr="004F1EA4">
              <w:rPr>
                <w:rFonts w:ascii="Arial" w:hAnsi="Arial" w:cs="Arial"/>
                <w:noProof/>
                <w:sz w:val="20"/>
                <w:szCs w:val="20"/>
                <w:lang w:val="en-GB"/>
              </w:rPr>
              <w:t>The most common serious adverse reactions were serious infections (see section 4.4). The most common serious infections reported with XELJANZ were pneumonia, cellulitis, herpes zoster, urinary tract infection, diverticulitis, and appendicitis. Among opportunistic infections, TB and other mycobacterial infections, cryptococcus, histoplasmosis, oesophageal candidiasis, multidermatomal herpes zoster, cytomegalovirus, BK virus infections and listeriosis were reported with XELJANZ. Some patients have presented with disseminated rather than localised disease. Other serious infections that were not reported in clinical studies may also occur (e.g., coccidioidomycosis).</w:t>
            </w:r>
          </w:p>
        </w:tc>
      </w:tr>
      <w:tr w:rsidR="002123E1" w:rsidRPr="004F1EA4" w14:paraId="1E88F393" w14:textId="17D77BF8" w:rsidTr="002123E1">
        <w:tc>
          <w:tcPr>
            <w:tcW w:w="5000" w:type="pct"/>
          </w:tcPr>
          <w:p w14:paraId="17F5DC94" w14:textId="77777777" w:rsidR="002123E1" w:rsidRPr="004F1EA4" w:rsidRDefault="002123E1" w:rsidP="003852E7">
            <w:pPr>
              <w:spacing w:line="480" w:lineRule="auto"/>
              <w:jc w:val="both"/>
              <w:rPr>
                <w:rFonts w:ascii="Arial" w:hAnsi="Arial" w:cs="Arial"/>
                <w:noProof/>
                <w:sz w:val="20"/>
                <w:szCs w:val="20"/>
                <w:lang w:val="en-GB"/>
              </w:rPr>
            </w:pPr>
          </w:p>
        </w:tc>
      </w:tr>
      <w:tr w:rsidR="002123E1" w:rsidRPr="004F1EA4" w14:paraId="20DFD00E" w14:textId="77851DC4" w:rsidTr="002123E1">
        <w:trPr>
          <w:trHeight w:val="1907"/>
        </w:trPr>
        <w:tc>
          <w:tcPr>
            <w:tcW w:w="5000" w:type="pct"/>
          </w:tcPr>
          <w:p w14:paraId="42350A1F" w14:textId="577DD586" w:rsidR="002123E1" w:rsidRPr="004F1EA4" w:rsidRDefault="002123E1" w:rsidP="003852E7">
            <w:pPr>
              <w:spacing w:line="480" w:lineRule="auto"/>
              <w:jc w:val="both"/>
              <w:rPr>
                <w:rFonts w:ascii="Arial" w:hAnsi="Arial" w:cs="Arial"/>
                <w:noProof/>
                <w:sz w:val="20"/>
                <w:szCs w:val="20"/>
                <w:lang w:val="en-GB"/>
              </w:rPr>
            </w:pPr>
            <w:r w:rsidRPr="004F1EA4">
              <w:rPr>
                <w:rFonts w:ascii="Arial" w:hAnsi="Arial" w:cs="Arial"/>
                <w:noProof/>
                <w:sz w:val="20"/>
                <w:szCs w:val="20"/>
                <w:lang w:val="en-GB"/>
              </w:rPr>
              <w:t>The most commonly reported adverse reactions during the first 3 months in controlled clinical trials were headache, upper respiratory tract infections, nasopharyngitis, diarrhoea, nausea and hypertension (see Tabulated list of adverse reactions).</w:t>
            </w:r>
          </w:p>
        </w:tc>
      </w:tr>
      <w:tr w:rsidR="002123E1" w:rsidRPr="004F1EA4" w14:paraId="75BEB016" w14:textId="2FC88CEA" w:rsidTr="002123E1">
        <w:tc>
          <w:tcPr>
            <w:tcW w:w="5000" w:type="pct"/>
          </w:tcPr>
          <w:p w14:paraId="22F0B941" w14:textId="7E5356B3" w:rsidR="002123E1" w:rsidRPr="004F1EA4" w:rsidRDefault="002123E1" w:rsidP="003852E7">
            <w:pPr>
              <w:pStyle w:val="Heading2"/>
              <w:keepNext w:val="0"/>
              <w:spacing w:line="480" w:lineRule="auto"/>
              <w:jc w:val="both"/>
              <w:rPr>
                <w:i/>
                <w:sz w:val="20"/>
                <w:szCs w:val="20"/>
              </w:rPr>
            </w:pPr>
            <w:r w:rsidRPr="004F1EA4">
              <w:rPr>
                <w:b w:val="0"/>
                <w:sz w:val="20"/>
                <w:szCs w:val="20"/>
              </w:rPr>
              <w:t>The proportion of patients who discontinued treatment due to adverse reactions during first 3 months of the double-blind, placebo or MTX controlled studies was 3,8 % for patients taking XELJANZ. The most common infections resulting in discontinuation of therapy were herpes zoster and pneumonia</w:t>
            </w:r>
            <w:r w:rsidRPr="004F1EA4">
              <w:rPr>
                <w:i/>
                <w:sz w:val="20"/>
                <w:szCs w:val="20"/>
              </w:rPr>
              <w:t>.</w:t>
            </w:r>
          </w:p>
        </w:tc>
      </w:tr>
      <w:tr w:rsidR="002123E1" w:rsidRPr="004F1EA4" w14:paraId="4EF6DDF0" w14:textId="1DB94050" w:rsidTr="002123E1">
        <w:tc>
          <w:tcPr>
            <w:tcW w:w="5000" w:type="pct"/>
          </w:tcPr>
          <w:p w14:paraId="10E7E628" w14:textId="77777777" w:rsidR="002123E1" w:rsidRPr="004F1EA4" w:rsidRDefault="002123E1" w:rsidP="003852E7">
            <w:pPr>
              <w:pStyle w:val="Heading2"/>
              <w:keepNext w:val="0"/>
              <w:spacing w:line="480" w:lineRule="auto"/>
              <w:jc w:val="both"/>
              <w:rPr>
                <w:i/>
                <w:sz w:val="20"/>
                <w:szCs w:val="20"/>
              </w:rPr>
            </w:pPr>
          </w:p>
        </w:tc>
      </w:tr>
      <w:tr w:rsidR="002123E1" w:rsidRPr="004F1EA4" w14:paraId="3288C7C4" w14:textId="78684A3E" w:rsidTr="002123E1">
        <w:tc>
          <w:tcPr>
            <w:tcW w:w="5000" w:type="pct"/>
          </w:tcPr>
          <w:p w14:paraId="5476E233" w14:textId="2A3CDF78" w:rsidR="002123E1" w:rsidRPr="004F1EA4" w:rsidRDefault="002123E1" w:rsidP="003852E7">
            <w:pPr>
              <w:pStyle w:val="Heading2"/>
              <w:keepNext w:val="0"/>
              <w:spacing w:line="480" w:lineRule="auto"/>
              <w:jc w:val="both"/>
              <w:rPr>
                <w:b w:val="0"/>
                <w:i/>
                <w:sz w:val="20"/>
                <w:szCs w:val="20"/>
              </w:rPr>
            </w:pPr>
            <w:r w:rsidRPr="004F1EA4">
              <w:rPr>
                <w:b w:val="0"/>
                <w:i/>
                <w:sz w:val="20"/>
                <w:szCs w:val="20"/>
              </w:rPr>
              <w:t>Psoriatic arthritis</w:t>
            </w:r>
          </w:p>
        </w:tc>
      </w:tr>
      <w:tr w:rsidR="002123E1" w:rsidRPr="004F1EA4" w14:paraId="065773E4" w14:textId="7C213703" w:rsidTr="002123E1">
        <w:tc>
          <w:tcPr>
            <w:tcW w:w="5000" w:type="pct"/>
          </w:tcPr>
          <w:p w14:paraId="05955EC5" w14:textId="0CE973B6" w:rsidR="002123E1" w:rsidRPr="004F1EA4" w:rsidRDefault="002123E1" w:rsidP="003852E7">
            <w:pPr>
              <w:pStyle w:val="Heading2"/>
              <w:keepNext w:val="0"/>
              <w:spacing w:line="480" w:lineRule="auto"/>
              <w:jc w:val="both"/>
              <w:rPr>
                <w:b w:val="0"/>
                <w:sz w:val="20"/>
                <w:szCs w:val="20"/>
              </w:rPr>
            </w:pPr>
            <w:r w:rsidRPr="004F1EA4">
              <w:rPr>
                <w:b w:val="0"/>
                <w:sz w:val="20"/>
                <w:szCs w:val="20"/>
              </w:rPr>
              <w:t xml:space="preserve">Overall, the safety profile observed in patients with active </w:t>
            </w:r>
            <w:proofErr w:type="spellStart"/>
            <w:r w:rsidRPr="004F1EA4">
              <w:rPr>
                <w:b w:val="0"/>
                <w:sz w:val="20"/>
                <w:szCs w:val="20"/>
              </w:rPr>
              <w:t>PsA</w:t>
            </w:r>
            <w:proofErr w:type="spellEnd"/>
            <w:r w:rsidRPr="004F1EA4">
              <w:rPr>
                <w:b w:val="0"/>
                <w:sz w:val="20"/>
                <w:szCs w:val="20"/>
              </w:rPr>
              <w:t xml:space="preserve"> treated with XELJANZ was consistent with the safety profile observed in patients with RA treated with XELJANZ.</w:t>
            </w:r>
          </w:p>
        </w:tc>
      </w:tr>
      <w:tr w:rsidR="002123E1" w:rsidRPr="004F1EA4" w14:paraId="2120A06E" w14:textId="70ED39E3" w:rsidTr="002123E1">
        <w:tc>
          <w:tcPr>
            <w:tcW w:w="5000" w:type="pct"/>
          </w:tcPr>
          <w:p w14:paraId="352F8579" w14:textId="77777777" w:rsidR="002123E1" w:rsidRPr="004F1EA4" w:rsidRDefault="002123E1" w:rsidP="003852E7">
            <w:pPr>
              <w:pStyle w:val="Heading2"/>
              <w:keepNext w:val="0"/>
              <w:spacing w:line="480" w:lineRule="auto"/>
              <w:jc w:val="both"/>
              <w:rPr>
                <w:i/>
                <w:sz w:val="20"/>
                <w:szCs w:val="20"/>
              </w:rPr>
            </w:pPr>
          </w:p>
        </w:tc>
      </w:tr>
      <w:tr w:rsidR="002123E1" w:rsidRPr="004F1EA4" w14:paraId="52463E35" w14:textId="48215E5A" w:rsidTr="002123E1">
        <w:tc>
          <w:tcPr>
            <w:tcW w:w="5000" w:type="pct"/>
          </w:tcPr>
          <w:p w14:paraId="72D9C118" w14:textId="6BEC43F2" w:rsidR="002123E1" w:rsidRPr="004F1EA4" w:rsidRDefault="002123E1" w:rsidP="003852E7">
            <w:pPr>
              <w:pStyle w:val="Heading2"/>
              <w:keepNext w:val="0"/>
              <w:spacing w:line="480" w:lineRule="auto"/>
              <w:jc w:val="both"/>
              <w:rPr>
                <w:b w:val="0"/>
                <w:i/>
                <w:sz w:val="20"/>
                <w:szCs w:val="20"/>
              </w:rPr>
            </w:pPr>
            <w:r w:rsidRPr="004F1EA4">
              <w:rPr>
                <w:b w:val="0"/>
                <w:i/>
                <w:sz w:val="20"/>
                <w:szCs w:val="20"/>
              </w:rPr>
              <w:t>Ulcerative colitis</w:t>
            </w:r>
          </w:p>
        </w:tc>
      </w:tr>
      <w:tr w:rsidR="002123E1" w:rsidRPr="004F1EA4" w14:paraId="2CDC9F48" w14:textId="41E19305" w:rsidTr="002123E1">
        <w:tc>
          <w:tcPr>
            <w:tcW w:w="5000" w:type="pct"/>
          </w:tcPr>
          <w:p w14:paraId="3982B2AD" w14:textId="73C6B6A1" w:rsidR="002123E1" w:rsidRPr="004F1EA4" w:rsidRDefault="002123E1" w:rsidP="003852E7">
            <w:pPr>
              <w:pStyle w:val="Heading2"/>
              <w:spacing w:line="480" w:lineRule="auto"/>
              <w:jc w:val="both"/>
              <w:rPr>
                <w:b w:val="0"/>
                <w:sz w:val="20"/>
                <w:szCs w:val="20"/>
              </w:rPr>
            </w:pPr>
            <w:r w:rsidRPr="004F1EA4">
              <w:rPr>
                <w:b w:val="0"/>
                <w:sz w:val="20"/>
                <w:szCs w:val="20"/>
              </w:rPr>
              <w:t xml:space="preserve">The </w:t>
            </w:r>
            <w:proofErr w:type="gramStart"/>
            <w:r w:rsidRPr="004F1EA4">
              <w:rPr>
                <w:b w:val="0"/>
                <w:sz w:val="20"/>
                <w:szCs w:val="20"/>
              </w:rPr>
              <w:t>most commonly reported</w:t>
            </w:r>
            <w:proofErr w:type="gramEnd"/>
            <w:r w:rsidRPr="004F1EA4">
              <w:rPr>
                <w:b w:val="0"/>
                <w:sz w:val="20"/>
                <w:szCs w:val="20"/>
              </w:rPr>
              <w:t xml:space="preserve"> adverse reactions in patients receiving XELJANZ 10 mg twice daily in the induction studies were headache, nasopharyngitis, nausea, and arthralgia. </w:t>
            </w:r>
          </w:p>
        </w:tc>
      </w:tr>
      <w:tr w:rsidR="002123E1" w:rsidRPr="004F1EA4" w14:paraId="0FBF0CBB" w14:textId="65F9CCFC" w:rsidTr="002123E1">
        <w:tc>
          <w:tcPr>
            <w:tcW w:w="5000" w:type="pct"/>
          </w:tcPr>
          <w:p w14:paraId="43490722" w14:textId="77777777" w:rsidR="002123E1" w:rsidRPr="004F1EA4" w:rsidRDefault="002123E1" w:rsidP="003852E7">
            <w:pPr>
              <w:pStyle w:val="Heading2"/>
              <w:keepNext w:val="0"/>
              <w:spacing w:line="480" w:lineRule="auto"/>
              <w:jc w:val="both"/>
              <w:rPr>
                <w:b w:val="0"/>
                <w:sz w:val="20"/>
                <w:szCs w:val="20"/>
              </w:rPr>
            </w:pPr>
          </w:p>
        </w:tc>
      </w:tr>
      <w:tr w:rsidR="002123E1" w:rsidRPr="004F1EA4" w14:paraId="6FB0D979" w14:textId="32196AA9" w:rsidTr="002123E1">
        <w:tc>
          <w:tcPr>
            <w:tcW w:w="5000" w:type="pct"/>
          </w:tcPr>
          <w:p w14:paraId="4C628C98" w14:textId="21146C86" w:rsidR="002123E1" w:rsidRPr="004F1EA4" w:rsidRDefault="002123E1" w:rsidP="003852E7">
            <w:pPr>
              <w:pStyle w:val="Heading2"/>
              <w:spacing w:line="480" w:lineRule="auto"/>
              <w:jc w:val="both"/>
              <w:rPr>
                <w:b w:val="0"/>
                <w:sz w:val="20"/>
                <w:szCs w:val="20"/>
              </w:rPr>
            </w:pPr>
            <w:r w:rsidRPr="004F1EA4">
              <w:rPr>
                <w:b w:val="0"/>
                <w:sz w:val="20"/>
                <w:szCs w:val="20"/>
              </w:rPr>
              <w:t>In the induction and maintenance studies, across XELJANZ and placebo treatment groups, the most common categories of serious adverse reactions were gastrointestinal disorders and infections, and the most common serious adverse reaction was worsening of UC.</w:t>
            </w:r>
          </w:p>
        </w:tc>
      </w:tr>
      <w:tr w:rsidR="002123E1" w:rsidRPr="004F1EA4" w14:paraId="35575B0A" w14:textId="522BBEB8" w:rsidTr="002123E1">
        <w:tc>
          <w:tcPr>
            <w:tcW w:w="5000" w:type="pct"/>
          </w:tcPr>
          <w:p w14:paraId="7118A49C" w14:textId="77777777" w:rsidR="002123E1" w:rsidRPr="004F1EA4" w:rsidRDefault="002123E1" w:rsidP="003852E7">
            <w:pPr>
              <w:pStyle w:val="Heading2"/>
              <w:keepNext w:val="0"/>
              <w:spacing w:line="480" w:lineRule="auto"/>
              <w:jc w:val="both"/>
              <w:rPr>
                <w:b w:val="0"/>
                <w:sz w:val="20"/>
                <w:szCs w:val="20"/>
              </w:rPr>
            </w:pPr>
          </w:p>
        </w:tc>
      </w:tr>
      <w:tr w:rsidR="002123E1" w:rsidRPr="004F1EA4" w14:paraId="6B7095F2" w14:textId="09C19DA8" w:rsidTr="002123E1">
        <w:tc>
          <w:tcPr>
            <w:tcW w:w="5000" w:type="pct"/>
          </w:tcPr>
          <w:p w14:paraId="7F9B8E1A" w14:textId="709EC1FC" w:rsidR="002123E1" w:rsidRPr="004F1EA4" w:rsidRDefault="002123E1" w:rsidP="003852E7">
            <w:pPr>
              <w:pStyle w:val="Heading2"/>
              <w:keepNext w:val="0"/>
              <w:spacing w:line="480" w:lineRule="auto"/>
              <w:jc w:val="both"/>
              <w:rPr>
                <w:b w:val="0"/>
                <w:sz w:val="20"/>
                <w:szCs w:val="20"/>
              </w:rPr>
            </w:pPr>
            <w:r w:rsidRPr="004F1EA4">
              <w:rPr>
                <w:b w:val="0"/>
                <w:sz w:val="20"/>
                <w:szCs w:val="20"/>
              </w:rPr>
              <w:lastRenderedPageBreak/>
              <w:t>Overall, the safety profile observed in patients with UC treated with XELJANZ was consistent with the safety profile of XELJANZ in the RA indication.</w:t>
            </w:r>
          </w:p>
        </w:tc>
      </w:tr>
      <w:tr w:rsidR="002123E1" w:rsidRPr="004F1EA4" w14:paraId="49FB7C37" w14:textId="53E7B3B5" w:rsidTr="002123E1">
        <w:tc>
          <w:tcPr>
            <w:tcW w:w="5000" w:type="pct"/>
          </w:tcPr>
          <w:p w14:paraId="5C276428" w14:textId="77777777" w:rsidR="002123E1" w:rsidRPr="00345EB9" w:rsidRDefault="002123E1" w:rsidP="003852E7">
            <w:pPr>
              <w:pStyle w:val="Heading2"/>
              <w:keepNext w:val="0"/>
              <w:spacing w:line="480" w:lineRule="auto"/>
              <w:jc w:val="both"/>
              <w:rPr>
                <w:i/>
                <w:sz w:val="20"/>
                <w:szCs w:val="20"/>
              </w:rPr>
            </w:pPr>
          </w:p>
        </w:tc>
      </w:tr>
      <w:tr w:rsidR="002123E1" w:rsidRPr="004F1EA4" w14:paraId="22651CA8" w14:textId="6785F84C" w:rsidTr="002123E1">
        <w:tc>
          <w:tcPr>
            <w:tcW w:w="5000" w:type="pct"/>
          </w:tcPr>
          <w:p w14:paraId="47F84B70" w14:textId="04E21E44" w:rsidR="002123E1" w:rsidRPr="00345EB9" w:rsidRDefault="002123E1" w:rsidP="003852E7">
            <w:pPr>
              <w:pStyle w:val="Heading2"/>
              <w:spacing w:line="480" w:lineRule="auto"/>
              <w:jc w:val="both"/>
              <w:rPr>
                <w:b w:val="0"/>
                <w:i/>
                <w:sz w:val="20"/>
                <w:szCs w:val="20"/>
              </w:rPr>
            </w:pPr>
            <w:r w:rsidRPr="00345EB9">
              <w:rPr>
                <w:b w:val="0"/>
                <w:i/>
                <w:sz w:val="20"/>
                <w:szCs w:val="20"/>
              </w:rPr>
              <w:t>Tabulated list of adverse reactions</w:t>
            </w:r>
          </w:p>
        </w:tc>
      </w:tr>
      <w:tr w:rsidR="002123E1" w:rsidRPr="004F1EA4" w14:paraId="687B7ACD" w14:textId="498EB168" w:rsidTr="002123E1">
        <w:tc>
          <w:tcPr>
            <w:tcW w:w="5000" w:type="pct"/>
          </w:tcPr>
          <w:p w14:paraId="245B4EAF" w14:textId="5C94FB0B" w:rsidR="002123E1" w:rsidRPr="00385CAD" w:rsidRDefault="002123E1" w:rsidP="00385CAD">
            <w:pPr>
              <w:pStyle w:val="Heading2"/>
              <w:keepNext w:val="0"/>
              <w:spacing w:line="480" w:lineRule="auto"/>
              <w:jc w:val="both"/>
              <w:rPr>
                <w:b w:val="0"/>
                <w:sz w:val="20"/>
                <w:szCs w:val="20"/>
              </w:rPr>
            </w:pPr>
            <w:r w:rsidRPr="00345EB9">
              <w:rPr>
                <w:b w:val="0"/>
                <w:sz w:val="20"/>
                <w:szCs w:val="20"/>
              </w:rPr>
              <w:t xml:space="preserve">The ADRs listed in the table below are from clinical studies in patients with RA, </w:t>
            </w:r>
            <w:proofErr w:type="spellStart"/>
            <w:r w:rsidRPr="00345EB9">
              <w:rPr>
                <w:b w:val="0"/>
                <w:sz w:val="20"/>
                <w:szCs w:val="20"/>
              </w:rPr>
              <w:t>PsA</w:t>
            </w:r>
            <w:proofErr w:type="spellEnd"/>
            <w:r w:rsidRPr="00345EB9">
              <w:rPr>
                <w:b w:val="0"/>
                <w:sz w:val="20"/>
                <w:szCs w:val="20"/>
              </w:rPr>
              <w:t>, and UC and are presented by System Organ Class (SOC) and frequency categories, defined using the following convention: very common (≥ 1/10), common (≥ 1/100 to &lt; 1/10), uncommon (≥ 1/1 000 to &lt; 1/100), rare (≥ 1/10 000 to &lt; 1/1 000), very rare (&lt; 1/10 000), or not known (cannot be estimated from the available data). Within each frequency grouping, adverse reactions are presented in order of decreasing seriousness.</w:t>
            </w:r>
          </w:p>
        </w:tc>
      </w:tr>
      <w:tr w:rsidR="002123E1" w:rsidRPr="004F1EA4" w14:paraId="2F81E050" w14:textId="574C9E8D" w:rsidTr="002123E1">
        <w:tc>
          <w:tcPr>
            <w:tcW w:w="5000" w:type="pct"/>
          </w:tcPr>
          <w:tbl>
            <w:tblPr>
              <w:tblStyle w:val="TableGrid"/>
              <w:tblW w:w="7074" w:type="dxa"/>
              <w:tblLayout w:type="fixed"/>
              <w:tblLook w:val="04A0" w:firstRow="1" w:lastRow="0" w:firstColumn="1" w:lastColumn="0" w:noHBand="0" w:noVBand="1"/>
            </w:tblPr>
            <w:tblGrid>
              <w:gridCol w:w="1999"/>
              <w:gridCol w:w="1565"/>
              <w:gridCol w:w="3510"/>
            </w:tblGrid>
            <w:tr w:rsidR="002123E1" w:rsidRPr="00345EB9" w14:paraId="42DDAAD8" w14:textId="77777777" w:rsidTr="00587D84">
              <w:trPr>
                <w:trHeight w:val="367"/>
              </w:trPr>
              <w:tc>
                <w:tcPr>
                  <w:tcW w:w="1999" w:type="dxa"/>
                </w:tcPr>
                <w:p w14:paraId="7125999E" w14:textId="35252A97" w:rsidR="002123E1" w:rsidRPr="00345EB9" w:rsidRDefault="002123E1" w:rsidP="003852E7">
                  <w:pPr>
                    <w:pStyle w:val="Heading2"/>
                    <w:keepNext w:val="0"/>
                    <w:spacing w:line="480" w:lineRule="auto"/>
                    <w:rPr>
                      <w:b w:val="0"/>
                      <w:sz w:val="20"/>
                      <w:szCs w:val="20"/>
                    </w:rPr>
                  </w:pPr>
                  <w:r w:rsidRPr="00345EB9">
                    <w:rPr>
                      <w:b w:val="0"/>
                      <w:sz w:val="20"/>
                      <w:szCs w:val="20"/>
                    </w:rPr>
                    <w:t>System organ class</w:t>
                  </w:r>
                </w:p>
              </w:tc>
              <w:tc>
                <w:tcPr>
                  <w:tcW w:w="1565" w:type="dxa"/>
                </w:tcPr>
                <w:p w14:paraId="4A833C4E" w14:textId="27933B09" w:rsidR="002123E1" w:rsidRPr="00345EB9" w:rsidRDefault="002123E1" w:rsidP="003852E7">
                  <w:pPr>
                    <w:pStyle w:val="Heading2"/>
                    <w:keepNext w:val="0"/>
                    <w:spacing w:line="480" w:lineRule="auto"/>
                    <w:rPr>
                      <w:b w:val="0"/>
                      <w:sz w:val="20"/>
                      <w:szCs w:val="20"/>
                    </w:rPr>
                  </w:pPr>
                  <w:r w:rsidRPr="00345EB9">
                    <w:rPr>
                      <w:b w:val="0"/>
                      <w:sz w:val="20"/>
                      <w:szCs w:val="20"/>
                    </w:rPr>
                    <w:t>Frequency</w:t>
                  </w:r>
                </w:p>
              </w:tc>
              <w:tc>
                <w:tcPr>
                  <w:tcW w:w="3510" w:type="dxa"/>
                </w:tcPr>
                <w:p w14:paraId="27AD6A8F" w14:textId="637B4CEA" w:rsidR="002123E1" w:rsidRPr="00345EB9" w:rsidRDefault="002123E1" w:rsidP="003852E7">
                  <w:pPr>
                    <w:pStyle w:val="Heading2"/>
                    <w:keepNext w:val="0"/>
                    <w:spacing w:line="480" w:lineRule="auto"/>
                    <w:rPr>
                      <w:b w:val="0"/>
                      <w:sz w:val="20"/>
                      <w:szCs w:val="20"/>
                    </w:rPr>
                  </w:pPr>
                  <w:r w:rsidRPr="00345EB9">
                    <w:rPr>
                      <w:b w:val="0"/>
                      <w:sz w:val="20"/>
                      <w:szCs w:val="20"/>
                    </w:rPr>
                    <w:t>Side effect</w:t>
                  </w:r>
                </w:p>
              </w:tc>
            </w:tr>
          </w:tbl>
          <w:p w14:paraId="2DD49DA8" w14:textId="77777777" w:rsidR="002123E1" w:rsidRPr="00345EB9" w:rsidRDefault="002123E1" w:rsidP="003852E7">
            <w:pPr>
              <w:pStyle w:val="Heading2"/>
              <w:keepNext w:val="0"/>
              <w:spacing w:line="480" w:lineRule="auto"/>
              <w:jc w:val="both"/>
              <w:rPr>
                <w:b w:val="0"/>
                <w:sz w:val="20"/>
                <w:szCs w:val="20"/>
              </w:rPr>
            </w:pPr>
          </w:p>
        </w:tc>
      </w:tr>
      <w:tr w:rsidR="002123E1" w:rsidRPr="004F1EA4" w14:paraId="532BB3E4" w14:textId="0137F751" w:rsidTr="002123E1">
        <w:tc>
          <w:tcPr>
            <w:tcW w:w="5000" w:type="pct"/>
          </w:tcPr>
          <w:tbl>
            <w:tblPr>
              <w:tblStyle w:val="TableGrid"/>
              <w:tblW w:w="7074" w:type="dxa"/>
              <w:tblLayout w:type="fixed"/>
              <w:tblLook w:val="04A0" w:firstRow="1" w:lastRow="0" w:firstColumn="1" w:lastColumn="0" w:noHBand="0" w:noVBand="1"/>
            </w:tblPr>
            <w:tblGrid>
              <w:gridCol w:w="1952"/>
              <w:gridCol w:w="1612"/>
              <w:gridCol w:w="3510"/>
            </w:tblGrid>
            <w:tr w:rsidR="002123E1" w:rsidRPr="00345EB9" w14:paraId="61393379" w14:textId="77777777" w:rsidTr="00587D84">
              <w:trPr>
                <w:trHeight w:val="3491"/>
              </w:trPr>
              <w:tc>
                <w:tcPr>
                  <w:tcW w:w="1952" w:type="dxa"/>
                  <w:vMerge w:val="restart"/>
                </w:tcPr>
                <w:p w14:paraId="0C0F8F45" w14:textId="34A32A10" w:rsidR="002123E1" w:rsidRPr="00345EB9" w:rsidRDefault="002123E1" w:rsidP="003852E7">
                  <w:pPr>
                    <w:pStyle w:val="Heading2"/>
                    <w:keepNext w:val="0"/>
                    <w:spacing w:line="480" w:lineRule="auto"/>
                    <w:rPr>
                      <w:b w:val="0"/>
                      <w:i/>
                      <w:sz w:val="20"/>
                      <w:szCs w:val="20"/>
                    </w:rPr>
                  </w:pPr>
                  <w:r w:rsidRPr="00345EB9">
                    <w:rPr>
                      <w:b w:val="0"/>
                      <w:i/>
                      <w:sz w:val="20"/>
                      <w:szCs w:val="20"/>
                    </w:rPr>
                    <w:t>Infections and infestations</w:t>
                  </w:r>
                </w:p>
              </w:tc>
              <w:tc>
                <w:tcPr>
                  <w:tcW w:w="1612" w:type="dxa"/>
                </w:tcPr>
                <w:p w14:paraId="4BF81119" w14:textId="30678309" w:rsidR="002123E1" w:rsidRPr="00345EB9" w:rsidRDefault="002123E1" w:rsidP="003852E7">
                  <w:pPr>
                    <w:pStyle w:val="Heading2"/>
                    <w:keepNext w:val="0"/>
                    <w:spacing w:line="480" w:lineRule="auto"/>
                    <w:rPr>
                      <w:b w:val="0"/>
                      <w:sz w:val="20"/>
                      <w:szCs w:val="20"/>
                    </w:rPr>
                  </w:pPr>
                  <w:r w:rsidRPr="00345EB9">
                    <w:rPr>
                      <w:b w:val="0"/>
                      <w:sz w:val="20"/>
                      <w:szCs w:val="20"/>
                    </w:rPr>
                    <w:t>Common</w:t>
                  </w:r>
                </w:p>
              </w:tc>
              <w:tc>
                <w:tcPr>
                  <w:tcW w:w="3510" w:type="dxa"/>
                </w:tcPr>
                <w:p w14:paraId="2CAD9761" w14:textId="12C204EF" w:rsidR="002123E1" w:rsidRPr="00345EB9" w:rsidRDefault="002123E1" w:rsidP="003852E7">
                  <w:pPr>
                    <w:pStyle w:val="Heading2"/>
                    <w:spacing w:line="480" w:lineRule="auto"/>
                    <w:rPr>
                      <w:b w:val="0"/>
                      <w:sz w:val="20"/>
                      <w:szCs w:val="20"/>
                    </w:rPr>
                  </w:pPr>
                  <w:r w:rsidRPr="00345EB9">
                    <w:rPr>
                      <w:b w:val="0"/>
                      <w:sz w:val="20"/>
                      <w:szCs w:val="20"/>
                    </w:rPr>
                    <w:t>Pneumonia</w:t>
                  </w:r>
                </w:p>
                <w:p w14:paraId="1ACE06C5" w14:textId="21F87AE4" w:rsidR="002123E1" w:rsidRPr="00345EB9" w:rsidRDefault="002123E1" w:rsidP="003852E7">
                  <w:pPr>
                    <w:pStyle w:val="Heading2"/>
                    <w:spacing w:line="480" w:lineRule="auto"/>
                    <w:rPr>
                      <w:b w:val="0"/>
                      <w:sz w:val="20"/>
                      <w:szCs w:val="20"/>
                    </w:rPr>
                  </w:pPr>
                  <w:r w:rsidRPr="00345EB9">
                    <w:rPr>
                      <w:b w:val="0"/>
                      <w:sz w:val="20"/>
                      <w:szCs w:val="20"/>
                    </w:rPr>
                    <w:t>influenza</w:t>
                  </w:r>
                </w:p>
                <w:p w14:paraId="6CE685FC" w14:textId="1442B1C1" w:rsidR="002123E1" w:rsidRPr="00345EB9" w:rsidRDefault="002123E1" w:rsidP="003852E7">
                  <w:pPr>
                    <w:pStyle w:val="Heading2"/>
                    <w:spacing w:line="480" w:lineRule="auto"/>
                    <w:rPr>
                      <w:b w:val="0"/>
                      <w:sz w:val="20"/>
                      <w:szCs w:val="20"/>
                    </w:rPr>
                  </w:pPr>
                  <w:r w:rsidRPr="00345EB9">
                    <w:rPr>
                      <w:b w:val="0"/>
                      <w:sz w:val="20"/>
                      <w:szCs w:val="20"/>
                    </w:rPr>
                    <w:t>herpes zoster</w:t>
                  </w:r>
                </w:p>
                <w:p w14:paraId="62AF0D41" w14:textId="5998BD87" w:rsidR="002123E1" w:rsidRPr="00345EB9" w:rsidRDefault="002123E1" w:rsidP="003852E7">
                  <w:pPr>
                    <w:pStyle w:val="Heading2"/>
                    <w:spacing w:line="480" w:lineRule="auto"/>
                    <w:rPr>
                      <w:b w:val="0"/>
                      <w:sz w:val="20"/>
                      <w:szCs w:val="20"/>
                    </w:rPr>
                  </w:pPr>
                  <w:r w:rsidRPr="00345EB9">
                    <w:rPr>
                      <w:b w:val="0"/>
                      <w:sz w:val="20"/>
                      <w:szCs w:val="20"/>
                    </w:rPr>
                    <w:t>urinary tract infection</w:t>
                  </w:r>
                </w:p>
                <w:p w14:paraId="709C686D" w14:textId="01357B08" w:rsidR="002123E1" w:rsidRPr="00345EB9" w:rsidRDefault="002123E1" w:rsidP="003852E7">
                  <w:pPr>
                    <w:pStyle w:val="Heading2"/>
                    <w:spacing w:line="480" w:lineRule="auto"/>
                    <w:rPr>
                      <w:b w:val="0"/>
                      <w:sz w:val="20"/>
                      <w:szCs w:val="20"/>
                    </w:rPr>
                  </w:pPr>
                  <w:r w:rsidRPr="00345EB9">
                    <w:rPr>
                      <w:b w:val="0"/>
                      <w:sz w:val="20"/>
                      <w:szCs w:val="20"/>
                    </w:rPr>
                    <w:t>sinusitis</w:t>
                  </w:r>
                </w:p>
                <w:p w14:paraId="3B5F1A6E" w14:textId="34B68FA7" w:rsidR="002123E1" w:rsidRPr="00345EB9" w:rsidRDefault="002123E1" w:rsidP="003852E7">
                  <w:pPr>
                    <w:pStyle w:val="Heading2"/>
                    <w:spacing w:line="480" w:lineRule="auto"/>
                    <w:rPr>
                      <w:b w:val="0"/>
                      <w:sz w:val="20"/>
                      <w:szCs w:val="20"/>
                    </w:rPr>
                  </w:pPr>
                  <w:r w:rsidRPr="00345EB9">
                    <w:rPr>
                      <w:b w:val="0"/>
                      <w:sz w:val="20"/>
                      <w:szCs w:val="20"/>
                    </w:rPr>
                    <w:t>bronchitis</w:t>
                  </w:r>
                </w:p>
                <w:p w14:paraId="4A85B91D" w14:textId="72037FCB" w:rsidR="002123E1" w:rsidRPr="00345EB9" w:rsidRDefault="002123E1" w:rsidP="003852E7">
                  <w:pPr>
                    <w:pStyle w:val="Heading2"/>
                    <w:spacing w:line="480" w:lineRule="auto"/>
                    <w:rPr>
                      <w:b w:val="0"/>
                      <w:sz w:val="20"/>
                      <w:szCs w:val="20"/>
                    </w:rPr>
                  </w:pPr>
                  <w:r w:rsidRPr="00345EB9">
                    <w:rPr>
                      <w:b w:val="0"/>
                      <w:sz w:val="20"/>
                      <w:szCs w:val="20"/>
                    </w:rPr>
                    <w:t>nasopharyngitis</w:t>
                  </w:r>
                </w:p>
                <w:p w14:paraId="06B4CD6B" w14:textId="04D1515E" w:rsidR="002123E1" w:rsidRPr="00345EB9" w:rsidRDefault="002123E1" w:rsidP="003852E7">
                  <w:pPr>
                    <w:pStyle w:val="Heading2"/>
                    <w:keepNext w:val="0"/>
                    <w:spacing w:line="480" w:lineRule="auto"/>
                    <w:rPr>
                      <w:b w:val="0"/>
                      <w:sz w:val="20"/>
                      <w:szCs w:val="20"/>
                    </w:rPr>
                  </w:pPr>
                  <w:r w:rsidRPr="00345EB9">
                    <w:rPr>
                      <w:b w:val="0"/>
                      <w:sz w:val="20"/>
                      <w:szCs w:val="20"/>
                    </w:rPr>
                    <w:t>pharyngitis</w:t>
                  </w:r>
                </w:p>
              </w:tc>
            </w:tr>
            <w:tr w:rsidR="002123E1" w:rsidRPr="00345EB9" w14:paraId="0E6AA323" w14:textId="77777777" w:rsidTr="00587D84">
              <w:trPr>
                <w:trHeight w:val="64"/>
              </w:trPr>
              <w:tc>
                <w:tcPr>
                  <w:tcW w:w="1952" w:type="dxa"/>
                  <w:vMerge/>
                </w:tcPr>
                <w:p w14:paraId="6A788C3C" w14:textId="77777777" w:rsidR="002123E1" w:rsidRPr="00345EB9" w:rsidRDefault="002123E1" w:rsidP="003852E7">
                  <w:pPr>
                    <w:pStyle w:val="Heading2"/>
                    <w:keepNext w:val="0"/>
                    <w:spacing w:line="480" w:lineRule="auto"/>
                    <w:jc w:val="both"/>
                    <w:rPr>
                      <w:i/>
                      <w:sz w:val="20"/>
                      <w:szCs w:val="20"/>
                    </w:rPr>
                  </w:pPr>
                </w:p>
              </w:tc>
              <w:tc>
                <w:tcPr>
                  <w:tcW w:w="1612" w:type="dxa"/>
                  <w:tcBorders>
                    <w:bottom w:val="single" w:sz="4" w:space="0" w:color="auto"/>
                  </w:tcBorders>
                </w:tcPr>
                <w:p w14:paraId="2DA8CD7D" w14:textId="5A815117" w:rsidR="002123E1" w:rsidRPr="00345EB9" w:rsidRDefault="002123E1" w:rsidP="003852E7">
                  <w:pPr>
                    <w:pStyle w:val="Heading2"/>
                    <w:keepNext w:val="0"/>
                    <w:spacing w:line="480" w:lineRule="auto"/>
                    <w:rPr>
                      <w:b w:val="0"/>
                      <w:sz w:val="20"/>
                      <w:szCs w:val="20"/>
                    </w:rPr>
                  </w:pPr>
                  <w:r w:rsidRPr="00345EB9">
                    <w:rPr>
                      <w:b w:val="0"/>
                      <w:sz w:val="20"/>
                      <w:szCs w:val="20"/>
                    </w:rPr>
                    <w:t>Uncommon</w:t>
                  </w:r>
                </w:p>
              </w:tc>
              <w:tc>
                <w:tcPr>
                  <w:tcW w:w="3510" w:type="dxa"/>
                  <w:tcBorders>
                    <w:bottom w:val="single" w:sz="4" w:space="0" w:color="auto"/>
                  </w:tcBorders>
                </w:tcPr>
                <w:p w14:paraId="7E858828" w14:textId="459D1A8F" w:rsidR="002123E1" w:rsidRPr="00345EB9" w:rsidRDefault="002123E1" w:rsidP="003852E7">
                  <w:pPr>
                    <w:pStyle w:val="Heading2"/>
                    <w:spacing w:line="480" w:lineRule="auto"/>
                    <w:rPr>
                      <w:b w:val="0"/>
                      <w:sz w:val="20"/>
                      <w:szCs w:val="20"/>
                    </w:rPr>
                  </w:pPr>
                  <w:r w:rsidRPr="00345EB9">
                    <w:rPr>
                      <w:b w:val="0"/>
                      <w:sz w:val="20"/>
                      <w:szCs w:val="20"/>
                    </w:rPr>
                    <w:t>Tuberculosis</w:t>
                  </w:r>
                </w:p>
                <w:p w14:paraId="63C56815" w14:textId="19329ADB" w:rsidR="002123E1" w:rsidRPr="00345EB9" w:rsidRDefault="002123E1" w:rsidP="003852E7">
                  <w:pPr>
                    <w:pStyle w:val="Heading2"/>
                    <w:spacing w:line="480" w:lineRule="auto"/>
                    <w:rPr>
                      <w:b w:val="0"/>
                      <w:sz w:val="20"/>
                      <w:szCs w:val="20"/>
                    </w:rPr>
                  </w:pPr>
                  <w:r w:rsidRPr="00345EB9">
                    <w:rPr>
                      <w:b w:val="0"/>
                      <w:sz w:val="20"/>
                      <w:szCs w:val="20"/>
                    </w:rPr>
                    <w:t>diverticulitis</w:t>
                  </w:r>
                </w:p>
                <w:p w14:paraId="2736C9B8" w14:textId="4ACA5783" w:rsidR="002123E1" w:rsidRPr="00345EB9" w:rsidRDefault="002123E1" w:rsidP="003852E7">
                  <w:pPr>
                    <w:pStyle w:val="Heading2"/>
                    <w:spacing w:line="480" w:lineRule="auto"/>
                    <w:rPr>
                      <w:b w:val="0"/>
                      <w:sz w:val="20"/>
                      <w:szCs w:val="20"/>
                    </w:rPr>
                  </w:pPr>
                  <w:r w:rsidRPr="00345EB9">
                    <w:rPr>
                      <w:b w:val="0"/>
                      <w:sz w:val="20"/>
                      <w:szCs w:val="20"/>
                    </w:rPr>
                    <w:t>pyelonephritis</w:t>
                  </w:r>
                </w:p>
                <w:p w14:paraId="7BE55462" w14:textId="4EB50F92" w:rsidR="002123E1" w:rsidRPr="00345EB9" w:rsidRDefault="002123E1" w:rsidP="003852E7">
                  <w:pPr>
                    <w:pStyle w:val="Heading2"/>
                    <w:spacing w:line="480" w:lineRule="auto"/>
                    <w:rPr>
                      <w:b w:val="0"/>
                      <w:sz w:val="20"/>
                      <w:szCs w:val="20"/>
                    </w:rPr>
                  </w:pPr>
                  <w:r w:rsidRPr="00345EB9">
                    <w:rPr>
                      <w:b w:val="0"/>
                      <w:sz w:val="20"/>
                      <w:szCs w:val="20"/>
                    </w:rPr>
                    <w:t>cellulitis</w:t>
                  </w:r>
                </w:p>
                <w:p w14:paraId="27E32AD0" w14:textId="6A3040CF" w:rsidR="002123E1" w:rsidRPr="00345EB9" w:rsidRDefault="002123E1" w:rsidP="003852E7">
                  <w:pPr>
                    <w:pStyle w:val="Heading2"/>
                    <w:spacing w:line="480" w:lineRule="auto"/>
                    <w:rPr>
                      <w:b w:val="0"/>
                      <w:sz w:val="20"/>
                      <w:szCs w:val="20"/>
                    </w:rPr>
                  </w:pPr>
                  <w:r w:rsidRPr="00345EB9">
                    <w:rPr>
                      <w:b w:val="0"/>
                      <w:sz w:val="20"/>
                      <w:szCs w:val="20"/>
                    </w:rPr>
                    <w:t>herpes simplex</w:t>
                  </w:r>
                </w:p>
                <w:p w14:paraId="50EE471A" w14:textId="0CF46D61" w:rsidR="002123E1" w:rsidRPr="00345EB9" w:rsidRDefault="002123E1" w:rsidP="003852E7">
                  <w:pPr>
                    <w:pStyle w:val="Heading2"/>
                    <w:spacing w:line="480" w:lineRule="auto"/>
                    <w:rPr>
                      <w:b w:val="0"/>
                      <w:sz w:val="20"/>
                      <w:szCs w:val="20"/>
                    </w:rPr>
                  </w:pPr>
                  <w:r w:rsidRPr="00345EB9">
                    <w:rPr>
                      <w:b w:val="0"/>
                      <w:sz w:val="20"/>
                      <w:szCs w:val="20"/>
                    </w:rPr>
                    <w:t>viral gastroenteritis</w:t>
                  </w:r>
                </w:p>
                <w:p w14:paraId="3FDFF945" w14:textId="030F37C6" w:rsidR="002123E1" w:rsidRPr="00282CD3" w:rsidRDefault="002123E1" w:rsidP="00282CD3">
                  <w:pPr>
                    <w:pStyle w:val="Heading2"/>
                    <w:spacing w:line="480" w:lineRule="auto"/>
                    <w:rPr>
                      <w:b w:val="0"/>
                      <w:sz w:val="20"/>
                      <w:szCs w:val="20"/>
                    </w:rPr>
                  </w:pPr>
                  <w:r w:rsidRPr="00345EB9">
                    <w:rPr>
                      <w:b w:val="0"/>
                      <w:sz w:val="20"/>
                      <w:szCs w:val="20"/>
                    </w:rPr>
                    <w:t>viral infection</w:t>
                  </w:r>
                </w:p>
              </w:tc>
            </w:tr>
            <w:tr w:rsidR="002123E1" w:rsidRPr="00345EB9" w14:paraId="1588471F" w14:textId="77777777" w:rsidTr="00587D84">
              <w:trPr>
                <w:trHeight w:val="64"/>
              </w:trPr>
              <w:tc>
                <w:tcPr>
                  <w:tcW w:w="1952" w:type="dxa"/>
                  <w:vMerge/>
                </w:tcPr>
                <w:p w14:paraId="2D4EC291" w14:textId="77777777" w:rsidR="002123E1" w:rsidRPr="00345EB9" w:rsidRDefault="002123E1" w:rsidP="003852E7">
                  <w:pPr>
                    <w:pStyle w:val="Heading2"/>
                    <w:keepNext w:val="0"/>
                    <w:spacing w:line="480" w:lineRule="auto"/>
                    <w:jc w:val="both"/>
                    <w:rPr>
                      <w:i/>
                      <w:sz w:val="20"/>
                      <w:szCs w:val="20"/>
                    </w:rPr>
                  </w:pPr>
                </w:p>
              </w:tc>
              <w:tc>
                <w:tcPr>
                  <w:tcW w:w="1612" w:type="dxa"/>
                  <w:tcBorders>
                    <w:bottom w:val="single" w:sz="4" w:space="0" w:color="auto"/>
                  </w:tcBorders>
                </w:tcPr>
                <w:p w14:paraId="418B073F" w14:textId="20226ECA" w:rsidR="002123E1" w:rsidRPr="00345EB9" w:rsidRDefault="002123E1" w:rsidP="003852E7">
                  <w:pPr>
                    <w:pStyle w:val="Heading2"/>
                    <w:keepNext w:val="0"/>
                    <w:spacing w:line="480" w:lineRule="auto"/>
                    <w:rPr>
                      <w:b w:val="0"/>
                      <w:sz w:val="20"/>
                      <w:szCs w:val="20"/>
                    </w:rPr>
                  </w:pPr>
                  <w:r w:rsidRPr="00345EB9">
                    <w:rPr>
                      <w:b w:val="0"/>
                      <w:sz w:val="20"/>
                      <w:szCs w:val="20"/>
                    </w:rPr>
                    <w:t>Rare</w:t>
                  </w:r>
                </w:p>
              </w:tc>
              <w:tc>
                <w:tcPr>
                  <w:tcW w:w="3510" w:type="dxa"/>
                  <w:tcBorders>
                    <w:bottom w:val="single" w:sz="4" w:space="0" w:color="auto"/>
                  </w:tcBorders>
                </w:tcPr>
                <w:p w14:paraId="4BBDE2E0" w14:textId="77777777" w:rsidR="002123E1" w:rsidRPr="00345EB9" w:rsidRDefault="002123E1" w:rsidP="00282CD3">
                  <w:pPr>
                    <w:pStyle w:val="Heading2"/>
                    <w:spacing w:line="480" w:lineRule="auto"/>
                    <w:rPr>
                      <w:b w:val="0"/>
                      <w:sz w:val="20"/>
                      <w:szCs w:val="20"/>
                    </w:rPr>
                  </w:pPr>
                  <w:r w:rsidRPr="00345EB9">
                    <w:rPr>
                      <w:b w:val="0"/>
                      <w:sz w:val="20"/>
                      <w:szCs w:val="20"/>
                    </w:rPr>
                    <w:t>Sepsis</w:t>
                  </w:r>
                </w:p>
                <w:p w14:paraId="4EB579F9" w14:textId="77777777" w:rsidR="002123E1" w:rsidRPr="00345EB9" w:rsidRDefault="002123E1" w:rsidP="00282CD3">
                  <w:pPr>
                    <w:pStyle w:val="Heading2"/>
                    <w:spacing w:line="480" w:lineRule="auto"/>
                    <w:rPr>
                      <w:b w:val="0"/>
                      <w:sz w:val="20"/>
                      <w:szCs w:val="20"/>
                    </w:rPr>
                  </w:pPr>
                  <w:r w:rsidRPr="00345EB9">
                    <w:rPr>
                      <w:b w:val="0"/>
                      <w:sz w:val="20"/>
                      <w:szCs w:val="20"/>
                    </w:rPr>
                    <w:t>urosepsis</w:t>
                  </w:r>
                </w:p>
                <w:p w14:paraId="2315340E" w14:textId="77777777" w:rsidR="002123E1" w:rsidRPr="00345EB9" w:rsidRDefault="002123E1" w:rsidP="00282CD3">
                  <w:pPr>
                    <w:pStyle w:val="Heading2"/>
                    <w:spacing w:line="480" w:lineRule="auto"/>
                    <w:rPr>
                      <w:b w:val="0"/>
                      <w:sz w:val="20"/>
                      <w:szCs w:val="20"/>
                    </w:rPr>
                  </w:pPr>
                  <w:r w:rsidRPr="00345EB9">
                    <w:rPr>
                      <w:b w:val="0"/>
                      <w:sz w:val="20"/>
                      <w:szCs w:val="20"/>
                    </w:rPr>
                    <w:t>disseminated TB</w:t>
                  </w:r>
                </w:p>
                <w:p w14:paraId="7F7AB474" w14:textId="77777777" w:rsidR="002123E1" w:rsidRPr="00345EB9" w:rsidRDefault="002123E1" w:rsidP="00282CD3">
                  <w:pPr>
                    <w:pStyle w:val="Heading2"/>
                    <w:spacing w:line="480" w:lineRule="auto"/>
                    <w:rPr>
                      <w:b w:val="0"/>
                      <w:sz w:val="20"/>
                      <w:szCs w:val="20"/>
                    </w:rPr>
                  </w:pPr>
                  <w:r w:rsidRPr="00345EB9">
                    <w:rPr>
                      <w:b w:val="0"/>
                      <w:sz w:val="20"/>
                      <w:szCs w:val="20"/>
                    </w:rPr>
                    <w:t>necrotizing fasciitis</w:t>
                  </w:r>
                </w:p>
                <w:p w14:paraId="2169CF43" w14:textId="77777777" w:rsidR="002123E1" w:rsidRPr="00345EB9" w:rsidRDefault="002123E1" w:rsidP="00282CD3">
                  <w:pPr>
                    <w:pStyle w:val="Heading2"/>
                    <w:spacing w:line="480" w:lineRule="auto"/>
                    <w:rPr>
                      <w:b w:val="0"/>
                      <w:sz w:val="20"/>
                      <w:szCs w:val="20"/>
                    </w:rPr>
                  </w:pPr>
                  <w:r w:rsidRPr="00345EB9">
                    <w:rPr>
                      <w:b w:val="0"/>
                      <w:sz w:val="20"/>
                      <w:szCs w:val="20"/>
                    </w:rPr>
                    <w:t>bacteraemia</w:t>
                  </w:r>
                </w:p>
                <w:p w14:paraId="73410066" w14:textId="77777777" w:rsidR="002123E1" w:rsidRPr="00345EB9" w:rsidRDefault="002123E1" w:rsidP="00282CD3">
                  <w:pPr>
                    <w:pStyle w:val="Heading2"/>
                    <w:spacing w:line="480" w:lineRule="auto"/>
                    <w:rPr>
                      <w:b w:val="0"/>
                      <w:sz w:val="20"/>
                      <w:szCs w:val="20"/>
                    </w:rPr>
                  </w:pPr>
                  <w:r w:rsidRPr="00345EB9">
                    <w:rPr>
                      <w:b w:val="0"/>
                      <w:sz w:val="20"/>
                      <w:szCs w:val="20"/>
                    </w:rPr>
                    <w:t>staphylococcal bacteraemia</w:t>
                  </w:r>
                </w:p>
                <w:p w14:paraId="5E68C41A" w14:textId="77777777" w:rsidR="002123E1" w:rsidRDefault="002123E1" w:rsidP="00282CD3">
                  <w:pPr>
                    <w:pStyle w:val="Heading2"/>
                    <w:spacing w:line="480" w:lineRule="auto"/>
                    <w:rPr>
                      <w:b w:val="0"/>
                      <w:sz w:val="20"/>
                      <w:szCs w:val="20"/>
                    </w:rPr>
                  </w:pPr>
                  <w:r w:rsidRPr="0075444B">
                    <w:rPr>
                      <w:b w:val="0"/>
                      <w:i/>
                      <w:sz w:val="20"/>
                      <w:szCs w:val="20"/>
                    </w:rPr>
                    <w:t xml:space="preserve">Pneumocystis </w:t>
                  </w:r>
                  <w:proofErr w:type="spellStart"/>
                  <w:r w:rsidRPr="0075444B">
                    <w:rPr>
                      <w:b w:val="0"/>
                      <w:i/>
                      <w:sz w:val="20"/>
                      <w:szCs w:val="20"/>
                    </w:rPr>
                    <w:t>jirovecii</w:t>
                  </w:r>
                  <w:proofErr w:type="spellEnd"/>
                  <w:r w:rsidRPr="00345EB9">
                    <w:rPr>
                      <w:b w:val="0"/>
                      <w:sz w:val="20"/>
                      <w:szCs w:val="20"/>
                    </w:rPr>
                    <w:t xml:space="preserve"> </w:t>
                  </w:r>
                </w:p>
                <w:p w14:paraId="74380D5B" w14:textId="77777777" w:rsidR="002123E1" w:rsidRPr="00345EB9" w:rsidRDefault="002123E1" w:rsidP="00282CD3">
                  <w:pPr>
                    <w:pStyle w:val="Heading2"/>
                    <w:spacing w:line="480" w:lineRule="auto"/>
                    <w:rPr>
                      <w:b w:val="0"/>
                      <w:sz w:val="20"/>
                      <w:szCs w:val="20"/>
                    </w:rPr>
                  </w:pPr>
                  <w:r w:rsidRPr="00345EB9">
                    <w:rPr>
                      <w:b w:val="0"/>
                      <w:sz w:val="20"/>
                      <w:szCs w:val="20"/>
                    </w:rPr>
                    <w:t>pneumonia</w:t>
                  </w:r>
                </w:p>
                <w:p w14:paraId="25655C30" w14:textId="77777777" w:rsidR="002123E1" w:rsidRPr="00345EB9" w:rsidRDefault="002123E1" w:rsidP="00282CD3">
                  <w:pPr>
                    <w:pStyle w:val="Heading2"/>
                    <w:spacing w:line="480" w:lineRule="auto"/>
                    <w:rPr>
                      <w:b w:val="0"/>
                      <w:sz w:val="20"/>
                      <w:szCs w:val="20"/>
                    </w:rPr>
                  </w:pPr>
                  <w:r w:rsidRPr="00345EB9">
                    <w:rPr>
                      <w:b w:val="0"/>
                      <w:sz w:val="20"/>
                      <w:szCs w:val="20"/>
                    </w:rPr>
                    <w:t>pneumococcal pneumonia</w:t>
                  </w:r>
                </w:p>
                <w:p w14:paraId="3C8E684B" w14:textId="77777777" w:rsidR="002123E1" w:rsidRPr="00345EB9" w:rsidRDefault="002123E1" w:rsidP="00282CD3">
                  <w:pPr>
                    <w:pStyle w:val="Heading2"/>
                    <w:spacing w:line="480" w:lineRule="auto"/>
                    <w:rPr>
                      <w:b w:val="0"/>
                      <w:sz w:val="20"/>
                      <w:szCs w:val="20"/>
                    </w:rPr>
                  </w:pPr>
                  <w:r w:rsidRPr="00345EB9">
                    <w:rPr>
                      <w:b w:val="0"/>
                      <w:sz w:val="20"/>
                      <w:szCs w:val="20"/>
                    </w:rPr>
                    <w:t>bacterial pneumonia</w:t>
                  </w:r>
                </w:p>
                <w:p w14:paraId="0DA1DC2C" w14:textId="49B5E47D" w:rsidR="002123E1" w:rsidRPr="00345EB9" w:rsidRDefault="002123E1" w:rsidP="003852E7">
                  <w:pPr>
                    <w:pStyle w:val="Heading2"/>
                    <w:spacing w:line="480" w:lineRule="auto"/>
                    <w:rPr>
                      <w:b w:val="0"/>
                      <w:sz w:val="20"/>
                      <w:szCs w:val="20"/>
                    </w:rPr>
                  </w:pPr>
                  <w:r w:rsidRPr="00345EB9">
                    <w:rPr>
                      <w:b w:val="0"/>
                      <w:sz w:val="20"/>
                      <w:szCs w:val="20"/>
                    </w:rPr>
                    <w:t>encephalitis</w:t>
                  </w:r>
                </w:p>
              </w:tc>
            </w:tr>
            <w:tr w:rsidR="002123E1" w:rsidRPr="00345EB9" w14:paraId="11CFE554" w14:textId="77777777" w:rsidTr="00587D84">
              <w:trPr>
                <w:trHeight w:val="558"/>
              </w:trPr>
              <w:tc>
                <w:tcPr>
                  <w:tcW w:w="1952" w:type="dxa"/>
                  <w:vMerge/>
                </w:tcPr>
                <w:p w14:paraId="66E59F5F" w14:textId="77777777" w:rsidR="002123E1" w:rsidRPr="00345EB9" w:rsidRDefault="002123E1" w:rsidP="003852E7">
                  <w:pPr>
                    <w:pStyle w:val="Heading2"/>
                    <w:keepNext w:val="0"/>
                    <w:spacing w:line="480" w:lineRule="auto"/>
                    <w:jc w:val="both"/>
                    <w:rPr>
                      <w:i/>
                      <w:sz w:val="20"/>
                      <w:szCs w:val="20"/>
                    </w:rPr>
                  </w:pPr>
                </w:p>
              </w:tc>
              <w:tc>
                <w:tcPr>
                  <w:tcW w:w="1612" w:type="dxa"/>
                  <w:tcBorders>
                    <w:top w:val="single" w:sz="4" w:space="0" w:color="auto"/>
                  </w:tcBorders>
                </w:tcPr>
                <w:p w14:paraId="121FE7E4" w14:textId="5DBFBF80" w:rsidR="002123E1" w:rsidRPr="00345EB9" w:rsidRDefault="002123E1" w:rsidP="003852E7">
                  <w:pPr>
                    <w:pStyle w:val="Heading2"/>
                    <w:spacing w:line="480" w:lineRule="auto"/>
                    <w:rPr>
                      <w:b w:val="0"/>
                      <w:sz w:val="20"/>
                      <w:szCs w:val="20"/>
                    </w:rPr>
                  </w:pPr>
                </w:p>
              </w:tc>
              <w:tc>
                <w:tcPr>
                  <w:tcW w:w="3510" w:type="dxa"/>
                  <w:tcBorders>
                    <w:top w:val="single" w:sz="4" w:space="0" w:color="auto"/>
                  </w:tcBorders>
                </w:tcPr>
                <w:p w14:paraId="5E581C33" w14:textId="77777777" w:rsidR="002123E1" w:rsidRPr="00345EB9" w:rsidRDefault="002123E1" w:rsidP="0075444B">
                  <w:pPr>
                    <w:pStyle w:val="Heading2"/>
                    <w:spacing w:line="480" w:lineRule="auto"/>
                    <w:rPr>
                      <w:b w:val="0"/>
                      <w:sz w:val="20"/>
                      <w:szCs w:val="20"/>
                    </w:rPr>
                  </w:pPr>
                  <w:r w:rsidRPr="00345EB9">
                    <w:rPr>
                      <w:b w:val="0"/>
                      <w:sz w:val="20"/>
                      <w:szCs w:val="20"/>
                    </w:rPr>
                    <w:t>atypical mycobacterial infection</w:t>
                  </w:r>
                </w:p>
                <w:p w14:paraId="56101A27" w14:textId="77777777" w:rsidR="002123E1" w:rsidRPr="00345EB9" w:rsidRDefault="002123E1" w:rsidP="003852E7">
                  <w:pPr>
                    <w:pStyle w:val="Heading2"/>
                    <w:spacing w:line="480" w:lineRule="auto"/>
                    <w:rPr>
                      <w:b w:val="0"/>
                      <w:sz w:val="20"/>
                      <w:szCs w:val="20"/>
                    </w:rPr>
                  </w:pPr>
                  <w:r w:rsidRPr="00345EB9">
                    <w:rPr>
                      <w:b w:val="0"/>
                      <w:sz w:val="20"/>
                      <w:szCs w:val="20"/>
                    </w:rPr>
                    <w:t>cytomegalovirus infection</w:t>
                  </w:r>
                </w:p>
                <w:p w14:paraId="6D0FCA47" w14:textId="42C8341E" w:rsidR="002123E1" w:rsidRPr="00345EB9" w:rsidRDefault="002123E1" w:rsidP="003852E7">
                  <w:pPr>
                    <w:pStyle w:val="Heading2"/>
                    <w:spacing w:line="480" w:lineRule="auto"/>
                    <w:rPr>
                      <w:b w:val="0"/>
                      <w:sz w:val="20"/>
                      <w:szCs w:val="20"/>
                    </w:rPr>
                  </w:pPr>
                  <w:r w:rsidRPr="00345EB9">
                    <w:rPr>
                      <w:b w:val="0"/>
                      <w:sz w:val="20"/>
                      <w:szCs w:val="20"/>
                    </w:rPr>
                    <w:t xml:space="preserve">bacterial arthritis </w:t>
                  </w:r>
                </w:p>
              </w:tc>
            </w:tr>
            <w:tr w:rsidR="002123E1" w:rsidRPr="00345EB9" w14:paraId="67DACFE9" w14:textId="77777777" w:rsidTr="00587D84">
              <w:trPr>
                <w:trHeight w:val="2268"/>
              </w:trPr>
              <w:tc>
                <w:tcPr>
                  <w:tcW w:w="1952" w:type="dxa"/>
                  <w:vMerge/>
                </w:tcPr>
                <w:p w14:paraId="60D643BC" w14:textId="77777777" w:rsidR="002123E1" w:rsidRPr="00345EB9" w:rsidRDefault="002123E1" w:rsidP="003852E7">
                  <w:pPr>
                    <w:pStyle w:val="Heading2"/>
                    <w:keepNext w:val="0"/>
                    <w:spacing w:line="480" w:lineRule="auto"/>
                    <w:jc w:val="both"/>
                    <w:rPr>
                      <w:i/>
                      <w:sz w:val="20"/>
                      <w:szCs w:val="20"/>
                    </w:rPr>
                  </w:pPr>
                </w:p>
              </w:tc>
              <w:tc>
                <w:tcPr>
                  <w:tcW w:w="1612" w:type="dxa"/>
                </w:tcPr>
                <w:p w14:paraId="16F174BE" w14:textId="7781CFD3" w:rsidR="002123E1" w:rsidRPr="00345EB9" w:rsidRDefault="002123E1" w:rsidP="003852E7">
                  <w:pPr>
                    <w:pStyle w:val="Heading2"/>
                    <w:keepNext w:val="0"/>
                    <w:spacing w:line="480" w:lineRule="auto"/>
                    <w:rPr>
                      <w:b w:val="0"/>
                      <w:sz w:val="20"/>
                      <w:szCs w:val="20"/>
                    </w:rPr>
                  </w:pPr>
                  <w:r w:rsidRPr="00345EB9">
                    <w:rPr>
                      <w:b w:val="0"/>
                      <w:sz w:val="20"/>
                      <w:szCs w:val="20"/>
                    </w:rPr>
                    <w:t>Very rare</w:t>
                  </w:r>
                </w:p>
              </w:tc>
              <w:tc>
                <w:tcPr>
                  <w:tcW w:w="3510" w:type="dxa"/>
                </w:tcPr>
                <w:p w14:paraId="407D4336" w14:textId="1BD0F38F" w:rsidR="002123E1" w:rsidRPr="00345EB9" w:rsidRDefault="002123E1" w:rsidP="003852E7">
                  <w:pPr>
                    <w:pStyle w:val="Heading2"/>
                    <w:spacing w:line="480" w:lineRule="auto"/>
                    <w:rPr>
                      <w:b w:val="0"/>
                      <w:sz w:val="20"/>
                      <w:szCs w:val="20"/>
                    </w:rPr>
                  </w:pPr>
                  <w:r w:rsidRPr="00345EB9">
                    <w:rPr>
                      <w:b w:val="0"/>
                      <w:sz w:val="20"/>
                      <w:szCs w:val="20"/>
                    </w:rPr>
                    <w:t>Tuberculosis of central nervous system</w:t>
                  </w:r>
                </w:p>
                <w:p w14:paraId="20883BA5" w14:textId="70857C42" w:rsidR="002123E1" w:rsidRPr="00345EB9" w:rsidRDefault="002123E1" w:rsidP="003852E7">
                  <w:pPr>
                    <w:pStyle w:val="Heading2"/>
                    <w:spacing w:line="480" w:lineRule="auto"/>
                    <w:rPr>
                      <w:b w:val="0"/>
                      <w:sz w:val="20"/>
                      <w:szCs w:val="20"/>
                    </w:rPr>
                  </w:pPr>
                  <w:r w:rsidRPr="00345EB9">
                    <w:rPr>
                      <w:b w:val="0"/>
                      <w:sz w:val="20"/>
                      <w:szCs w:val="20"/>
                    </w:rPr>
                    <w:t>cryptococcal meningitis</w:t>
                  </w:r>
                </w:p>
                <w:p w14:paraId="481850A6" w14:textId="2564F84B" w:rsidR="002123E1" w:rsidRPr="00345EB9" w:rsidRDefault="002123E1" w:rsidP="003852E7">
                  <w:pPr>
                    <w:pStyle w:val="Heading2"/>
                    <w:spacing w:line="480" w:lineRule="auto"/>
                    <w:rPr>
                      <w:b w:val="0"/>
                      <w:sz w:val="20"/>
                      <w:szCs w:val="20"/>
                    </w:rPr>
                  </w:pPr>
                  <w:r w:rsidRPr="00345EB9">
                    <w:rPr>
                      <w:b w:val="0"/>
                      <w:i/>
                      <w:sz w:val="20"/>
                      <w:szCs w:val="20"/>
                    </w:rPr>
                    <w:t xml:space="preserve">Mycobacterium avium </w:t>
                  </w:r>
                  <w:r w:rsidRPr="00345EB9">
                    <w:rPr>
                      <w:b w:val="0"/>
                      <w:sz w:val="20"/>
                      <w:szCs w:val="20"/>
                    </w:rPr>
                    <w:t>complex infection</w:t>
                  </w:r>
                </w:p>
              </w:tc>
            </w:tr>
          </w:tbl>
          <w:p w14:paraId="16666AD2" w14:textId="77777777" w:rsidR="002123E1" w:rsidRPr="00345EB9" w:rsidRDefault="002123E1" w:rsidP="003852E7">
            <w:pPr>
              <w:pStyle w:val="Heading2"/>
              <w:keepNext w:val="0"/>
              <w:spacing w:line="480" w:lineRule="auto"/>
              <w:jc w:val="both"/>
              <w:rPr>
                <w:i/>
                <w:sz w:val="20"/>
                <w:szCs w:val="20"/>
              </w:rPr>
            </w:pPr>
          </w:p>
        </w:tc>
      </w:tr>
      <w:tr w:rsidR="002123E1" w:rsidRPr="004F1EA4" w14:paraId="79B7D590" w14:textId="323C7CFB" w:rsidTr="002123E1">
        <w:trPr>
          <w:trHeight w:val="665"/>
        </w:trPr>
        <w:tc>
          <w:tcPr>
            <w:tcW w:w="5000" w:type="pct"/>
          </w:tcPr>
          <w:tbl>
            <w:tblPr>
              <w:tblStyle w:val="TableGrid"/>
              <w:tblW w:w="7074" w:type="dxa"/>
              <w:tblLayout w:type="fixed"/>
              <w:tblLook w:val="04A0" w:firstRow="1" w:lastRow="0" w:firstColumn="1" w:lastColumn="0" w:noHBand="0" w:noVBand="1"/>
            </w:tblPr>
            <w:tblGrid>
              <w:gridCol w:w="1944"/>
              <w:gridCol w:w="1620"/>
              <w:gridCol w:w="3510"/>
            </w:tblGrid>
            <w:tr w:rsidR="002123E1" w:rsidRPr="00345EB9" w14:paraId="50F2C2BB" w14:textId="77777777" w:rsidTr="00587D84">
              <w:trPr>
                <w:trHeight w:val="618"/>
              </w:trPr>
              <w:tc>
                <w:tcPr>
                  <w:tcW w:w="1944" w:type="dxa"/>
                </w:tcPr>
                <w:p w14:paraId="53559AB5" w14:textId="3E67EA3A" w:rsidR="002123E1" w:rsidRPr="00345EB9" w:rsidRDefault="002123E1" w:rsidP="003852E7">
                  <w:pPr>
                    <w:pStyle w:val="Heading2"/>
                    <w:keepNext w:val="0"/>
                    <w:spacing w:line="480" w:lineRule="auto"/>
                    <w:rPr>
                      <w:b w:val="0"/>
                      <w:i/>
                      <w:sz w:val="20"/>
                      <w:szCs w:val="20"/>
                    </w:rPr>
                  </w:pPr>
                  <w:r w:rsidRPr="00345EB9">
                    <w:rPr>
                      <w:b w:val="0"/>
                      <w:i/>
                      <w:sz w:val="20"/>
                      <w:szCs w:val="20"/>
                    </w:rPr>
                    <w:lastRenderedPageBreak/>
                    <w:t>Neoplasms benign and malignant and unspecified (including cysts and polyps)</w:t>
                  </w:r>
                </w:p>
              </w:tc>
              <w:tc>
                <w:tcPr>
                  <w:tcW w:w="1620" w:type="dxa"/>
                </w:tcPr>
                <w:p w14:paraId="161CE514" w14:textId="2A021711" w:rsidR="002123E1" w:rsidRPr="00345EB9" w:rsidRDefault="002123E1" w:rsidP="003852E7">
                  <w:pPr>
                    <w:pStyle w:val="Heading2"/>
                    <w:keepNext w:val="0"/>
                    <w:spacing w:line="480" w:lineRule="auto"/>
                    <w:rPr>
                      <w:b w:val="0"/>
                      <w:sz w:val="20"/>
                      <w:szCs w:val="20"/>
                    </w:rPr>
                  </w:pPr>
                  <w:r w:rsidRPr="00345EB9">
                    <w:rPr>
                      <w:b w:val="0"/>
                      <w:sz w:val="20"/>
                      <w:szCs w:val="20"/>
                    </w:rPr>
                    <w:t>Uncommon</w:t>
                  </w:r>
                </w:p>
              </w:tc>
              <w:tc>
                <w:tcPr>
                  <w:tcW w:w="3510" w:type="dxa"/>
                </w:tcPr>
                <w:p w14:paraId="6D8CE324" w14:textId="178744BB" w:rsidR="002123E1" w:rsidRPr="00345EB9" w:rsidRDefault="002123E1" w:rsidP="003852E7">
                  <w:pPr>
                    <w:pStyle w:val="Heading2"/>
                    <w:keepNext w:val="0"/>
                    <w:spacing w:line="480" w:lineRule="auto"/>
                    <w:rPr>
                      <w:b w:val="0"/>
                      <w:sz w:val="20"/>
                      <w:szCs w:val="20"/>
                    </w:rPr>
                  </w:pPr>
                  <w:r w:rsidRPr="00345EB9">
                    <w:rPr>
                      <w:b w:val="0"/>
                      <w:sz w:val="20"/>
                      <w:szCs w:val="20"/>
                    </w:rPr>
                    <w:t>Non-melanoma skin cancers</w:t>
                  </w:r>
                </w:p>
              </w:tc>
            </w:tr>
          </w:tbl>
          <w:p w14:paraId="5D872A19" w14:textId="77777777" w:rsidR="002123E1" w:rsidRPr="00345EB9" w:rsidRDefault="002123E1" w:rsidP="003852E7">
            <w:pPr>
              <w:pStyle w:val="Heading2"/>
              <w:keepNext w:val="0"/>
              <w:spacing w:line="480" w:lineRule="auto"/>
              <w:jc w:val="both"/>
              <w:rPr>
                <w:b w:val="0"/>
                <w:sz w:val="20"/>
                <w:szCs w:val="20"/>
              </w:rPr>
            </w:pPr>
          </w:p>
        </w:tc>
      </w:tr>
      <w:tr w:rsidR="002123E1" w:rsidRPr="004F1EA4" w14:paraId="247B16B1" w14:textId="14D768B8" w:rsidTr="002123E1">
        <w:trPr>
          <w:trHeight w:val="3338"/>
        </w:trPr>
        <w:tc>
          <w:tcPr>
            <w:tcW w:w="5000" w:type="pct"/>
          </w:tcPr>
          <w:tbl>
            <w:tblPr>
              <w:tblStyle w:val="TableGrid"/>
              <w:tblW w:w="6984" w:type="dxa"/>
              <w:tblLayout w:type="fixed"/>
              <w:tblLook w:val="04A0" w:firstRow="1" w:lastRow="0" w:firstColumn="1" w:lastColumn="0" w:noHBand="0" w:noVBand="1"/>
            </w:tblPr>
            <w:tblGrid>
              <w:gridCol w:w="1940"/>
              <w:gridCol w:w="1624"/>
              <w:gridCol w:w="3420"/>
            </w:tblGrid>
            <w:tr w:rsidR="002123E1" w:rsidRPr="00345EB9" w14:paraId="779111A2" w14:textId="77777777" w:rsidTr="00587D84">
              <w:trPr>
                <w:trHeight w:val="518"/>
              </w:trPr>
              <w:tc>
                <w:tcPr>
                  <w:tcW w:w="1940" w:type="dxa"/>
                  <w:vMerge w:val="restart"/>
                </w:tcPr>
                <w:p w14:paraId="342B1196" w14:textId="4E6F100A" w:rsidR="002123E1" w:rsidRPr="00345EB9" w:rsidRDefault="002123E1" w:rsidP="003852E7">
                  <w:pPr>
                    <w:pStyle w:val="Heading2"/>
                    <w:keepNext w:val="0"/>
                    <w:spacing w:line="480" w:lineRule="auto"/>
                    <w:rPr>
                      <w:b w:val="0"/>
                      <w:i/>
                      <w:sz w:val="20"/>
                      <w:szCs w:val="20"/>
                    </w:rPr>
                  </w:pPr>
                  <w:r w:rsidRPr="00345EB9">
                    <w:rPr>
                      <w:b w:val="0"/>
                      <w:i/>
                      <w:sz w:val="20"/>
                      <w:szCs w:val="20"/>
                    </w:rPr>
                    <w:lastRenderedPageBreak/>
                    <w:t>Blood and lymphatic system disorders</w:t>
                  </w:r>
                </w:p>
              </w:tc>
              <w:tc>
                <w:tcPr>
                  <w:tcW w:w="1624" w:type="dxa"/>
                </w:tcPr>
                <w:p w14:paraId="734E7BEF" w14:textId="1E9DBB77" w:rsidR="002123E1" w:rsidRPr="00345EB9" w:rsidRDefault="002123E1" w:rsidP="003852E7">
                  <w:pPr>
                    <w:pStyle w:val="Heading2"/>
                    <w:keepNext w:val="0"/>
                    <w:spacing w:line="480" w:lineRule="auto"/>
                    <w:rPr>
                      <w:b w:val="0"/>
                      <w:sz w:val="20"/>
                      <w:szCs w:val="20"/>
                    </w:rPr>
                  </w:pPr>
                  <w:r w:rsidRPr="00345EB9">
                    <w:rPr>
                      <w:b w:val="0"/>
                      <w:sz w:val="20"/>
                      <w:szCs w:val="20"/>
                    </w:rPr>
                    <w:t>Common</w:t>
                  </w:r>
                </w:p>
              </w:tc>
              <w:tc>
                <w:tcPr>
                  <w:tcW w:w="3420" w:type="dxa"/>
                </w:tcPr>
                <w:p w14:paraId="24F574DD" w14:textId="27A12C6A" w:rsidR="002123E1" w:rsidRPr="00345EB9" w:rsidRDefault="002123E1" w:rsidP="003852E7">
                  <w:pPr>
                    <w:pStyle w:val="Heading2"/>
                    <w:keepNext w:val="0"/>
                    <w:spacing w:line="480" w:lineRule="auto"/>
                    <w:rPr>
                      <w:b w:val="0"/>
                      <w:sz w:val="20"/>
                      <w:szCs w:val="20"/>
                    </w:rPr>
                  </w:pPr>
                  <w:r w:rsidRPr="00345EB9">
                    <w:rPr>
                      <w:b w:val="0"/>
                      <w:sz w:val="20"/>
                      <w:szCs w:val="20"/>
                    </w:rPr>
                    <w:t>Anaemia</w:t>
                  </w:r>
                </w:p>
              </w:tc>
            </w:tr>
            <w:tr w:rsidR="002123E1" w:rsidRPr="00345EB9" w14:paraId="4FDAA516" w14:textId="77777777" w:rsidTr="00587D84">
              <w:trPr>
                <w:trHeight w:val="1602"/>
              </w:trPr>
              <w:tc>
                <w:tcPr>
                  <w:tcW w:w="1940" w:type="dxa"/>
                  <w:vMerge/>
                </w:tcPr>
                <w:p w14:paraId="275CAA77" w14:textId="77777777" w:rsidR="002123E1" w:rsidRPr="00345EB9" w:rsidRDefault="002123E1" w:rsidP="003852E7">
                  <w:pPr>
                    <w:pStyle w:val="Heading2"/>
                    <w:keepNext w:val="0"/>
                    <w:spacing w:line="480" w:lineRule="auto"/>
                    <w:rPr>
                      <w:b w:val="0"/>
                      <w:sz w:val="20"/>
                      <w:szCs w:val="20"/>
                    </w:rPr>
                  </w:pPr>
                </w:p>
              </w:tc>
              <w:tc>
                <w:tcPr>
                  <w:tcW w:w="1624" w:type="dxa"/>
                </w:tcPr>
                <w:p w14:paraId="2904538D" w14:textId="6162DB0D" w:rsidR="002123E1" w:rsidRPr="00345EB9" w:rsidRDefault="002123E1" w:rsidP="003852E7">
                  <w:pPr>
                    <w:pStyle w:val="Heading2"/>
                    <w:keepNext w:val="0"/>
                    <w:spacing w:line="480" w:lineRule="auto"/>
                    <w:rPr>
                      <w:b w:val="0"/>
                      <w:sz w:val="20"/>
                      <w:szCs w:val="20"/>
                    </w:rPr>
                  </w:pPr>
                  <w:r w:rsidRPr="00345EB9">
                    <w:rPr>
                      <w:b w:val="0"/>
                      <w:sz w:val="20"/>
                      <w:szCs w:val="20"/>
                    </w:rPr>
                    <w:t>Uncommon</w:t>
                  </w:r>
                </w:p>
              </w:tc>
              <w:tc>
                <w:tcPr>
                  <w:tcW w:w="3420" w:type="dxa"/>
                </w:tcPr>
                <w:p w14:paraId="323A0A81" w14:textId="3CF97B89" w:rsidR="002123E1" w:rsidRPr="00345EB9" w:rsidRDefault="002123E1" w:rsidP="003852E7">
                  <w:pPr>
                    <w:pStyle w:val="Heading2"/>
                    <w:spacing w:line="480" w:lineRule="auto"/>
                    <w:rPr>
                      <w:b w:val="0"/>
                      <w:sz w:val="20"/>
                      <w:szCs w:val="20"/>
                    </w:rPr>
                  </w:pPr>
                  <w:r w:rsidRPr="00345EB9">
                    <w:rPr>
                      <w:b w:val="0"/>
                      <w:sz w:val="20"/>
                      <w:szCs w:val="20"/>
                    </w:rPr>
                    <w:t>Leukopenia</w:t>
                  </w:r>
                </w:p>
                <w:p w14:paraId="77B1CB9B" w14:textId="40271929" w:rsidR="002123E1" w:rsidRPr="00345EB9" w:rsidRDefault="002123E1" w:rsidP="003852E7">
                  <w:pPr>
                    <w:pStyle w:val="Heading2"/>
                    <w:spacing w:line="480" w:lineRule="auto"/>
                    <w:rPr>
                      <w:b w:val="0"/>
                      <w:sz w:val="20"/>
                      <w:szCs w:val="20"/>
                    </w:rPr>
                  </w:pPr>
                  <w:r w:rsidRPr="00345EB9">
                    <w:rPr>
                      <w:b w:val="0"/>
                      <w:sz w:val="20"/>
                      <w:szCs w:val="20"/>
                    </w:rPr>
                    <w:t>lymphopenia</w:t>
                  </w:r>
                </w:p>
                <w:p w14:paraId="2606042B" w14:textId="00C0C212" w:rsidR="002123E1" w:rsidRPr="00345EB9" w:rsidRDefault="002123E1" w:rsidP="003852E7">
                  <w:pPr>
                    <w:pStyle w:val="Heading2"/>
                    <w:keepNext w:val="0"/>
                    <w:spacing w:line="480" w:lineRule="auto"/>
                    <w:rPr>
                      <w:b w:val="0"/>
                      <w:sz w:val="20"/>
                      <w:szCs w:val="20"/>
                    </w:rPr>
                  </w:pPr>
                  <w:r w:rsidRPr="00345EB9">
                    <w:rPr>
                      <w:b w:val="0"/>
                      <w:sz w:val="20"/>
                      <w:szCs w:val="20"/>
                    </w:rPr>
                    <w:t>neutropenia</w:t>
                  </w:r>
                </w:p>
              </w:tc>
            </w:tr>
            <w:tr w:rsidR="002123E1" w:rsidRPr="00345EB9" w14:paraId="0FACA4AA" w14:textId="77777777" w:rsidTr="00587D84">
              <w:trPr>
                <w:trHeight w:val="1320"/>
              </w:trPr>
              <w:tc>
                <w:tcPr>
                  <w:tcW w:w="1940" w:type="dxa"/>
                </w:tcPr>
                <w:p w14:paraId="3E6220F2" w14:textId="0A741899" w:rsidR="002123E1" w:rsidRPr="00345EB9" w:rsidRDefault="002123E1" w:rsidP="003852E7">
                  <w:pPr>
                    <w:pStyle w:val="Heading2"/>
                    <w:keepNext w:val="0"/>
                    <w:spacing w:line="480" w:lineRule="auto"/>
                    <w:rPr>
                      <w:b w:val="0"/>
                      <w:sz w:val="20"/>
                      <w:szCs w:val="20"/>
                    </w:rPr>
                  </w:pPr>
                  <w:r w:rsidRPr="00345EB9">
                    <w:rPr>
                      <w:b w:val="0"/>
                      <w:i/>
                      <w:sz w:val="20"/>
                      <w:szCs w:val="20"/>
                    </w:rPr>
                    <w:t>Immune system disorders</w:t>
                  </w:r>
                </w:p>
              </w:tc>
              <w:tc>
                <w:tcPr>
                  <w:tcW w:w="1624" w:type="dxa"/>
                </w:tcPr>
                <w:p w14:paraId="5596BEF3" w14:textId="7C68B7F3" w:rsidR="002123E1" w:rsidRPr="00345EB9" w:rsidRDefault="002123E1" w:rsidP="003852E7">
                  <w:pPr>
                    <w:pStyle w:val="Heading2"/>
                    <w:keepNext w:val="0"/>
                    <w:spacing w:line="480" w:lineRule="auto"/>
                    <w:rPr>
                      <w:b w:val="0"/>
                      <w:sz w:val="20"/>
                      <w:szCs w:val="20"/>
                    </w:rPr>
                  </w:pPr>
                  <w:r w:rsidRPr="00345EB9">
                    <w:rPr>
                      <w:b w:val="0"/>
                      <w:sz w:val="20"/>
                      <w:szCs w:val="20"/>
                    </w:rPr>
                    <w:t>Not known</w:t>
                  </w:r>
                </w:p>
              </w:tc>
              <w:tc>
                <w:tcPr>
                  <w:tcW w:w="3420" w:type="dxa"/>
                </w:tcPr>
                <w:p w14:paraId="3533DD9B" w14:textId="40EED716" w:rsidR="002123E1" w:rsidRPr="00345EB9" w:rsidRDefault="002123E1" w:rsidP="003852E7">
                  <w:pPr>
                    <w:pStyle w:val="Heading2"/>
                    <w:spacing w:line="480" w:lineRule="auto"/>
                    <w:rPr>
                      <w:b w:val="0"/>
                      <w:i/>
                      <w:sz w:val="20"/>
                      <w:szCs w:val="20"/>
                    </w:rPr>
                  </w:pPr>
                  <w:r w:rsidRPr="00345EB9">
                    <w:rPr>
                      <w:b w:val="0"/>
                      <w:sz w:val="20"/>
                      <w:szCs w:val="20"/>
                    </w:rPr>
                    <w:t>Drug hypersensitivity*</w:t>
                  </w:r>
                </w:p>
                <w:p w14:paraId="579CB2B6" w14:textId="21DD616A" w:rsidR="002123E1" w:rsidRPr="00345EB9" w:rsidRDefault="002123E1" w:rsidP="003852E7">
                  <w:pPr>
                    <w:pStyle w:val="Heading2"/>
                    <w:spacing w:line="480" w:lineRule="auto"/>
                    <w:jc w:val="both"/>
                    <w:rPr>
                      <w:b w:val="0"/>
                      <w:sz w:val="20"/>
                      <w:szCs w:val="20"/>
                    </w:rPr>
                  </w:pPr>
                  <w:r w:rsidRPr="00345EB9">
                    <w:rPr>
                      <w:b w:val="0"/>
                      <w:sz w:val="20"/>
                      <w:szCs w:val="20"/>
                    </w:rPr>
                    <w:t>angioedema*</w:t>
                  </w:r>
                </w:p>
                <w:p w14:paraId="132864B8" w14:textId="57C3750A" w:rsidR="002123E1" w:rsidRPr="00345EB9" w:rsidRDefault="002123E1" w:rsidP="003852E7">
                  <w:pPr>
                    <w:rPr>
                      <w:sz w:val="20"/>
                      <w:szCs w:val="20"/>
                      <w:lang w:val="en-GB"/>
                    </w:rPr>
                  </w:pPr>
                  <w:r w:rsidRPr="00345EB9">
                    <w:rPr>
                      <w:rFonts w:ascii="Arial" w:hAnsi="Arial" w:cs="Arial"/>
                      <w:sz w:val="20"/>
                      <w:szCs w:val="20"/>
                    </w:rPr>
                    <w:t>urticaria*</w:t>
                  </w:r>
                </w:p>
              </w:tc>
            </w:tr>
          </w:tbl>
          <w:p w14:paraId="349AD8E0" w14:textId="77777777" w:rsidR="002123E1" w:rsidRPr="00345EB9" w:rsidRDefault="002123E1" w:rsidP="003852E7">
            <w:pPr>
              <w:pStyle w:val="Heading2"/>
              <w:keepNext w:val="0"/>
              <w:spacing w:line="480" w:lineRule="auto"/>
              <w:jc w:val="both"/>
              <w:rPr>
                <w:i/>
                <w:sz w:val="20"/>
                <w:szCs w:val="20"/>
              </w:rPr>
            </w:pPr>
          </w:p>
        </w:tc>
      </w:tr>
      <w:tr w:rsidR="002123E1" w:rsidRPr="004F1EA4" w14:paraId="3AADC316" w14:textId="72BED229" w:rsidTr="002123E1">
        <w:tc>
          <w:tcPr>
            <w:tcW w:w="5000" w:type="pct"/>
          </w:tcPr>
          <w:tbl>
            <w:tblPr>
              <w:tblStyle w:val="TableGrid"/>
              <w:tblW w:w="6984" w:type="dxa"/>
              <w:tblLayout w:type="fixed"/>
              <w:tblLook w:val="04A0" w:firstRow="1" w:lastRow="0" w:firstColumn="1" w:lastColumn="0" w:noHBand="0" w:noVBand="1"/>
            </w:tblPr>
            <w:tblGrid>
              <w:gridCol w:w="1939"/>
              <w:gridCol w:w="1625"/>
              <w:gridCol w:w="3420"/>
            </w:tblGrid>
            <w:tr w:rsidR="002123E1" w:rsidRPr="00345EB9" w14:paraId="6B9B7EB6" w14:textId="77777777" w:rsidTr="00587D84">
              <w:trPr>
                <w:trHeight w:val="1365"/>
              </w:trPr>
              <w:tc>
                <w:tcPr>
                  <w:tcW w:w="1939" w:type="dxa"/>
                </w:tcPr>
                <w:p w14:paraId="6D79A2FB" w14:textId="2FF6720C" w:rsidR="002123E1" w:rsidRPr="00345EB9" w:rsidRDefault="002123E1" w:rsidP="003852E7">
                  <w:pPr>
                    <w:pStyle w:val="Heading2"/>
                    <w:keepNext w:val="0"/>
                    <w:spacing w:line="480" w:lineRule="auto"/>
                    <w:rPr>
                      <w:b w:val="0"/>
                      <w:i/>
                      <w:sz w:val="20"/>
                      <w:szCs w:val="20"/>
                    </w:rPr>
                  </w:pPr>
                  <w:r w:rsidRPr="00345EB9">
                    <w:rPr>
                      <w:b w:val="0"/>
                      <w:i/>
                      <w:sz w:val="20"/>
                      <w:szCs w:val="20"/>
                    </w:rPr>
                    <w:t>Metabolism and nutrition disorders</w:t>
                  </w:r>
                </w:p>
              </w:tc>
              <w:tc>
                <w:tcPr>
                  <w:tcW w:w="1625" w:type="dxa"/>
                </w:tcPr>
                <w:p w14:paraId="6E6E6C38" w14:textId="2B1ABDF2" w:rsidR="002123E1" w:rsidRPr="00345EB9" w:rsidRDefault="002123E1" w:rsidP="003852E7">
                  <w:pPr>
                    <w:pStyle w:val="Heading2"/>
                    <w:keepNext w:val="0"/>
                    <w:spacing w:line="480" w:lineRule="auto"/>
                    <w:rPr>
                      <w:b w:val="0"/>
                      <w:sz w:val="20"/>
                      <w:szCs w:val="20"/>
                    </w:rPr>
                  </w:pPr>
                  <w:r w:rsidRPr="00345EB9">
                    <w:rPr>
                      <w:b w:val="0"/>
                      <w:sz w:val="20"/>
                      <w:szCs w:val="20"/>
                    </w:rPr>
                    <w:t>Uncommon</w:t>
                  </w:r>
                </w:p>
              </w:tc>
              <w:tc>
                <w:tcPr>
                  <w:tcW w:w="3420" w:type="dxa"/>
                </w:tcPr>
                <w:p w14:paraId="41AF2D37" w14:textId="1B83FC13" w:rsidR="002123E1" w:rsidRPr="00345EB9" w:rsidRDefault="002123E1" w:rsidP="003852E7">
                  <w:pPr>
                    <w:pStyle w:val="Heading2"/>
                    <w:spacing w:line="480" w:lineRule="auto"/>
                    <w:rPr>
                      <w:b w:val="0"/>
                      <w:sz w:val="20"/>
                      <w:szCs w:val="20"/>
                    </w:rPr>
                  </w:pPr>
                  <w:r w:rsidRPr="00345EB9">
                    <w:rPr>
                      <w:b w:val="0"/>
                      <w:sz w:val="20"/>
                      <w:szCs w:val="20"/>
                    </w:rPr>
                    <w:t>Dyslipidaemia</w:t>
                  </w:r>
                </w:p>
                <w:p w14:paraId="78665BC3" w14:textId="4DF9B5A0" w:rsidR="002123E1" w:rsidRPr="00345EB9" w:rsidRDefault="002123E1" w:rsidP="003852E7">
                  <w:pPr>
                    <w:pStyle w:val="Heading2"/>
                    <w:spacing w:line="480" w:lineRule="auto"/>
                    <w:rPr>
                      <w:b w:val="0"/>
                      <w:sz w:val="20"/>
                      <w:szCs w:val="20"/>
                    </w:rPr>
                  </w:pPr>
                  <w:r w:rsidRPr="00345EB9">
                    <w:rPr>
                      <w:b w:val="0"/>
                      <w:sz w:val="20"/>
                      <w:szCs w:val="20"/>
                    </w:rPr>
                    <w:t>hyperlipidaemia</w:t>
                  </w:r>
                </w:p>
                <w:p w14:paraId="1D3A960F" w14:textId="631A9089" w:rsidR="002123E1" w:rsidRPr="00345EB9" w:rsidRDefault="002123E1" w:rsidP="003852E7">
                  <w:pPr>
                    <w:pStyle w:val="Heading2"/>
                    <w:keepNext w:val="0"/>
                    <w:spacing w:line="480" w:lineRule="auto"/>
                    <w:rPr>
                      <w:b w:val="0"/>
                      <w:sz w:val="20"/>
                      <w:szCs w:val="20"/>
                    </w:rPr>
                  </w:pPr>
                  <w:r w:rsidRPr="00345EB9">
                    <w:rPr>
                      <w:b w:val="0"/>
                      <w:sz w:val="20"/>
                      <w:szCs w:val="20"/>
                    </w:rPr>
                    <w:t>dehydration</w:t>
                  </w:r>
                </w:p>
              </w:tc>
            </w:tr>
          </w:tbl>
          <w:p w14:paraId="0D59D578" w14:textId="77777777" w:rsidR="002123E1" w:rsidRPr="00345EB9" w:rsidRDefault="002123E1" w:rsidP="003852E7">
            <w:pPr>
              <w:pStyle w:val="Heading2"/>
              <w:keepNext w:val="0"/>
              <w:spacing w:line="480" w:lineRule="auto"/>
              <w:jc w:val="both"/>
              <w:rPr>
                <w:i/>
                <w:sz w:val="20"/>
                <w:szCs w:val="20"/>
              </w:rPr>
            </w:pPr>
          </w:p>
        </w:tc>
      </w:tr>
      <w:tr w:rsidR="002123E1" w:rsidRPr="004F1EA4" w14:paraId="7450C33B" w14:textId="6F546458" w:rsidTr="002123E1">
        <w:tc>
          <w:tcPr>
            <w:tcW w:w="5000" w:type="pct"/>
          </w:tcPr>
          <w:tbl>
            <w:tblPr>
              <w:tblStyle w:val="TableGrid"/>
              <w:tblW w:w="6984" w:type="dxa"/>
              <w:tblLayout w:type="fixed"/>
              <w:tblLook w:val="04A0" w:firstRow="1" w:lastRow="0" w:firstColumn="1" w:lastColumn="0" w:noHBand="0" w:noVBand="1"/>
            </w:tblPr>
            <w:tblGrid>
              <w:gridCol w:w="1944"/>
              <w:gridCol w:w="1620"/>
              <w:gridCol w:w="3420"/>
            </w:tblGrid>
            <w:tr w:rsidR="002123E1" w:rsidRPr="00345EB9" w14:paraId="2C987C0D" w14:textId="77777777" w:rsidTr="00587D84">
              <w:trPr>
                <w:trHeight w:val="504"/>
              </w:trPr>
              <w:tc>
                <w:tcPr>
                  <w:tcW w:w="1944" w:type="dxa"/>
                </w:tcPr>
                <w:p w14:paraId="7E01A0C0" w14:textId="767C9F2C" w:rsidR="002123E1" w:rsidRPr="00345EB9" w:rsidRDefault="002123E1" w:rsidP="003852E7">
                  <w:pPr>
                    <w:pStyle w:val="Heading2"/>
                    <w:keepNext w:val="0"/>
                    <w:spacing w:line="480" w:lineRule="auto"/>
                    <w:rPr>
                      <w:b w:val="0"/>
                      <w:i/>
                      <w:sz w:val="20"/>
                      <w:szCs w:val="20"/>
                    </w:rPr>
                  </w:pPr>
                  <w:r w:rsidRPr="00345EB9">
                    <w:rPr>
                      <w:b w:val="0"/>
                      <w:i/>
                      <w:sz w:val="20"/>
                      <w:szCs w:val="20"/>
                    </w:rPr>
                    <w:t>Psychiatric disorders</w:t>
                  </w:r>
                </w:p>
              </w:tc>
              <w:tc>
                <w:tcPr>
                  <w:tcW w:w="1620" w:type="dxa"/>
                </w:tcPr>
                <w:p w14:paraId="1F80DFE3" w14:textId="6799B79D" w:rsidR="002123E1" w:rsidRPr="00345EB9" w:rsidRDefault="002123E1" w:rsidP="003852E7">
                  <w:pPr>
                    <w:pStyle w:val="Heading2"/>
                    <w:keepNext w:val="0"/>
                    <w:spacing w:line="480" w:lineRule="auto"/>
                    <w:rPr>
                      <w:b w:val="0"/>
                      <w:sz w:val="20"/>
                      <w:szCs w:val="20"/>
                    </w:rPr>
                  </w:pPr>
                  <w:r w:rsidRPr="00345EB9">
                    <w:rPr>
                      <w:b w:val="0"/>
                      <w:sz w:val="20"/>
                      <w:szCs w:val="20"/>
                    </w:rPr>
                    <w:t>Uncommon</w:t>
                  </w:r>
                </w:p>
              </w:tc>
              <w:tc>
                <w:tcPr>
                  <w:tcW w:w="3420" w:type="dxa"/>
                </w:tcPr>
                <w:p w14:paraId="2E19BDF0" w14:textId="77AB7CB4" w:rsidR="002123E1" w:rsidRPr="00345EB9" w:rsidRDefault="002123E1" w:rsidP="003852E7">
                  <w:pPr>
                    <w:pStyle w:val="Heading2"/>
                    <w:keepNext w:val="0"/>
                    <w:spacing w:line="480" w:lineRule="auto"/>
                    <w:rPr>
                      <w:b w:val="0"/>
                      <w:sz w:val="20"/>
                      <w:szCs w:val="20"/>
                    </w:rPr>
                  </w:pPr>
                  <w:r w:rsidRPr="00345EB9">
                    <w:rPr>
                      <w:b w:val="0"/>
                      <w:sz w:val="20"/>
                      <w:szCs w:val="20"/>
                    </w:rPr>
                    <w:t>Insomnia</w:t>
                  </w:r>
                </w:p>
              </w:tc>
            </w:tr>
          </w:tbl>
          <w:p w14:paraId="5A4783BB" w14:textId="77777777" w:rsidR="002123E1" w:rsidRPr="00345EB9" w:rsidRDefault="002123E1" w:rsidP="003852E7">
            <w:pPr>
              <w:pStyle w:val="Heading2"/>
              <w:keepNext w:val="0"/>
              <w:spacing w:line="480" w:lineRule="auto"/>
              <w:jc w:val="both"/>
              <w:rPr>
                <w:i/>
                <w:sz w:val="20"/>
                <w:szCs w:val="20"/>
              </w:rPr>
            </w:pPr>
          </w:p>
        </w:tc>
      </w:tr>
      <w:tr w:rsidR="002123E1" w:rsidRPr="004F1EA4" w14:paraId="7FD3BCA5" w14:textId="27801852" w:rsidTr="002123E1">
        <w:tc>
          <w:tcPr>
            <w:tcW w:w="5000" w:type="pct"/>
          </w:tcPr>
          <w:tbl>
            <w:tblPr>
              <w:tblStyle w:val="TableGrid"/>
              <w:tblW w:w="6984" w:type="dxa"/>
              <w:tblLayout w:type="fixed"/>
              <w:tblLook w:val="04A0" w:firstRow="1" w:lastRow="0" w:firstColumn="1" w:lastColumn="0" w:noHBand="0" w:noVBand="1"/>
            </w:tblPr>
            <w:tblGrid>
              <w:gridCol w:w="1944"/>
              <w:gridCol w:w="1620"/>
              <w:gridCol w:w="3420"/>
            </w:tblGrid>
            <w:tr w:rsidR="002123E1" w:rsidRPr="00345EB9" w14:paraId="575123AD" w14:textId="77777777" w:rsidTr="00587D84">
              <w:trPr>
                <w:trHeight w:val="489"/>
              </w:trPr>
              <w:tc>
                <w:tcPr>
                  <w:tcW w:w="1944" w:type="dxa"/>
                  <w:vMerge w:val="restart"/>
                </w:tcPr>
                <w:p w14:paraId="6FBDA8C9" w14:textId="0E0956C4" w:rsidR="002123E1" w:rsidRPr="00345EB9" w:rsidRDefault="002123E1" w:rsidP="003852E7">
                  <w:pPr>
                    <w:pStyle w:val="Heading2"/>
                    <w:keepNext w:val="0"/>
                    <w:spacing w:line="480" w:lineRule="auto"/>
                    <w:rPr>
                      <w:b w:val="0"/>
                      <w:i/>
                      <w:sz w:val="20"/>
                      <w:szCs w:val="20"/>
                    </w:rPr>
                  </w:pPr>
                  <w:r w:rsidRPr="00345EB9">
                    <w:rPr>
                      <w:b w:val="0"/>
                      <w:i/>
                      <w:sz w:val="20"/>
                      <w:szCs w:val="20"/>
                    </w:rPr>
                    <w:t>Nervous system disorders</w:t>
                  </w:r>
                </w:p>
              </w:tc>
              <w:tc>
                <w:tcPr>
                  <w:tcW w:w="1620" w:type="dxa"/>
                </w:tcPr>
                <w:p w14:paraId="5A01128A" w14:textId="610558BF" w:rsidR="002123E1" w:rsidRPr="00345EB9" w:rsidRDefault="002123E1" w:rsidP="003852E7">
                  <w:pPr>
                    <w:pStyle w:val="Heading2"/>
                    <w:keepNext w:val="0"/>
                    <w:spacing w:line="480" w:lineRule="auto"/>
                    <w:rPr>
                      <w:b w:val="0"/>
                      <w:sz w:val="20"/>
                      <w:szCs w:val="20"/>
                    </w:rPr>
                  </w:pPr>
                  <w:r w:rsidRPr="00345EB9">
                    <w:rPr>
                      <w:b w:val="0"/>
                      <w:sz w:val="20"/>
                      <w:szCs w:val="20"/>
                    </w:rPr>
                    <w:t>Common</w:t>
                  </w:r>
                </w:p>
              </w:tc>
              <w:tc>
                <w:tcPr>
                  <w:tcW w:w="3420" w:type="dxa"/>
                </w:tcPr>
                <w:p w14:paraId="76312B25" w14:textId="4BE96144" w:rsidR="002123E1" w:rsidRPr="00345EB9" w:rsidRDefault="002123E1" w:rsidP="003852E7">
                  <w:pPr>
                    <w:pStyle w:val="Heading2"/>
                    <w:keepNext w:val="0"/>
                    <w:spacing w:line="480" w:lineRule="auto"/>
                    <w:rPr>
                      <w:b w:val="0"/>
                      <w:sz w:val="20"/>
                      <w:szCs w:val="20"/>
                    </w:rPr>
                  </w:pPr>
                  <w:r w:rsidRPr="00345EB9">
                    <w:rPr>
                      <w:b w:val="0"/>
                      <w:sz w:val="20"/>
                      <w:szCs w:val="20"/>
                    </w:rPr>
                    <w:t>Headache</w:t>
                  </w:r>
                </w:p>
              </w:tc>
            </w:tr>
            <w:tr w:rsidR="002123E1" w:rsidRPr="00345EB9" w14:paraId="7C57D904" w14:textId="77777777" w:rsidTr="00587D84">
              <w:trPr>
                <w:trHeight w:val="504"/>
              </w:trPr>
              <w:tc>
                <w:tcPr>
                  <w:tcW w:w="1944" w:type="dxa"/>
                  <w:vMerge/>
                </w:tcPr>
                <w:p w14:paraId="4054D4D1" w14:textId="77777777" w:rsidR="002123E1" w:rsidRPr="00345EB9" w:rsidRDefault="002123E1" w:rsidP="003852E7">
                  <w:pPr>
                    <w:pStyle w:val="Heading2"/>
                    <w:keepNext w:val="0"/>
                    <w:spacing w:line="480" w:lineRule="auto"/>
                    <w:jc w:val="both"/>
                    <w:rPr>
                      <w:i/>
                      <w:sz w:val="20"/>
                      <w:szCs w:val="20"/>
                    </w:rPr>
                  </w:pPr>
                </w:p>
              </w:tc>
              <w:tc>
                <w:tcPr>
                  <w:tcW w:w="1620" w:type="dxa"/>
                </w:tcPr>
                <w:p w14:paraId="117535C3" w14:textId="5466DC7F" w:rsidR="002123E1" w:rsidRPr="00345EB9" w:rsidRDefault="002123E1" w:rsidP="003852E7">
                  <w:pPr>
                    <w:pStyle w:val="Heading2"/>
                    <w:keepNext w:val="0"/>
                    <w:spacing w:line="480" w:lineRule="auto"/>
                    <w:rPr>
                      <w:b w:val="0"/>
                      <w:sz w:val="20"/>
                      <w:szCs w:val="20"/>
                    </w:rPr>
                  </w:pPr>
                  <w:r w:rsidRPr="00345EB9">
                    <w:rPr>
                      <w:b w:val="0"/>
                      <w:sz w:val="20"/>
                      <w:szCs w:val="20"/>
                    </w:rPr>
                    <w:t>Uncommon</w:t>
                  </w:r>
                </w:p>
              </w:tc>
              <w:tc>
                <w:tcPr>
                  <w:tcW w:w="3420" w:type="dxa"/>
                </w:tcPr>
                <w:p w14:paraId="589C3987" w14:textId="317C60F6" w:rsidR="002123E1" w:rsidRPr="00345EB9" w:rsidRDefault="002123E1" w:rsidP="003852E7">
                  <w:pPr>
                    <w:pStyle w:val="Heading2"/>
                    <w:keepNext w:val="0"/>
                    <w:spacing w:line="480" w:lineRule="auto"/>
                    <w:rPr>
                      <w:b w:val="0"/>
                      <w:sz w:val="20"/>
                      <w:szCs w:val="20"/>
                    </w:rPr>
                  </w:pPr>
                  <w:r w:rsidRPr="00345EB9">
                    <w:rPr>
                      <w:b w:val="0"/>
                      <w:sz w:val="20"/>
                      <w:szCs w:val="20"/>
                    </w:rPr>
                    <w:t>Paraesthesia</w:t>
                  </w:r>
                </w:p>
              </w:tc>
            </w:tr>
          </w:tbl>
          <w:p w14:paraId="767E1FC2" w14:textId="77777777" w:rsidR="002123E1" w:rsidRPr="00345EB9" w:rsidRDefault="002123E1" w:rsidP="003852E7">
            <w:pPr>
              <w:pStyle w:val="Heading2"/>
              <w:keepNext w:val="0"/>
              <w:spacing w:line="480" w:lineRule="auto"/>
              <w:jc w:val="both"/>
              <w:rPr>
                <w:i/>
                <w:sz w:val="20"/>
                <w:szCs w:val="20"/>
              </w:rPr>
            </w:pPr>
          </w:p>
        </w:tc>
      </w:tr>
      <w:tr w:rsidR="002123E1" w:rsidRPr="004F1EA4" w14:paraId="1C8C356D" w14:textId="2828CAAD" w:rsidTr="002123E1">
        <w:tc>
          <w:tcPr>
            <w:tcW w:w="5000" w:type="pct"/>
          </w:tcPr>
          <w:tbl>
            <w:tblPr>
              <w:tblStyle w:val="TableGrid"/>
              <w:tblW w:w="6984" w:type="dxa"/>
              <w:tblLayout w:type="fixed"/>
              <w:tblLook w:val="04A0" w:firstRow="1" w:lastRow="0" w:firstColumn="1" w:lastColumn="0" w:noHBand="0" w:noVBand="1"/>
            </w:tblPr>
            <w:tblGrid>
              <w:gridCol w:w="1944"/>
              <w:gridCol w:w="1620"/>
              <w:gridCol w:w="3420"/>
            </w:tblGrid>
            <w:tr w:rsidR="002123E1" w:rsidRPr="00345EB9" w14:paraId="00304DA8" w14:textId="77777777" w:rsidTr="00442E66">
              <w:trPr>
                <w:trHeight w:val="506"/>
              </w:trPr>
              <w:tc>
                <w:tcPr>
                  <w:tcW w:w="1944" w:type="dxa"/>
                </w:tcPr>
                <w:p w14:paraId="455C547C" w14:textId="4DF62281" w:rsidR="002123E1" w:rsidRPr="00345EB9" w:rsidRDefault="002123E1" w:rsidP="003852E7">
                  <w:pPr>
                    <w:pStyle w:val="Heading2"/>
                    <w:keepNext w:val="0"/>
                    <w:spacing w:line="480" w:lineRule="auto"/>
                    <w:rPr>
                      <w:b w:val="0"/>
                      <w:i/>
                      <w:sz w:val="20"/>
                      <w:szCs w:val="20"/>
                    </w:rPr>
                  </w:pPr>
                  <w:r w:rsidRPr="00345EB9">
                    <w:rPr>
                      <w:b w:val="0"/>
                      <w:i/>
                      <w:sz w:val="20"/>
                      <w:szCs w:val="20"/>
                    </w:rPr>
                    <w:t>Vascular disorders</w:t>
                  </w:r>
                </w:p>
              </w:tc>
              <w:tc>
                <w:tcPr>
                  <w:tcW w:w="1620" w:type="dxa"/>
                </w:tcPr>
                <w:p w14:paraId="0221EDB8" w14:textId="2BAA3B3C" w:rsidR="002123E1" w:rsidRPr="00345EB9" w:rsidRDefault="002123E1" w:rsidP="003852E7">
                  <w:pPr>
                    <w:pStyle w:val="Heading2"/>
                    <w:keepNext w:val="0"/>
                    <w:spacing w:line="480" w:lineRule="auto"/>
                    <w:rPr>
                      <w:b w:val="0"/>
                      <w:sz w:val="20"/>
                      <w:szCs w:val="20"/>
                    </w:rPr>
                  </w:pPr>
                  <w:r w:rsidRPr="00345EB9">
                    <w:rPr>
                      <w:b w:val="0"/>
                      <w:sz w:val="20"/>
                      <w:szCs w:val="20"/>
                    </w:rPr>
                    <w:t>Common</w:t>
                  </w:r>
                </w:p>
              </w:tc>
              <w:tc>
                <w:tcPr>
                  <w:tcW w:w="3420" w:type="dxa"/>
                </w:tcPr>
                <w:p w14:paraId="6AA9690F" w14:textId="174E5634" w:rsidR="002123E1" w:rsidRPr="00345EB9" w:rsidRDefault="002123E1" w:rsidP="003852E7">
                  <w:pPr>
                    <w:pStyle w:val="Heading2"/>
                    <w:keepNext w:val="0"/>
                    <w:spacing w:line="480" w:lineRule="auto"/>
                    <w:rPr>
                      <w:b w:val="0"/>
                      <w:sz w:val="20"/>
                      <w:szCs w:val="20"/>
                    </w:rPr>
                  </w:pPr>
                  <w:r w:rsidRPr="00345EB9">
                    <w:rPr>
                      <w:b w:val="0"/>
                      <w:sz w:val="20"/>
                      <w:szCs w:val="20"/>
                    </w:rPr>
                    <w:t>Hypertension</w:t>
                  </w:r>
                  <w:r>
                    <w:rPr>
                      <w:b w:val="0"/>
                      <w:sz w:val="20"/>
                      <w:szCs w:val="20"/>
                    </w:rPr>
                    <w:t xml:space="preserve"> </w:t>
                  </w:r>
                </w:p>
              </w:tc>
            </w:tr>
          </w:tbl>
          <w:p w14:paraId="4DAE89D2" w14:textId="77777777" w:rsidR="002123E1" w:rsidRPr="00345EB9" w:rsidRDefault="002123E1" w:rsidP="003852E7">
            <w:pPr>
              <w:pStyle w:val="Heading2"/>
              <w:keepNext w:val="0"/>
              <w:spacing w:line="480" w:lineRule="auto"/>
              <w:rPr>
                <w:b w:val="0"/>
                <w:sz w:val="20"/>
                <w:szCs w:val="20"/>
              </w:rPr>
            </w:pPr>
          </w:p>
        </w:tc>
      </w:tr>
      <w:tr w:rsidR="002123E1" w:rsidRPr="004F1EA4" w14:paraId="579D2A99" w14:textId="11C19C88" w:rsidTr="002123E1">
        <w:trPr>
          <w:trHeight w:val="1232"/>
        </w:trPr>
        <w:tc>
          <w:tcPr>
            <w:tcW w:w="5000" w:type="pct"/>
          </w:tcPr>
          <w:tbl>
            <w:tblPr>
              <w:tblStyle w:val="TableGrid"/>
              <w:tblW w:w="6984" w:type="dxa"/>
              <w:tblLayout w:type="fixed"/>
              <w:tblLook w:val="04A0" w:firstRow="1" w:lastRow="0" w:firstColumn="1" w:lastColumn="0" w:noHBand="0" w:noVBand="1"/>
            </w:tblPr>
            <w:tblGrid>
              <w:gridCol w:w="1944"/>
              <w:gridCol w:w="1620"/>
              <w:gridCol w:w="3420"/>
            </w:tblGrid>
            <w:tr w:rsidR="002123E1" w:rsidRPr="00345EB9" w14:paraId="29013EA1" w14:textId="77777777" w:rsidTr="00442E66">
              <w:trPr>
                <w:trHeight w:val="551"/>
              </w:trPr>
              <w:tc>
                <w:tcPr>
                  <w:tcW w:w="1944" w:type="dxa"/>
                  <w:vMerge w:val="restart"/>
                </w:tcPr>
                <w:p w14:paraId="57C6292A" w14:textId="4C0A0305" w:rsidR="002123E1" w:rsidRPr="00345EB9" w:rsidRDefault="002123E1" w:rsidP="003852E7">
                  <w:pPr>
                    <w:pStyle w:val="Heading2"/>
                    <w:keepNext w:val="0"/>
                    <w:spacing w:line="480" w:lineRule="auto"/>
                    <w:rPr>
                      <w:b w:val="0"/>
                      <w:i/>
                      <w:sz w:val="20"/>
                      <w:szCs w:val="20"/>
                    </w:rPr>
                  </w:pPr>
                  <w:r w:rsidRPr="00345EB9">
                    <w:rPr>
                      <w:b w:val="0"/>
                      <w:i/>
                      <w:sz w:val="20"/>
                      <w:szCs w:val="20"/>
                    </w:rPr>
                    <w:t>Respiratory, thoracic and mediastinal disorders</w:t>
                  </w:r>
                </w:p>
              </w:tc>
              <w:tc>
                <w:tcPr>
                  <w:tcW w:w="1620" w:type="dxa"/>
                </w:tcPr>
                <w:p w14:paraId="68260AB2" w14:textId="7F3845F3" w:rsidR="002123E1" w:rsidRPr="00345EB9" w:rsidRDefault="002123E1" w:rsidP="003852E7">
                  <w:pPr>
                    <w:pStyle w:val="Heading2"/>
                    <w:keepNext w:val="0"/>
                    <w:spacing w:line="480" w:lineRule="auto"/>
                    <w:rPr>
                      <w:b w:val="0"/>
                      <w:sz w:val="20"/>
                      <w:szCs w:val="20"/>
                    </w:rPr>
                  </w:pPr>
                  <w:r w:rsidRPr="00345EB9">
                    <w:rPr>
                      <w:b w:val="0"/>
                      <w:sz w:val="20"/>
                      <w:szCs w:val="20"/>
                    </w:rPr>
                    <w:t>Common</w:t>
                  </w:r>
                </w:p>
              </w:tc>
              <w:tc>
                <w:tcPr>
                  <w:tcW w:w="3420" w:type="dxa"/>
                </w:tcPr>
                <w:p w14:paraId="167531B9" w14:textId="701AD0CF" w:rsidR="002123E1" w:rsidRPr="00345EB9" w:rsidRDefault="002123E1" w:rsidP="003852E7">
                  <w:pPr>
                    <w:pStyle w:val="Heading2"/>
                    <w:keepNext w:val="0"/>
                    <w:spacing w:line="480" w:lineRule="auto"/>
                    <w:rPr>
                      <w:b w:val="0"/>
                      <w:sz w:val="20"/>
                      <w:szCs w:val="20"/>
                    </w:rPr>
                  </w:pPr>
                  <w:r w:rsidRPr="00345EB9">
                    <w:rPr>
                      <w:b w:val="0"/>
                      <w:sz w:val="20"/>
                      <w:szCs w:val="20"/>
                    </w:rPr>
                    <w:t>Cough</w:t>
                  </w:r>
                </w:p>
              </w:tc>
            </w:tr>
            <w:tr w:rsidR="002123E1" w:rsidRPr="00345EB9" w14:paraId="77AACEC4" w14:textId="77777777" w:rsidTr="00442E66">
              <w:trPr>
                <w:trHeight w:val="665"/>
              </w:trPr>
              <w:tc>
                <w:tcPr>
                  <w:tcW w:w="1944" w:type="dxa"/>
                  <w:vMerge/>
                </w:tcPr>
                <w:p w14:paraId="223D0304" w14:textId="77777777" w:rsidR="002123E1" w:rsidRPr="00345EB9" w:rsidRDefault="002123E1" w:rsidP="003852E7">
                  <w:pPr>
                    <w:pStyle w:val="Heading2"/>
                    <w:keepNext w:val="0"/>
                    <w:spacing w:line="480" w:lineRule="auto"/>
                    <w:rPr>
                      <w:b w:val="0"/>
                      <w:sz w:val="20"/>
                      <w:szCs w:val="20"/>
                    </w:rPr>
                  </w:pPr>
                </w:p>
              </w:tc>
              <w:tc>
                <w:tcPr>
                  <w:tcW w:w="1620" w:type="dxa"/>
                </w:tcPr>
                <w:p w14:paraId="19A97C95" w14:textId="6913D4AD" w:rsidR="002123E1" w:rsidRPr="00345EB9" w:rsidRDefault="002123E1" w:rsidP="003852E7">
                  <w:pPr>
                    <w:pStyle w:val="Heading2"/>
                    <w:keepNext w:val="0"/>
                    <w:spacing w:line="480" w:lineRule="auto"/>
                    <w:rPr>
                      <w:b w:val="0"/>
                      <w:sz w:val="20"/>
                      <w:szCs w:val="20"/>
                    </w:rPr>
                  </w:pPr>
                  <w:r w:rsidRPr="00345EB9">
                    <w:rPr>
                      <w:b w:val="0"/>
                      <w:sz w:val="20"/>
                      <w:szCs w:val="20"/>
                    </w:rPr>
                    <w:t>Uncommon</w:t>
                  </w:r>
                </w:p>
              </w:tc>
              <w:tc>
                <w:tcPr>
                  <w:tcW w:w="3420" w:type="dxa"/>
                </w:tcPr>
                <w:p w14:paraId="4D3C041E" w14:textId="0EFBE93D" w:rsidR="002123E1" w:rsidRPr="00345EB9" w:rsidRDefault="002123E1" w:rsidP="003852E7">
                  <w:pPr>
                    <w:pStyle w:val="Heading2"/>
                    <w:spacing w:line="480" w:lineRule="auto"/>
                    <w:rPr>
                      <w:b w:val="0"/>
                      <w:sz w:val="20"/>
                      <w:szCs w:val="20"/>
                    </w:rPr>
                  </w:pPr>
                  <w:r w:rsidRPr="00345EB9">
                    <w:rPr>
                      <w:b w:val="0"/>
                      <w:sz w:val="20"/>
                      <w:szCs w:val="20"/>
                    </w:rPr>
                    <w:t>Dyspnoea</w:t>
                  </w:r>
                </w:p>
                <w:p w14:paraId="161D2896" w14:textId="7E25AFFE" w:rsidR="002123E1" w:rsidRPr="00345EB9" w:rsidRDefault="002123E1" w:rsidP="003852E7">
                  <w:pPr>
                    <w:pStyle w:val="Heading2"/>
                    <w:keepNext w:val="0"/>
                    <w:spacing w:line="480" w:lineRule="auto"/>
                    <w:rPr>
                      <w:b w:val="0"/>
                      <w:sz w:val="20"/>
                      <w:szCs w:val="20"/>
                    </w:rPr>
                  </w:pPr>
                  <w:r w:rsidRPr="00345EB9">
                    <w:rPr>
                      <w:b w:val="0"/>
                      <w:sz w:val="20"/>
                      <w:szCs w:val="20"/>
                    </w:rPr>
                    <w:t>sinus congestion</w:t>
                  </w:r>
                </w:p>
              </w:tc>
            </w:tr>
          </w:tbl>
          <w:p w14:paraId="5DBA92D3" w14:textId="77777777" w:rsidR="002123E1" w:rsidRPr="00345EB9" w:rsidRDefault="002123E1" w:rsidP="003852E7">
            <w:pPr>
              <w:pStyle w:val="Heading2"/>
              <w:keepNext w:val="0"/>
              <w:spacing w:line="480" w:lineRule="auto"/>
              <w:rPr>
                <w:b w:val="0"/>
                <w:sz w:val="20"/>
                <w:szCs w:val="20"/>
              </w:rPr>
            </w:pPr>
          </w:p>
        </w:tc>
      </w:tr>
      <w:tr w:rsidR="002123E1" w:rsidRPr="004F1EA4" w14:paraId="3C8138BA" w14:textId="244EF04B" w:rsidTr="002123E1">
        <w:tc>
          <w:tcPr>
            <w:tcW w:w="5000" w:type="pct"/>
          </w:tcPr>
          <w:tbl>
            <w:tblPr>
              <w:tblStyle w:val="TableGrid"/>
              <w:tblW w:w="6984" w:type="dxa"/>
              <w:tblLayout w:type="fixed"/>
              <w:tblLook w:val="04A0" w:firstRow="1" w:lastRow="0" w:firstColumn="1" w:lastColumn="0" w:noHBand="0" w:noVBand="1"/>
            </w:tblPr>
            <w:tblGrid>
              <w:gridCol w:w="1944"/>
              <w:gridCol w:w="1620"/>
              <w:gridCol w:w="3420"/>
            </w:tblGrid>
            <w:tr w:rsidR="002123E1" w:rsidRPr="00345EB9" w14:paraId="134A4BD2" w14:textId="77777777" w:rsidTr="00442E66">
              <w:trPr>
                <w:trHeight w:val="2676"/>
              </w:trPr>
              <w:tc>
                <w:tcPr>
                  <w:tcW w:w="1944" w:type="dxa"/>
                </w:tcPr>
                <w:p w14:paraId="44C1B417" w14:textId="7E773E58" w:rsidR="002123E1" w:rsidRPr="00345EB9" w:rsidRDefault="002123E1" w:rsidP="003852E7">
                  <w:pPr>
                    <w:pStyle w:val="Heading2"/>
                    <w:keepNext w:val="0"/>
                    <w:spacing w:line="480" w:lineRule="auto"/>
                    <w:rPr>
                      <w:b w:val="0"/>
                      <w:i/>
                      <w:sz w:val="20"/>
                      <w:szCs w:val="20"/>
                    </w:rPr>
                  </w:pPr>
                  <w:r w:rsidRPr="00345EB9">
                    <w:rPr>
                      <w:b w:val="0"/>
                      <w:i/>
                      <w:sz w:val="20"/>
                      <w:szCs w:val="20"/>
                    </w:rPr>
                    <w:t>Gastrointestinal disorders</w:t>
                  </w:r>
                </w:p>
              </w:tc>
              <w:tc>
                <w:tcPr>
                  <w:tcW w:w="1620" w:type="dxa"/>
                </w:tcPr>
                <w:p w14:paraId="5626AC4C" w14:textId="4EB92B94" w:rsidR="002123E1" w:rsidRPr="00345EB9" w:rsidRDefault="002123E1" w:rsidP="003852E7">
                  <w:pPr>
                    <w:pStyle w:val="Heading2"/>
                    <w:keepNext w:val="0"/>
                    <w:spacing w:line="480" w:lineRule="auto"/>
                    <w:rPr>
                      <w:b w:val="0"/>
                      <w:sz w:val="20"/>
                      <w:szCs w:val="20"/>
                    </w:rPr>
                  </w:pPr>
                  <w:r w:rsidRPr="00345EB9">
                    <w:rPr>
                      <w:b w:val="0"/>
                      <w:sz w:val="20"/>
                      <w:szCs w:val="20"/>
                    </w:rPr>
                    <w:t>Common</w:t>
                  </w:r>
                </w:p>
              </w:tc>
              <w:tc>
                <w:tcPr>
                  <w:tcW w:w="3420" w:type="dxa"/>
                </w:tcPr>
                <w:p w14:paraId="6979C15B" w14:textId="490925A4" w:rsidR="002123E1" w:rsidRPr="00345EB9" w:rsidRDefault="002123E1" w:rsidP="003852E7">
                  <w:pPr>
                    <w:pStyle w:val="Heading2"/>
                    <w:spacing w:line="480" w:lineRule="auto"/>
                    <w:rPr>
                      <w:b w:val="0"/>
                      <w:sz w:val="20"/>
                      <w:szCs w:val="20"/>
                    </w:rPr>
                  </w:pPr>
                  <w:r w:rsidRPr="00345EB9">
                    <w:rPr>
                      <w:b w:val="0"/>
                      <w:sz w:val="20"/>
                      <w:szCs w:val="20"/>
                    </w:rPr>
                    <w:t>Abdominal pain</w:t>
                  </w:r>
                </w:p>
                <w:p w14:paraId="7EFBBDDC" w14:textId="39B2FCEC" w:rsidR="002123E1" w:rsidRPr="00345EB9" w:rsidRDefault="002123E1" w:rsidP="003852E7">
                  <w:pPr>
                    <w:pStyle w:val="Heading2"/>
                    <w:spacing w:line="480" w:lineRule="auto"/>
                    <w:rPr>
                      <w:b w:val="0"/>
                      <w:sz w:val="20"/>
                      <w:szCs w:val="20"/>
                    </w:rPr>
                  </w:pPr>
                  <w:r w:rsidRPr="00345EB9">
                    <w:rPr>
                      <w:b w:val="0"/>
                      <w:sz w:val="20"/>
                      <w:szCs w:val="20"/>
                    </w:rPr>
                    <w:t>vomiting</w:t>
                  </w:r>
                </w:p>
                <w:p w14:paraId="1AAFA027" w14:textId="194DB11D" w:rsidR="002123E1" w:rsidRPr="00345EB9" w:rsidRDefault="002123E1" w:rsidP="003852E7">
                  <w:pPr>
                    <w:pStyle w:val="Heading2"/>
                    <w:spacing w:line="480" w:lineRule="auto"/>
                    <w:rPr>
                      <w:b w:val="0"/>
                      <w:sz w:val="20"/>
                      <w:szCs w:val="20"/>
                    </w:rPr>
                  </w:pPr>
                  <w:r w:rsidRPr="00345EB9">
                    <w:rPr>
                      <w:b w:val="0"/>
                      <w:sz w:val="20"/>
                      <w:szCs w:val="20"/>
                    </w:rPr>
                    <w:t>diarrhoea</w:t>
                  </w:r>
                </w:p>
                <w:p w14:paraId="5E9FBC20" w14:textId="3FD363D9" w:rsidR="002123E1" w:rsidRPr="00345EB9" w:rsidRDefault="002123E1" w:rsidP="003852E7">
                  <w:pPr>
                    <w:pStyle w:val="Heading2"/>
                    <w:spacing w:line="480" w:lineRule="auto"/>
                    <w:rPr>
                      <w:b w:val="0"/>
                      <w:sz w:val="20"/>
                      <w:szCs w:val="20"/>
                    </w:rPr>
                  </w:pPr>
                  <w:r w:rsidRPr="00345EB9">
                    <w:rPr>
                      <w:b w:val="0"/>
                      <w:sz w:val="20"/>
                      <w:szCs w:val="20"/>
                    </w:rPr>
                    <w:t>nausea</w:t>
                  </w:r>
                </w:p>
                <w:p w14:paraId="31010E2A" w14:textId="42C1E0D8" w:rsidR="002123E1" w:rsidRPr="00345EB9" w:rsidRDefault="002123E1" w:rsidP="003852E7">
                  <w:pPr>
                    <w:pStyle w:val="Heading2"/>
                    <w:spacing w:line="480" w:lineRule="auto"/>
                    <w:rPr>
                      <w:b w:val="0"/>
                      <w:sz w:val="20"/>
                      <w:szCs w:val="20"/>
                    </w:rPr>
                  </w:pPr>
                  <w:r w:rsidRPr="00345EB9">
                    <w:rPr>
                      <w:b w:val="0"/>
                      <w:sz w:val="20"/>
                      <w:szCs w:val="20"/>
                    </w:rPr>
                    <w:t>gastritis</w:t>
                  </w:r>
                </w:p>
                <w:p w14:paraId="24ACC690" w14:textId="4FE304C4" w:rsidR="002123E1" w:rsidRPr="00345EB9" w:rsidRDefault="002123E1" w:rsidP="003852E7">
                  <w:pPr>
                    <w:pStyle w:val="Heading2"/>
                    <w:keepNext w:val="0"/>
                    <w:spacing w:line="480" w:lineRule="auto"/>
                    <w:rPr>
                      <w:b w:val="0"/>
                      <w:i/>
                      <w:sz w:val="20"/>
                      <w:szCs w:val="20"/>
                    </w:rPr>
                  </w:pPr>
                  <w:r w:rsidRPr="00345EB9">
                    <w:rPr>
                      <w:b w:val="0"/>
                      <w:sz w:val="20"/>
                      <w:szCs w:val="20"/>
                    </w:rPr>
                    <w:t>dyspepsia</w:t>
                  </w:r>
                </w:p>
              </w:tc>
            </w:tr>
          </w:tbl>
          <w:p w14:paraId="76763450" w14:textId="77777777" w:rsidR="002123E1" w:rsidRPr="00345EB9" w:rsidRDefault="002123E1" w:rsidP="003852E7">
            <w:pPr>
              <w:pStyle w:val="Heading2"/>
              <w:keepNext w:val="0"/>
              <w:spacing w:line="480" w:lineRule="auto"/>
              <w:rPr>
                <w:b w:val="0"/>
                <w:i/>
                <w:sz w:val="20"/>
                <w:szCs w:val="20"/>
              </w:rPr>
            </w:pPr>
          </w:p>
        </w:tc>
      </w:tr>
      <w:tr w:rsidR="002123E1" w:rsidRPr="004F1EA4" w14:paraId="0A548BCF" w14:textId="5C0C4F34" w:rsidTr="002123E1">
        <w:tc>
          <w:tcPr>
            <w:tcW w:w="5000" w:type="pct"/>
          </w:tcPr>
          <w:tbl>
            <w:tblPr>
              <w:tblStyle w:val="TableGrid"/>
              <w:tblW w:w="6984" w:type="dxa"/>
              <w:tblLayout w:type="fixed"/>
              <w:tblLook w:val="04A0" w:firstRow="1" w:lastRow="0" w:firstColumn="1" w:lastColumn="0" w:noHBand="0" w:noVBand="1"/>
            </w:tblPr>
            <w:tblGrid>
              <w:gridCol w:w="1944"/>
              <w:gridCol w:w="1620"/>
              <w:gridCol w:w="3420"/>
            </w:tblGrid>
            <w:tr w:rsidR="002123E1" w:rsidRPr="00345EB9" w14:paraId="06728126" w14:textId="77777777" w:rsidTr="00442E66">
              <w:trPr>
                <w:trHeight w:val="504"/>
              </w:trPr>
              <w:tc>
                <w:tcPr>
                  <w:tcW w:w="1944" w:type="dxa"/>
                </w:tcPr>
                <w:p w14:paraId="2CA5E4E6" w14:textId="28349D7F" w:rsidR="002123E1" w:rsidRPr="00345EB9" w:rsidRDefault="002123E1" w:rsidP="003852E7">
                  <w:pPr>
                    <w:pStyle w:val="Heading2"/>
                    <w:keepNext w:val="0"/>
                    <w:spacing w:line="480" w:lineRule="auto"/>
                    <w:rPr>
                      <w:b w:val="0"/>
                      <w:i/>
                      <w:sz w:val="20"/>
                      <w:szCs w:val="20"/>
                    </w:rPr>
                  </w:pPr>
                  <w:r w:rsidRPr="00345EB9">
                    <w:rPr>
                      <w:b w:val="0"/>
                      <w:i/>
                      <w:sz w:val="20"/>
                      <w:szCs w:val="20"/>
                    </w:rPr>
                    <w:t>Hepato-biliary disorders</w:t>
                  </w:r>
                </w:p>
              </w:tc>
              <w:tc>
                <w:tcPr>
                  <w:tcW w:w="1620" w:type="dxa"/>
                </w:tcPr>
                <w:p w14:paraId="734B28D6" w14:textId="2C303533" w:rsidR="002123E1" w:rsidRPr="00345EB9" w:rsidRDefault="002123E1" w:rsidP="003852E7">
                  <w:pPr>
                    <w:pStyle w:val="Heading2"/>
                    <w:keepNext w:val="0"/>
                    <w:spacing w:line="480" w:lineRule="auto"/>
                    <w:rPr>
                      <w:b w:val="0"/>
                      <w:sz w:val="20"/>
                      <w:szCs w:val="20"/>
                    </w:rPr>
                  </w:pPr>
                  <w:r w:rsidRPr="00345EB9">
                    <w:rPr>
                      <w:b w:val="0"/>
                      <w:sz w:val="20"/>
                      <w:szCs w:val="20"/>
                    </w:rPr>
                    <w:t>Uncommon</w:t>
                  </w:r>
                </w:p>
              </w:tc>
              <w:tc>
                <w:tcPr>
                  <w:tcW w:w="3420" w:type="dxa"/>
                </w:tcPr>
                <w:p w14:paraId="256A9F6B" w14:textId="1000C769" w:rsidR="002123E1" w:rsidRPr="00345EB9" w:rsidRDefault="002123E1" w:rsidP="003852E7">
                  <w:pPr>
                    <w:pStyle w:val="Heading2"/>
                    <w:keepNext w:val="0"/>
                    <w:spacing w:line="480" w:lineRule="auto"/>
                    <w:rPr>
                      <w:b w:val="0"/>
                      <w:sz w:val="20"/>
                      <w:szCs w:val="20"/>
                    </w:rPr>
                  </w:pPr>
                  <w:r w:rsidRPr="00345EB9">
                    <w:rPr>
                      <w:b w:val="0"/>
                      <w:sz w:val="20"/>
                      <w:szCs w:val="20"/>
                    </w:rPr>
                    <w:t>Hepatic steatosis</w:t>
                  </w:r>
                </w:p>
              </w:tc>
            </w:tr>
          </w:tbl>
          <w:p w14:paraId="70D93499" w14:textId="77777777" w:rsidR="002123E1" w:rsidRPr="00345EB9" w:rsidRDefault="002123E1" w:rsidP="003852E7">
            <w:pPr>
              <w:pStyle w:val="Heading2"/>
              <w:keepNext w:val="0"/>
              <w:spacing w:line="480" w:lineRule="auto"/>
              <w:rPr>
                <w:b w:val="0"/>
                <w:i/>
                <w:sz w:val="20"/>
                <w:szCs w:val="20"/>
              </w:rPr>
            </w:pPr>
          </w:p>
        </w:tc>
      </w:tr>
      <w:tr w:rsidR="002123E1" w:rsidRPr="004F1EA4" w14:paraId="1D307EA6" w14:textId="4EFD729B" w:rsidTr="002123E1">
        <w:tc>
          <w:tcPr>
            <w:tcW w:w="5000" w:type="pct"/>
          </w:tcPr>
          <w:tbl>
            <w:tblPr>
              <w:tblStyle w:val="TableGrid"/>
              <w:tblW w:w="6984" w:type="dxa"/>
              <w:tblLayout w:type="fixed"/>
              <w:tblLook w:val="04A0" w:firstRow="1" w:lastRow="0" w:firstColumn="1" w:lastColumn="0" w:noHBand="0" w:noVBand="1"/>
            </w:tblPr>
            <w:tblGrid>
              <w:gridCol w:w="1944"/>
              <w:gridCol w:w="1620"/>
              <w:gridCol w:w="3420"/>
            </w:tblGrid>
            <w:tr w:rsidR="002123E1" w:rsidRPr="00345EB9" w14:paraId="1F45A6D1" w14:textId="77777777" w:rsidTr="00442E66">
              <w:trPr>
                <w:trHeight w:val="64"/>
              </w:trPr>
              <w:tc>
                <w:tcPr>
                  <w:tcW w:w="1944" w:type="dxa"/>
                  <w:vMerge w:val="restart"/>
                </w:tcPr>
                <w:p w14:paraId="1C0A9034" w14:textId="5204273A" w:rsidR="002123E1" w:rsidRPr="00345EB9" w:rsidRDefault="002123E1" w:rsidP="003852E7">
                  <w:pPr>
                    <w:pStyle w:val="Heading2"/>
                    <w:keepNext w:val="0"/>
                    <w:spacing w:line="480" w:lineRule="auto"/>
                    <w:rPr>
                      <w:b w:val="0"/>
                      <w:i/>
                      <w:sz w:val="20"/>
                      <w:szCs w:val="20"/>
                    </w:rPr>
                  </w:pPr>
                  <w:r w:rsidRPr="00345EB9">
                    <w:rPr>
                      <w:b w:val="0"/>
                      <w:i/>
                      <w:sz w:val="20"/>
                      <w:szCs w:val="20"/>
                    </w:rPr>
                    <w:t>Skin and subcutaneous tissue disorders</w:t>
                  </w:r>
                </w:p>
              </w:tc>
              <w:tc>
                <w:tcPr>
                  <w:tcW w:w="1620" w:type="dxa"/>
                </w:tcPr>
                <w:p w14:paraId="5C4AE6F1" w14:textId="436A09F2" w:rsidR="002123E1" w:rsidRPr="00345EB9" w:rsidRDefault="002123E1" w:rsidP="003852E7">
                  <w:pPr>
                    <w:pStyle w:val="Heading2"/>
                    <w:keepNext w:val="0"/>
                    <w:spacing w:line="480" w:lineRule="auto"/>
                    <w:rPr>
                      <w:b w:val="0"/>
                      <w:sz w:val="20"/>
                      <w:szCs w:val="20"/>
                    </w:rPr>
                  </w:pPr>
                  <w:r w:rsidRPr="00345EB9">
                    <w:rPr>
                      <w:b w:val="0"/>
                      <w:sz w:val="20"/>
                      <w:szCs w:val="20"/>
                    </w:rPr>
                    <w:t>Common</w:t>
                  </w:r>
                </w:p>
              </w:tc>
              <w:tc>
                <w:tcPr>
                  <w:tcW w:w="3420" w:type="dxa"/>
                </w:tcPr>
                <w:p w14:paraId="408A9367" w14:textId="35FF5DA6" w:rsidR="002123E1" w:rsidRPr="00345EB9" w:rsidRDefault="002123E1" w:rsidP="003852E7">
                  <w:pPr>
                    <w:pStyle w:val="Heading2"/>
                    <w:spacing w:line="480" w:lineRule="auto"/>
                    <w:rPr>
                      <w:b w:val="0"/>
                      <w:sz w:val="20"/>
                      <w:szCs w:val="20"/>
                    </w:rPr>
                  </w:pPr>
                  <w:r w:rsidRPr="00345EB9">
                    <w:rPr>
                      <w:b w:val="0"/>
                      <w:sz w:val="20"/>
                      <w:szCs w:val="20"/>
                    </w:rPr>
                    <w:t>Rash</w:t>
                  </w:r>
                </w:p>
              </w:tc>
            </w:tr>
            <w:tr w:rsidR="002123E1" w:rsidRPr="00345EB9" w14:paraId="5B4E36AB" w14:textId="77777777" w:rsidTr="00442E66">
              <w:trPr>
                <w:trHeight w:val="957"/>
              </w:trPr>
              <w:tc>
                <w:tcPr>
                  <w:tcW w:w="1944" w:type="dxa"/>
                  <w:vMerge/>
                </w:tcPr>
                <w:p w14:paraId="5D10233D" w14:textId="77777777" w:rsidR="002123E1" w:rsidRPr="00345EB9" w:rsidRDefault="002123E1" w:rsidP="003852E7">
                  <w:pPr>
                    <w:pStyle w:val="Heading2"/>
                    <w:keepNext w:val="0"/>
                    <w:spacing w:line="480" w:lineRule="auto"/>
                    <w:rPr>
                      <w:b w:val="0"/>
                      <w:i/>
                      <w:sz w:val="20"/>
                      <w:szCs w:val="20"/>
                    </w:rPr>
                  </w:pPr>
                </w:p>
              </w:tc>
              <w:tc>
                <w:tcPr>
                  <w:tcW w:w="1620" w:type="dxa"/>
                </w:tcPr>
                <w:p w14:paraId="4F24B5D3" w14:textId="1E4EC135" w:rsidR="002123E1" w:rsidRPr="00345EB9" w:rsidRDefault="002123E1" w:rsidP="003852E7">
                  <w:pPr>
                    <w:pStyle w:val="Heading2"/>
                    <w:keepNext w:val="0"/>
                    <w:spacing w:line="480" w:lineRule="auto"/>
                    <w:rPr>
                      <w:b w:val="0"/>
                      <w:sz w:val="20"/>
                      <w:szCs w:val="20"/>
                    </w:rPr>
                  </w:pPr>
                  <w:r w:rsidRPr="00345EB9">
                    <w:rPr>
                      <w:b w:val="0"/>
                      <w:sz w:val="20"/>
                      <w:szCs w:val="20"/>
                    </w:rPr>
                    <w:t>Uncommon</w:t>
                  </w:r>
                </w:p>
              </w:tc>
              <w:tc>
                <w:tcPr>
                  <w:tcW w:w="3420" w:type="dxa"/>
                </w:tcPr>
                <w:p w14:paraId="4785557C" w14:textId="77777777" w:rsidR="002123E1" w:rsidRPr="00345EB9" w:rsidRDefault="002123E1" w:rsidP="003852E7">
                  <w:pPr>
                    <w:pStyle w:val="Heading2"/>
                    <w:spacing w:line="480" w:lineRule="auto"/>
                    <w:rPr>
                      <w:b w:val="0"/>
                      <w:sz w:val="20"/>
                      <w:szCs w:val="20"/>
                    </w:rPr>
                  </w:pPr>
                  <w:r w:rsidRPr="00345EB9">
                    <w:rPr>
                      <w:b w:val="0"/>
                      <w:sz w:val="20"/>
                      <w:szCs w:val="20"/>
                    </w:rPr>
                    <w:t>Erythema</w:t>
                  </w:r>
                </w:p>
                <w:p w14:paraId="4E603140" w14:textId="612D4817" w:rsidR="002123E1" w:rsidRPr="00345EB9" w:rsidRDefault="002123E1" w:rsidP="003852E7">
                  <w:pPr>
                    <w:pStyle w:val="Heading2"/>
                    <w:spacing w:line="480" w:lineRule="auto"/>
                    <w:rPr>
                      <w:b w:val="0"/>
                      <w:sz w:val="20"/>
                      <w:szCs w:val="20"/>
                    </w:rPr>
                  </w:pPr>
                  <w:r w:rsidRPr="00345EB9">
                    <w:rPr>
                      <w:b w:val="0"/>
                      <w:sz w:val="20"/>
                      <w:szCs w:val="20"/>
                    </w:rPr>
                    <w:t>pruritus</w:t>
                  </w:r>
                </w:p>
              </w:tc>
            </w:tr>
          </w:tbl>
          <w:p w14:paraId="246643D2" w14:textId="77777777" w:rsidR="002123E1" w:rsidRPr="00345EB9" w:rsidRDefault="002123E1" w:rsidP="003852E7">
            <w:pPr>
              <w:pStyle w:val="Heading2"/>
              <w:keepNext w:val="0"/>
              <w:spacing w:line="480" w:lineRule="auto"/>
              <w:jc w:val="both"/>
              <w:rPr>
                <w:i/>
                <w:sz w:val="20"/>
                <w:szCs w:val="20"/>
              </w:rPr>
            </w:pPr>
          </w:p>
        </w:tc>
      </w:tr>
      <w:tr w:rsidR="002123E1" w:rsidRPr="004F1EA4" w14:paraId="456E0393" w14:textId="023D0A42" w:rsidTr="002123E1">
        <w:tc>
          <w:tcPr>
            <w:tcW w:w="5000" w:type="pct"/>
          </w:tcPr>
          <w:tbl>
            <w:tblPr>
              <w:tblStyle w:val="TableGrid"/>
              <w:tblW w:w="6984" w:type="dxa"/>
              <w:tblLayout w:type="fixed"/>
              <w:tblLook w:val="04A0" w:firstRow="1" w:lastRow="0" w:firstColumn="1" w:lastColumn="0" w:noHBand="0" w:noVBand="1"/>
            </w:tblPr>
            <w:tblGrid>
              <w:gridCol w:w="1944"/>
              <w:gridCol w:w="1620"/>
              <w:gridCol w:w="3420"/>
            </w:tblGrid>
            <w:tr w:rsidR="002123E1" w:rsidRPr="00345EB9" w14:paraId="7D886E40" w14:textId="77777777" w:rsidTr="00442E66">
              <w:trPr>
                <w:trHeight w:val="447"/>
              </w:trPr>
              <w:tc>
                <w:tcPr>
                  <w:tcW w:w="1944" w:type="dxa"/>
                  <w:vMerge w:val="restart"/>
                </w:tcPr>
                <w:p w14:paraId="74A67EDC" w14:textId="4525C459" w:rsidR="002123E1" w:rsidRPr="00345EB9" w:rsidRDefault="002123E1" w:rsidP="003852E7">
                  <w:pPr>
                    <w:pStyle w:val="Heading2"/>
                    <w:keepNext w:val="0"/>
                    <w:spacing w:line="480" w:lineRule="auto"/>
                    <w:rPr>
                      <w:b w:val="0"/>
                      <w:i/>
                      <w:sz w:val="20"/>
                      <w:szCs w:val="20"/>
                    </w:rPr>
                  </w:pPr>
                  <w:r w:rsidRPr="00345EB9">
                    <w:rPr>
                      <w:b w:val="0"/>
                      <w:i/>
                      <w:sz w:val="20"/>
                      <w:szCs w:val="20"/>
                    </w:rPr>
                    <w:lastRenderedPageBreak/>
                    <w:t>Musculoskeletal and connective tissue disorders</w:t>
                  </w:r>
                </w:p>
              </w:tc>
              <w:tc>
                <w:tcPr>
                  <w:tcW w:w="1620" w:type="dxa"/>
                </w:tcPr>
                <w:p w14:paraId="325DA806" w14:textId="40CDAEF4" w:rsidR="002123E1" w:rsidRPr="00345EB9" w:rsidRDefault="002123E1" w:rsidP="003852E7">
                  <w:pPr>
                    <w:pStyle w:val="Heading2"/>
                    <w:keepNext w:val="0"/>
                    <w:spacing w:line="480" w:lineRule="auto"/>
                    <w:rPr>
                      <w:b w:val="0"/>
                      <w:sz w:val="20"/>
                      <w:szCs w:val="20"/>
                    </w:rPr>
                  </w:pPr>
                  <w:r w:rsidRPr="00345EB9">
                    <w:rPr>
                      <w:b w:val="0"/>
                      <w:sz w:val="20"/>
                      <w:szCs w:val="20"/>
                    </w:rPr>
                    <w:t>Common</w:t>
                  </w:r>
                </w:p>
              </w:tc>
              <w:tc>
                <w:tcPr>
                  <w:tcW w:w="3420" w:type="dxa"/>
                </w:tcPr>
                <w:p w14:paraId="4E03A973" w14:textId="0727F571" w:rsidR="002123E1" w:rsidRPr="00345EB9" w:rsidRDefault="002123E1" w:rsidP="003852E7">
                  <w:pPr>
                    <w:pStyle w:val="Heading2"/>
                    <w:keepNext w:val="0"/>
                    <w:spacing w:line="480" w:lineRule="auto"/>
                    <w:rPr>
                      <w:b w:val="0"/>
                      <w:sz w:val="20"/>
                      <w:szCs w:val="20"/>
                    </w:rPr>
                  </w:pPr>
                  <w:r w:rsidRPr="00345EB9">
                    <w:rPr>
                      <w:b w:val="0"/>
                      <w:sz w:val="20"/>
                      <w:szCs w:val="20"/>
                    </w:rPr>
                    <w:t>Arthralgia</w:t>
                  </w:r>
                </w:p>
              </w:tc>
            </w:tr>
            <w:tr w:rsidR="002123E1" w:rsidRPr="00345EB9" w14:paraId="2FED2088" w14:textId="77777777" w:rsidTr="00442E66">
              <w:trPr>
                <w:trHeight w:val="969"/>
              </w:trPr>
              <w:tc>
                <w:tcPr>
                  <w:tcW w:w="1944" w:type="dxa"/>
                  <w:vMerge/>
                </w:tcPr>
                <w:p w14:paraId="09B4E78B" w14:textId="77777777" w:rsidR="002123E1" w:rsidRPr="00345EB9" w:rsidRDefault="002123E1" w:rsidP="003852E7">
                  <w:pPr>
                    <w:pStyle w:val="Heading2"/>
                    <w:keepNext w:val="0"/>
                    <w:spacing w:line="480" w:lineRule="auto"/>
                    <w:rPr>
                      <w:b w:val="0"/>
                      <w:i/>
                      <w:sz w:val="20"/>
                      <w:szCs w:val="20"/>
                    </w:rPr>
                  </w:pPr>
                </w:p>
              </w:tc>
              <w:tc>
                <w:tcPr>
                  <w:tcW w:w="1620" w:type="dxa"/>
                </w:tcPr>
                <w:p w14:paraId="7C2377C4" w14:textId="79D49E78" w:rsidR="002123E1" w:rsidRPr="00345EB9" w:rsidRDefault="002123E1" w:rsidP="003852E7">
                  <w:pPr>
                    <w:pStyle w:val="Heading2"/>
                    <w:keepNext w:val="0"/>
                    <w:spacing w:line="480" w:lineRule="auto"/>
                    <w:rPr>
                      <w:b w:val="0"/>
                      <w:sz w:val="20"/>
                      <w:szCs w:val="20"/>
                    </w:rPr>
                  </w:pPr>
                  <w:r w:rsidRPr="00345EB9">
                    <w:rPr>
                      <w:b w:val="0"/>
                      <w:sz w:val="20"/>
                      <w:szCs w:val="20"/>
                    </w:rPr>
                    <w:t>Uncommon</w:t>
                  </w:r>
                </w:p>
              </w:tc>
              <w:tc>
                <w:tcPr>
                  <w:tcW w:w="3420" w:type="dxa"/>
                </w:tcPr>
                <w:p w14:paraId="73A9304D" w14:textId="72F8B7A6" w:rsidR="002123E1" w:rsidRPr="00345EB9" w:rsidRDefault="002123E1" w:rsidP="003852E7">
                  <w:pPr>
                    <w:pStyle w:val="Heading2"/>
                    <w:spacing w:line="480" w:lineRule="auto"/>
                    <w:rPr>
                      <w:b w:val="0"/>
                      <w:sz w:val="20"/>
                      <w:szCs w:val="20"/>
                    </w:rPr>
                  </w:pPr>
                  <w:r w:rsidRPr="00345EB9">
                    <w:rPr>
                      <w:b w:val="0"/>
                      <w:sz w:val="20"/>
                      <w:szCs w:val="20"/>
                    </w:rPr>
                    <w:t>Musculoskeletal pain</w:t>
                  </w:r>
                </w:p>
                <w:p w14:paraId="3CAEE92B" w14:textId="00DC4623" w:rsidR="002123E1" w:rsidRPr="00345EB9" w:rsidRDefault="002123E1" w:rsidP="003852E7">
                  <w:pPr>
                    <w:pStyle w:val="Heading2"/>
                    <w:spacing w:line="480" w:lineRule="auto"/>
                    <w:rPr>
                      <w:b w:val="0"/>
                      <w:sz w:val="20"/>
                      <w:szCs w:val="20"/>
                    </w:rPr>
                  </w:pPr>
                  <w:r w:rsidRPr="00345EB9">
                    <w:rPr>
                      <w:b w:val="0"/>
                      <w:sz w:val="20"/>
                      <w:szCs w:val="20"/>
                    </w:rPr>
                    <w:t>joint swelling</w:t>
                  </w:r>
                </w:p>
                <w:p w14:paraId="77B683D9" w14:textId="15155D43" w:rsidR="002123E1" w:rsidRPr="00345EB9" w:rsidRDefault="002123E1" w:rsidP="003852E7">
                  <w:pPr>
                    <w:pStyle w:val="Heading2"/>
                    <w:keepNext w:val="0"/>
                    <w:spacing w:line="480" w:lineRule="auto"/>
                    <w:rPr>
                      <w:b w:val="0"/>
                      <w:sz w:val="20"/>
                      <w:szCs w:val="20"/>
                    </w:rPr>
                  </w:pPr>
                  <w:r w:rsidRPr="00345EB9">
                    <w:rPr>
                      <w:b w:val="0"/>
                      <w:sz w:val="20"/>
                      <w:szCs w:val="20"/>
                    </w:rPr>
                    <w:t>tendonitis</w:t>
                  </w:r>
                </w:p>
              </w:tc>
            </w:tr>
          </w:tbl>
          <w:p w14:paraId="1E6AA9D3" w14:textId="77777777" w:rsidR="002123E1" w:rsidRPr="00345EB9" w:rsidRDefault="002123E1" w:rsidP="003852E7">
            <w:pPr>
              <w:pStyle w:val="Heading2"/>
              <w:keepNext w:val="0"/>
              <w:spacing w:line="480" w:lineRule="auto"/>
              <w:rPr>
                <w:i/>
                <w:sz w:val="20"/>
                <w:szCs w:val="20"/>
              </w:rPr>
            </w:pPr>
          </w:p>
        </w:tc>
      </w:tr>
      <w:tr w:rsidR="002123E1" w:rsidRPr="004F1EA4" w14:paraId="4FC4AA39" w14:textId="12EF8122" w:rsidTr="002123E1">
        <w:trPr>
          <w:trHeight w:val="1340"/>
        </w:trPr>
        <w:tc>
          <w:tcPr>
            <w:tcW w:w="5000" w:type="pct"/>
          </w:tcPr>
          <w:tbl>
            <w:tblPr>
              <w:tblStyle w:val="TableGrid"/>
              <w:tblW w:w="6984" w:type="dxa"/>
              <w:tblLayout w:type="fixed"/>
              <w:tblLook w:val="04A0" w:firstRow="1" w:lastRow="0" w:firstColumn="1" w:lastColumn="0" w:noHBand="0" w:noVBand="1"/>
            </w:tblPr>
            <w:tblGrid>
              <w:gridCol w:w="1944"/>
              <w:gridCol w:w="1620"/>
              <w:gridCol w:w="3420"/>
            </w:tblGrid>
            <w:tr w:rsidR="002123E1" w:rsidRPr="00345EB9" w14:paraId="763BC52A" w14:textId="77777777" w:rsidTr="00442E66">
              <w:trPr>
                <w:trHeight w:val="1311"/>
              </w:trPr>
              <w:tc>
                <w:tcPr>
                  <w:tcW w:w="1944" w:type="dxa"/>
                </w:tcPr>
                <w:p w14:paraId="63A11914" w14:textId="41F35D7C" w:rsidR="002123E1" w:rsidRPr="00345EB9" w:rsidRDefault="002123E1" w:rsidP="003852E7">
                  <w:pPr>
                    <w:pStyle w:val="Heading2"/>
                    <w:keepNext w:val="0"/>
                    <w:spacing w:line="480" w:lineRule="auto"/>
                    <w:rPr>
                      <w:b w:val="0"/>
                      <w:i/>
                      <w:sz w:val="20"/>
                      <w:szCs w:val="20"/>
                    </w:rPr>
                  </w:pPr>
                  <w:r w:rsidRPr="00345EB9">
                    <w:rPr>
                      <w:b w:val="0"/>
                      <w:i/>
                      <w:sz w:val="20"/>
                      <w:szCs w:val="20"/>
                    </w:rPr>
                    <w:t>General disorders and administration site conditions</w:t>
                  </w:r>
                </w:p>
              </w:tc>
              <w:tc>
                <w:tcPr>
                  <w:tcW w:w="1620" w:type="dxa"/>
                </w:tcPr>
                <w:p w14:paraId="364BF227" w14:textId="1A2A9E69" w:rsidR="002123E1" w:rsidRPr="00345EB9" w:rsidRDefault="002123E1" w:rsidP="003852E7">
                  <w:pPr>
                    <w:pStyle w:val="Heading2"/>
                    <w:keepNext w:val="0"/>
                    <w:spacing w:line="480" w:lineRule="auto"/>
                    <w:rPr>
                      <w:b w:val="0"/>
                      <w:sz w:val="20"/>
                      <w:szCs w:val="20"/>
                    </w:rPr>
                  </w:pPr>
                  <w:r w:rsidRPr="00345EB9">
                    <w:rPr>
                      <w:b w:val="0"/>
                      <w:sz w:val="20"/>
                      <w:szCs w:val="20"/>
                    </w:rPr>
                    <w:t>Common</w:t>
                  </w:r>
                </w:p>
              </w:tc>
              <w:tc>
                <w:tcPr>
                  <w:tcW w:w="3420" w:type="dxa"/>
                </w:tcPr>
                <w:p w14:paraId="55EFAAA1" w14:textId="223CDCEE" w:rsidR="002123E1" w:rsidRPr="00345EB9" w:rsidRDefault="002123E1" w:rsidP="003852E7">
                  <w:pPr>
                    <w:pStyle w:val="Heading2"/>
                    <w:spacing w:line="480" w:lineRule="auto"/>
                    <w:rPr>
                      <w:b w:val="0"/>
                      <w:sz w:val="20"/>
                      <w:szCs w:val="20"/>
                    </w:rPr>
                  </w:pPr>
                  <w:r w:rsidRPr="00345EB9">
                    <w:rPr>
                      <w:b w:val="0"/>
                      <w:sz w:val="20"/>
                      <w:szCs w:val="20"/>
                    </w:rPr>
                    <w:t>Pyrexia</w:t>
                  </w:r>
                </w:p>
                <w:p w14:paraId="406C45CA" w14:textId="22C30460" w:rsidR="002123E1" w:rsidRPr="00345EB9" w:rsidRDefault="002123E1" w:rsidP="003852E7">
                  <w:pPr>
                    <w:pStyle w:val="Heading2"/>
                    <w:spacing w:line="480" w:lineRule="auto"/>
                    <w:rPr>
                      <w:b w:val="0"/>
                      <w:sz w:val="20"/>
                      <w:szCs w:val="20"/>
                    </w:rPr>
                  </w:pPr>
                  <w:r w:rsidRPr="00345EB9">
                    <w:rPr>
                      <w:b w:val="0"/>
                      <w:sz w:val="20"/>
                      <w:szCs w:val="20"/>
                    </w:rPr>
                    <w:t>peripheral oedema</w:t>
                  </w:r>
                </w:p>
                <w:p w14:paraId="1A958C80" w14:textId="79B13114" w:rsidR="002123E1" w:rsidRPr="00345EB9" w:rsidRDefault="002123E1" w:rsidP="003852E7">
                  <w:pPr>
                    <w:pStyle w:val="Heading2"/>
                    <w:keepNext w:val="0"/>
                    <w:spacing w:line="480" w:lineRule="auto"/>
                    <w:rPr>
                      <w:b w:val="0"/>
                      <w:sz w:val="20"/>
                      <w:szCs w:val="20"/>
                    </w:rPr>
                  </w:pPr>
                  <w:r w:rsidRPr="00345EB9">
                    <w:rPr>
                      <w:b w:val="0"/>
                      <w:sz w:val="20"/>
                      <w:szCs w:val="20"/>
                    </w:rPr>
                    <w:t>fatigue</w:t>
                  </w:r>
                </w:p>
              </w:tc>
            </w:tr>
          </w:tbl>
          <w:p w14:paraId="17BFAAC9" w14:textId="77777777" w:rsidR="002123E1" w:rsidRPr="00345EB9" w:rsidRDefault="002123E1" w:rsidP="003852E7">
            <w:pPr>
              <w:pStyle w:val="Heading2"/>
              <w:keepNext w:val="0"/>
              <w:spacing w:line="480" w:lineRule="auto"/>
              <w:rPr>
                <w:i/>
                <w:sz w:val="20"/>
                <w:szCs w:val="20"/>
              </w:rPr>
            </w:pPr>
          </w:p>
        </w:tc>
      </w:tr>
      <w:tr w:rsidR="002123E1" w:rsidRPr="004F1EA4" w14:paraId="3AA4BAAD" w14:textId="02D26CEB" w:rsidTr="002123E1">
        <w:trPr>
          <w:trHeight w:val="4832"/>
        </w:trPr>
        <w:tc>
          <w:tcPr>
            <w:tcW w:w="5000" w:type="pct"/>
          </w:tcPr>
          <w:tbl>
            <w:tblPr>
              <w:tblStyle w:val="TableGrid"/>
              <w:tblW w:w="6984" w:type="dxa"/>
              <w:tblLayout w:type="fixed"/>
              <w:tblLook w:val="04A0" w:firstRow="1" w:lastRow="0" w:firstColumn="1" w:lastColumn="0" w:noHBand="0" w:noVBand="1"/>
            </w:tblPr>
            <w:tblGrid>
              <w:gridCol w:w="1944"/>
              <w:gridCol w:w="1620"/>
              <w:gridCol w:w="3420"/>
            </w:tblGrid>
            <w:tr w:rsidR="002123E1" w:rsidRPr="00345EB9" w14:paraId="594DC4FA" w14:textId="77777777" w:rsidTr="00442E66">
              <w:trPr>
                <w:trHeight w:val="935"/>
              </w:trPr>
              <w:tc>
                <w:tcPr>
                  <w:tcW w:w="1944" w:type="dxa"/>
                  <w:vMerge w:val="restart"/>
                </w:tcPr>
                <w:p w14:paraId="267379E6" w14:textId="2E8241A9" w:rsidR="002123E1" w:rsidRPr="00345EB9" w:rsidRDefault="002123E1" w:rsidP="003852E7">
                  <w:pPr>
                    <w:pStyle w:val="Heading2"/>
                    <w:keepNext w:val="0"/>
                    <w:spacing w:line="480" w:lineRule="auto"/>
                    <w:rPr>
                      <w:b w:val="0"/>
                      <w:i/>
                      <w:sz w:val="20"/>
                      <w:szCs w:val="20"/>
                    </w:rPr>
                  </w:pPr>
                  <w:r w:rsidRPr="00345EB9">
                    <w:rPr>
                      <w:b w:val="0"/>
                      <w:i/>
                      <w:sz w:val="20"/>
                      <w:szCs w:val="20"/>
                    </w:rPr>
                    <w:t>Investigations</w:t>
                  </w:r>
                </w:p>
              </w:tc>
              <w:tc>
                <w:tcPr>
                  <w:tcW w:w="1620" w:type="dxa"/>
                  <w:tcBorders>
                    <w:bottom w:val="single" w:sz="4" w:space="0" w:color="auto"/>
                  </w:tcBorders>
                </w:tcPr>
                <w:p w14:paraId="371834B6" w14:textId="1EBA4765" w:rsidR="002123E1" w:rsidRPr="00345EB9" w:rsidRDefault="002123E1" w:rsidP="003852E7">
                  <w:pPr>
                    <w:pStyle w:val="Heading2"/>
                    <w:keepNext w:val="0"/>
                    <w:spacing w:line="480" w:lineRule="auto"/>
                    <w:rPr>
                      <w:b w:val="0"/>
                      <w:sz w:val="20"/>
                      <w:szCs w:val="20"/>
                    </w:rPr>
                  </w:pPr>
                  <w:r w:rsidRPr="00345EB9">
                    <w:rPr>
                      <w:b w:val="0"/>
                      <w:sz w:val="20"/>
                      <w:szCs w:val="20"/>
                    </w:rPr>
                    <w:t>Common</w:t>
                  </w:r>
                </w:p>
              </w:tc>
              <w:tc>
                <w:tcPr>
                  <w:tcW w:w="3420" w:type="dxa"/>
                  <w:tcBorders>
                    <w:bottom w:val="single" w:sz="4" w:space="0" w:color="auto"/>
                  </w:tcBorders>
                </w:tcPr>
                <w:p w14:paraId="36AB00E3" w14:textId="1FA9DEC9" w:rsidR="002123E1" w:rsidRPr="00345EB9" w:rsidRDefault="002123E1" w:rsidP="003852E7">
                  <w:pPr>
                    <w:pStyle w:val="Heading2"/>
                    <w:spacing w:line="480" w:lineRule="auto"/>
                    <w:rPr>
                      <w:sz w:val="20"/>
                      <w:szCs w:val="20"/>
                    </w:rPr>
                  </w:pPr>
                  <w:r w:rsidRPr="00345EB9">
                    <w:rPr>
                      <w:b w:val="0"/>
                      <w:sz w:val="20"/>
                      <w:szCs w:val="20"/>
                    </w:rPr>
                    <w:t xml:space="preserve">Increased blood creatine phosphokinase </w:t>
                  </w:r>
                </w:p>
              </w:tc>
            </w:tr>
            <w:tr w:rsidR="002123E1" w:rsidRPr="00345EB9" w14:paraId="6BB019A1" w14:textId="77777777" w:rsidTr="00442E66">
              <w:trPr>
                <w:trHeight w:val="4114"/>
              </w:trPr>
              <w:tc>
                <w:tcPr>
                  <w:tcW w:w="1944" w:type="dxa"/>
                  <w:vMerge/>
                  <w:tcBorders>
                    <w:bottom w:val="single" w:sz="4" w:space="0" w:color="auto"/>
                  </w:tcBorders>
                </w:tcPr>
                <w:p w14:paraId="67842996" w14:textId="77777777" w:rsidR="002123E1" w:rsidRPr="00345EB9" w:rsidRDefault="002123E1" w:rsidP="003852E7">
                  <w:pPr>
                    <w:pStyle w:val="Heading2"/>
                    <w:keepNext w:val="0"/>
                    <w:spacing w:line="480" w:lineRule="auto"/>
                    <w:rPr>
                      <w:b w:val="0"/>
                      <w:i/>
                      <w:sz w:val="20"/>
                      <w:szCs w:val="20"/>
                    </w:rPr>
                  </w:pPr>
                </w:p>
              </w:tc>
              <w:tc>
                <w:tcPr>
                  <w:tcW w:w="1620" w:type="dxa"/>
                  <w:tcBorders>
                    <w:top w:val="single" w:sz="4" w:space="0" w:color="auto"/>
                  </w:tcBorders>
                </w:tcPr>
                <w:p w14:paraId="543C5FB2" w14:textId="36F2450F" w:rsidR="002123E1" w:rsidRPr="00345EB9" w:rsidRDefault="002123E1" w:rsidP="003852E7">
                  <w:pPr>
                    <w:pStyle w:val="Heading2"/>
                    <w:spacing w:line="480" w:lineRule="auto"/>
                    <w:rPr>
                      <w:b w:val="0"/>
                      <w:sz w:val="20"/>
                      <w:szCs w:val="20"/>
                    </w:rPr>
                  </w:pPr>
                  <w:r w:rsidRPr="00345EB9">
                    <w:rPr>
                      <w:b w:val="0"/>
                      <w:sz w:val="20"/>
                      <w:szCs w:val="20"/>
                    </w:rPr>
                    <w:t>Uncommon</w:t>
                  </w:r>
                </w:p>
              </w:tc>
              <w:tc>
                <w:tcPr>
                  <w:tcW w:w="3420" w:type="dxa"/>
                  <w:tcBorders>
                    <w:top w:val="single" w:sz="4" w:space="0" w:color="auto"/>
                  </w:tcBorders>
                </w:tcPr>
                <w:p w14:paraId="5FEC940B" w14:textId="7CA57510" w:rsidR="002123E1" w:rsidRPr="00345EB9" w:rsidRDefault="002123E1" w:rsidP="003852E7">
                  <w:pPr>
                    <w:pStyle w:val="Heading2"/>
                    <w:spacing w:line="480" w:lineRule="auto"/>
                    <w:rPr>
                      <w:b w:val="0"/>
                      <w:sz w:val="20"/>
                      <w:szCs w:val="20"/>
                    </w:rPr>
                  </w:pPr>
                  <w:r w:rsidRPr="00345EB9">
                    <w:rPr>
                      <w:b w:val="0"/>
                      <w:sz w:val="20"/>
                      <w:szCs w:val="20"/>
                    </w:rPr>
                    <w:t>Increased hepatic enzyme</w:t>
                  </w:r>
                </w:p>
                <w:p w14:paraId="11F84629" w14:textId="77777777" w:rsidR="002123E1" w:rsidRPr="00345EB9" w:rsidRDefault="002123E1" w:rsidP="003852E7">
                  <w:pPr>
                    <w:pStyle w:val="Heading2"/>
                    <w:spacing w:line="480" w:lineRule="auto"/>
                    <w:rPr>
                      <w:b w:val="0"/>
                      <w:sz w:val="20"/>
                      <w:szCs w:val="20"/>
                    </w:rPr>
                  </w:pPr>
                  <w:r w:rsidRPr="00345EB9">
                    <w:rPr>
                      <w:b w:val="0"/>
                      <w:sz w:val="20"/>
                      <w:szCs w:val="20"/>
                    </w:rPr>
                    <w:t>increased transaminases</w:t>
                  </w:r>
                </w:p>
                <w:p w14:paraId="7CA85667" w14:textId="77777777" w:rsidR="002123E1" w:rsidRPr="00345EB9" w:rsidRDefault="002123E1" w:rsidP="003852E7">
                  <w:pPr>
                    <w:pStyle w:val="Heading2"/>
                    <w:spacing w:line="480" w:lineRule="auto"/>
                    <w:rPr>
                      <w:b w:val="0"/>
                      <w:sz w:val="20"/>
                      <w:szCs w:val="20"/>
                    </w:rPr>
                  </w:pPr>
                  <w:r w:rsidRPr="00345EB9">
                    <w:rPr>
                      <w:b w:val="0"/>
                      <w:sz w:val="20"/>
                      <w:szCs w:val="20"/>
                    </w:rPr>
                    <w:t>abnormal liver function test</w:t>
                  </w:r>
                </w:p>
                <w:p w14:paraId="0A4B429B" w14:textId="77777777" w:rsidR="002123E1" w:rsidRPr="00345EB9" w:rsidRDefault="002123E1" w:rsidP="003852E7">
                  <w:pPr>
                    <w:pStyle w:val="Heading2"/>
                    <w:spacing w:line="480" w:lineRule="auto"/>
                    <w:rPr>
                      <w:b w:val="0"/>
                      <w:sz w:val="20"/>
                      <w:szCs w:val="20"/>
                    </w:rPr>
                  </w:pPr>
                  <w:r w:rsidRPr="00345EB9">
                    <w:rPr>
                      <w:b w:val="0"/>
                      <w:sz w:val="20"/>
                      <w:szCs w:val="20"/>
                    </w:rPr>
                    <w:t xml:space="preserve">increased gamma glutamyl-transferase </w:t>
                  </w:r>
                </w:p>
                <w:p w14:paraId="0AA304F4" w14:textId="51D59894" w:rsidR="002123E1" w:rsidRPr="00345EB9" w:rsidRDefault="002123E1" w:rsidP="003852E7">
                  <w:pPr>
                    <w:pStyle w:val="Heading2"/>
                    <w:spacing w:line="480" w:lineRule="auto"/>
                    <w:rPr>
                      <w:b w:val="0"/>
                      <w:sz w:val="20"/>
                      <w:szCs w:val="20"/>
                    </w:rPr>
                  </w:pPr>
                  <w:r w:rsidRPr="00345EB9">
                    <w:rPr>
                      <w:b w:val="0"/>
                      <w:sz w:val="20"/>
                      <w:szCs w:val="20"/>
                    </w:rPr>
                    <w:t>increased blood creatinine</w:t>
                  </w:r>
                </w:p>
                <w:p w14:paraId="6107A082" w14:textId="6CC24D8A" w:rsidR="002123E1" w:rsidRPr="00345EB9" w:rsidRDefault="002123E1" w:rsidP="003852E7">
                  <w:pPr>
                    <w:pStyle w:val="Heading2"/>
                    <w:spacing w:line="480" w:lineRule="auto"/>
                    <w:rPr>
                      <w:b w:val="0"/>
                      <w:sz w:val="20"/>
                      <w:szCs w:val="20"/>
                    </w:rPr>
                  </w:pPr>
                  <w:r w:rsidRPr="00345EB9">
                    <w:rPr>
                      <w:b w:val="0"/>
                      <w:sz w:val="20"/>
                      <w:szCs w:val="20"/>
                    </w:rPr>
                    <w:t>increased blood cholesterol</w:t>
                  </w:r>
                </w:p>
                <w:p w14:paraId="7A955818" w14:textId="77777777" w:rsidR="002123E1" w:rsidRPr="00345EB9" w:rsidRDefault="002123E1" w:rsidP="003852E7">
                  <w:pPr>
                    <w:pStyle w:val="Heading2"/>
                    <w:spacing w:line="480" w:lineRule="auto"/>
                    <w:rPr>
                      <w:b w:val="0"/>
                      <w:sz w:val="20"/>
                      <w:szCs w:val="20"/>
                    </w:rPr>
                  </w:pPr>
                  <w:r w:rsidRPr="00345EB9">
                    <w:rPr>
                      <w:b w:val="0"/>
                      <w:sz w:val="20"/>
                      <w:szCs w:val="20"/>
                    </w:rPr>
                    <w:t>increased low density lipoprotein</w:t>
                  </w:r>
                </w:p>
                <w:p w14:paraId="2B300156" w14:textId="11DF6F55" w:rsidR="002123E1" w:rsidRPr="00345EB9" w:rsidRDefault="002123E1" w:rsidP="003852E7">
                  <w:pPr>
                    <w:rPr>
                      <w:rFonts w:ascii="Arial" w:hAnsi="Arial" w:cs="Arial"/>
                      <w:sz w:val="20"/>
                      <w:szCs w:val="20"/>
                      <w:lang w:val="en-GB"/>
                    </w:rPr>
                  </w:pPr>
                  <w:r w:rsidRPr="00345EB9">
                    <w:rPr>
                      <w:rFonts w:ascii="Arial" w:hAnsi="Arial" w:cs="Arial"/>
                      <w:sz w:val="20"/>
                      <w:szCs w:val="20"/>
                    </w:rPr>
                    <w:t>increased weight</w:t>
                  </w:r>
                </w:p>
              </w:tc>
            </w:tr>
          </w:tbl>
          <w:p w14:paraId="0D376AB4" w14:textId="77777777" w:rsidR="002123E1" w:rsidRPr="00345EB9" w:rsidRDefault="002123E1" w:rsidP="003852E7">
            <w:pPr>
              <w:pStyle w:val="Heading2"/>
              <w:keepNext w:val="0"/>
              <w:spacing w:line="480" w:lineRule="auto"/>
              <w:jc w:val="both"/>
              <w:rPr>
                <w:i/>
                <w:sz w:val="20"/>
                <w:szCs w:val="20"/>
              </w:rPr>
            </w:pPr>
          </w:p>
        </w:tc>
      </w:tr>
      <w:tr w:rsidR="002123E1" w:rsidRPr="004F1EA4" w14:paraId="3A579CD3" w14:textId="3C24B170" w:rsidTr="002123E1">
        <w:trPr>
          <w:trHeight w:val="1304"/>
        </w:trPr>
        <w:tc>
          <w:tcPr>
            <w:tcW w:w="5000" w:type="pct"/>
          </w:tcPr>
          <w:tbl>
            <w:tblPr>
              <w:tblStyle w:val="TableGrid"/>
              <w:tblW w:w="6984" w:type="dxa"/>
              <w:tblLayout w:type="fixed"/>
              <w:tblLook w:val="04A0" w:firstRow="1" w:lastRow="0" w:firstColumn="1" w:lastColumn="0" w:noHBand="0" w:noVBand="1"/>
            </w:tblPr>
            <w:tblGrid>
              <w:gridCol w:w="1949"/>
              <w:gridCol w:w="1620"/>
              <w:gridCol w:w="3415"/>
            </w:tblGrid>
            <w:tr w:rsidR="002123E1" w:rsidRPr="00345EB9" w14:paraId="6E7B37BB" w14:textId="77777777" w:rsidTr="004D1DF3">
              <w:trPr>
                <w:trHeight w:val="1028"/>
              </w:trPr>
              <w:tc>
                <w:tcPr>
                  <w:tcW w:w="1949" w:type="dxa"/>
                </w:tcPr>
                <w:p w14:paraId="60D38E44" w14:textId="5475A58D" w:rsidR="002123E1" w:rsidRPr="00345EB9" w:rsidRDefault="002123E1" w:rsidP="003852E7">
                  <w:pPr>
                    <w:pStyle w:val="Heading2"/>
                    <w:keepNext w:val="0"/>
                    <w:spacing w:line="480" w:lineRule="auto"/>
                    <w:rPr>
                      <w:b w:val="0"/>
                      <w:i/>
                      <w:sz w:val="20"/>
                      <w:szCs w:val="20"/>
                    </w:rPr>
                  </w:pPr>
                  <w:r w:rsidRPr="00345EB9">
                    <w:rPr>
                      <w:b w:val="0"/>
                      <w:i/>
                      <w:sz w:val="20"/>
                      <w:szCs w:val="20"/>
                    </w:rPr>
                    <w:t>Injury, poisoning and procedural complications</w:t>
                  </w:r>
                </w:p>
              </w:tc>
              <w:tc>
                <w:tcPr>
                  <w:tcW w:w="1620" w:type="dxa"/>
                </w:tcPr>
                <w:p w14:paraId="2F05C3AF" w14:textId="42F536E9" w:rsidR="002123E1" w:rsidRPr="00345EB9" w:rsidRDefault="002123E1" w:rsidP="003852E7">
                  <w:pPr>
                    <w:pStyle w:val="Heading2"/>
                    <w:keepNext w:val="0"/>
                    <w:spacing w:line="480" w:lineRule="auto"/>
                    <w:rPr>
                      <w:b w:val="0"/>
                      <w:sz w:val="20"/>
                      <w:szCs w:val="20"/>
                    </w:rPr>
                  </w:pPr>
                  <w:r w:rsidRPr="00345EB9">
                    <w:rPr>
                      <w:b w:val="0"/>
                      <w:sz w:val="20"/>
                      <w:szCs w:val="20"/>
                    </w:rPr>
                    <w:t>Uncommon</w:t>
                  </w:r>
                </w:p>
              </w:tc>
              <w:tc>
                <w:tcPr>
                  <w:tcW w:w="3415" w:type="dxa"/>
                </w:tcPr>
                <w:p w14:paraId="2A88536B" w14:textId="01CBA930" w:rsidR="002123E1" w:rsidRPr="00345EB9" w:rsidRDefault="002123E1" w:rsidP="003852E7">
                  <w:pPr>
                    <w:pStyle w:val="Heading2"/>
                    <w:spacing w:line="480" w:lineRule="auto"/>
                    <w:rPr>
                      <w:b w:val="0"/>
                      <w:sz w:val="20"/>
                      <w:szCs w:val="20"/>
                    </w:rPr>
                  </w:pPr>
                  <w:r w:rsidRPr="00345EB9">
                    <w:rPr>
                      <w:b w:val="0"/>
                      <w:sz w:val="20"/>
                      <w:szCs w:val="20"/>
                    </w:rPr>
                    <w:t>Ligament sprain</w:t>
                  </w:r>
                </w:p>
                <w:p w14:paraId="0B30E985" w14:textId="2295C8ED" w:rsidR="002123E1" w:rsidRPr="00345EB9" w:rsidRDefault="002123E1" w:rsidP="003852E7">
                  <w:pPr>
                    <w:pStyle w:val="Heading2"/>
                    <w:keepNext w:val="0"/>
                    <w:spacing w:line="480" w:lineRule="auto"/>
                    <w:rPr>
                      <w:b w:val="0"/>
                      <w:sz w:val="20"/>
                      <w:szCs w:val="20"/>
                    </w:rPr>
                  </w:pPr>
                  <w:r w:rsidRPr="00345EB9">
                    <w:rPr>
                      <w:b w:val="0"/>
                      <w:sz w:val="20"/>
                      <w:szCs w:val="20"/>
                    </w:rPr>
                    <w:t>muscle strain</w:t>
                  </w:r>
                </w:p>
              </w:tc>
            </w:tr>
          </w:tbl>
          <w:p w14:paraId="10D3F077" w14:textId="3B7D4966" w:rsidR="002123E1" w:rsidRPr="00345EB9" w:rsidRDefault="002123E1" w:rsidP="003852E7">
            <w:pPr>
              <w:pStyle w:val="Heading2"/>
              <w:keepNext w:val="0"/>
              <w:spacing w:line="480" w:lineRule="auto"/>
              <w:jc w:val="both"/>
              <w:rPr>
                <w:b w:val="0"/>
                <w:sz w:val="20"/>
                <w:szCs w:val="20"/>
              </w:rPr>
            </w:pPr>
            <w:r w:rsidRPr="00345EB9">
              <w:rPr>
                <w:b w:val="0"/>
                <w:sz w:val="20"/>
                <w:szCs w:val="20"/>
              </w:rPr>
              <w:t>*Spontaneous reporting data</w:t>
            </w:r>
          </w:p>
        </w:tc>
      </w:tr>
      <w:tr w:rsidR="002123E1" w:rsidRPr="004F1EA4" w14:paraId="3D21AC7F" w14:textId="3B52A9DC" w:rsidTr="002123E1">
        <w:tc>
          <w:tcPr>
            <w:tcW w:w="5000" w:type="pct"/>
          </w:tcPr>
          <w:p w14:paraId="4E15D6EC" w14:textId="77777777" w:rsidR="002123E1" w:rsidRPr="004F1EA4" w:rsidRDefault="002123E1" w:rsidP="003852E7">
            <w:pPr>
              <w:pStyle w:val="Heading2"/>
              <w:keepNext w:val="0"/>
              <w:spacing w:line="480" w:lineRule="auto"/>
              <w:jc w:val="both"/>
              <w:rPr>
                <w:i/>
                <w:sz w:val="20"/>
                <w:szCs w:val="20"/>
              </w:rPr>
            </w:pPr>
          </w:p>
        </w:tc>
      </w:tr>
      <w:tr w:rsidR="002123E1" w:rsidRPr="004F1EA4" w14:paraId="35AA8A20" w14:textId="788C5380" w:rsidTr="002123E1">
        <w:tc>
          <w:tcPr>
            <w:tcW w:w="5000" w:type="pct"/>
          </w:tcPr>
          <w:p w14:paraId="34A9F6C9" w14:textId="3142A7A0" w:rsidR="002123E1" w:rsidRPr="004F1EA4" w:rsidRDefault="002123E1" w:rsidP="003852E7">
            <w:pPr>
              <w:pStyle w:val="Heading2"/>
              <w:spacing w:line="480" w:lineRule="auto"/>
              <w:jc w:val="both"/>
              <w:rPr>
                <w:b w:val="0"/>
                <w:i/>
                <w:sz w:val="20"/>
                <w:szCs w:val="20"/>
              </w:rPr>
            </w:pPr>
            <w:r w:rsidRPr="004F1EA4">
              <w:rPr>
                <w:b w:val="0"/>
                <w:i/>
                <w:sz w:val="20"/>
                <w:szCs w:val="20"/>
              </w:rPr>
              <w:lastRenderedPageBreak/>
              <w:t>Description of selected adverse reactions</w:t>
            </w:r>
          </w:p>
        </w:tc>
      </w:tr>
      <w:tr w:rsidR="002123E1" w:rsidRPr="004F1EA4" w14:paraId="33C518EB" w14:textId="69D2E41E" w:rsidTr="002123E1">
        <w:tc>
          <w:tcPr>
            <w:tcW w:w="5000" w:type="pct"/>
          </w:tcPr>
          <w:p w14:paraId="445BB1DC" w14:textId="0C493B97" w:rsidR="002123E1" w:rsidRPr="004F1EA4" w:rsidRDefault="002123E1" w:rsidP="003852E7">
            <w:pPr>
              <w:pStyle w:val="Heading2"/>
              <w:spacing w:line="480" w:lineRule="auto"/>
              <w:jc w:val="both"/>
              <w:rPr>
                <w:b w:val="0"/>
                <w:i/>
                <w:sz w:val="20"/>
                <w:szCs w:val="20"/>
              </w:rPr>
            </w:pPr>
            <w:r w:rsidRPr="004F1EA4">
              <w:rPr>
                <w:b w:val="0"/>
                <w:i/>
                <w:sz w:val="20"/>
                <w:szCs w:val="20"/>
              </w:rPr>
              <w:t>Overall infections</w:t>
            </w:r>
          </w:p>
        </w:tc>
      </w:tr>
      <w:tr w:rsidR="002123E1" w:rsidRPr="004F1EA4" w14:paraId="4DBD69EC" w14:textId="6B5D5E93" w:rsidTr="002123E1">
        <w:tc>
          <w:tcPr>
            <w:tcW w:w="5000" w:type="pct"/>
          </w:tcPr>
          <w:p w14:paraId="144846B1" w14:textId="6F3C13A5" w:rsidR="002123E1" w:rsidRPr="004F1EA4" w:rsidRDefault="002123E1" w:rsidP="003852E7">
            <w:pPr>
              <w:pStyle w:val="Heading2"/>
              <w:spacing w:line="480" w:lineRule="auto"/>
              <w:jc w:val="both"/>
              <w:rPr>
                <w:b w:val="0"/>
                <w:i/>
                <w:sz w:val="20"/>
                <w:szCs w:val="20"/>
              </w:rPr>
            </w:pPr>
            <w:r w:rsidRPr="004F1EA4">
              <w:rPr>
                <w:b w:val="0"/>
                <w:i/>
                <w:sz w:val="20"/>
                <w:szCs w:val="20"/>
              </w:rPr>
              <w:t>Rheumatoid arthritis</w:t>
            </w:r>
          </w:p>
        </w:tc>
      </w:tr>
      <w:tr w:rsidR="002123E1" w:rsidRPr="004F1EA4" w14:paraId="59470A0F" w14:textId="0654885E" w:rsidTr="002123E1">
        <w:tc>
          <w:tcPr>
            <w:tcW w:w="5000" w:type="pct"/>
          </w:tcPr>
          <w:p w14:paraId="6FF3CA97" w14:textId="47FD61A7" w:rsidR="002123E1" w:rsidRPr="004F1EA4" w:rsidRDefault="002123E1" w:rsidP="003852E7">
            <w:pPr>
              <w:pStyle w:val="Heading2"/>
              <w:spacing w:line="480" w:lineRule="auto"/>
              <w:jc w:val="both"/>
              <w:rPr>
                <w:b w:val="0"/>
                <w:sz w:val="20"/>
                <w:szCs w:val="20"/>
              </w:rPr>
            </w:pPr>
            <w:r w:rsidRPr="004F1EA4">
              <w:rPr>
                <w:b w:val="0"/>
                <w:sz w:val="20"/>
                <w:szCs w:val="20"/>
              </w:rPr>
              <w:t>In controlled Phase 3 clinical studies, the rates of infections over 0 - 3 months in the 5 mg twice daily (total 616 patients) and 10 mg twice daily (total 642 patients) tofacitinib monotherapy groups were 16,2 % (100 patients) and 17,9 % (115 patients), respectively, compared to 18,9 % (23 patients) in the placebo group (total 122 patients). In controlled Phase 3 clinical studies with background DMARDs, the rates of infections over 0 - 3 months in the 5 mg twice daily (total 973 patients) and 10 mg twice daily (total 969 patients) tofacitinib plus DMARD group were 21,3 % (207 patients) and 21,8 % (211 patients), respectively, compared to 18,4 % (103 patients) in the placebo plus DMARD group (total 559 patients).</w:t>
            </w:r>
          </w:p>
        </w:tc>
      </w:tr>
      <w:tr w:rsidR="002123E1" w:rsidRPr="004F1EA4" w14:paraId="009E7CA4" w14:textId="46B61636" w:rsidTr="002123E1">
        <w:tc>
          <w:tcPr>
            <w:tcW w:w="5000" w:type="pct"/>
          </w:tcPr>
          <w:p w14:paraId="1C47653F" w14:textId="77777777" w:rsidR="002123E1" w:rsidRPr="004F1EA4" w:rsidRDefault="002123E1" w:rsidP="003852E7">
            <w:pPr>
              <w:pStyle w:val="Heading2"/>
              <w:spacing w:line="480" w:lineRule="auto"/>
              <w:jc w:val="both"/>
              <w:rPr>
                <w:b w:val="0"/>
                <w:sz w:val="20"/>
                <w:szCs w:val="20"/>
              </w:rPr>
            </w:pPr>
          </w:p>
        </w:tc>
      </w:tr>
      <w:tr w:rsidR="002123E1" w:rsidRPr="004F1EA4" w14:paraId="042BA20D" w14:textId="69CF3785" w:rsidTr="002123E1">
        <w:tc>
          <w:tcPr>
            <w:tcW w:w="5000" w:type="pct"/>
          </w:tcPr>
          <w:p w14:paraId="20B419C4" w14:textId="150FBBBA" w:rsidR="002123E1" w:rsidRPr="004F1EA4" w:rsidRDefault="002123E1" w:rsidP="003852E7">
            <w:pPr>
              <w:pStyle w:val="Heading2"/>
              <w:spacing w:line="480" w:lineRule="auto"/>
              <w:jc w:val="both"/>
              <w:rPr>
                <w:b w:val="0"/>
                <w:sz w:val="20"/>
                <w:szCs w:val="20"/>
              </w:rPr>
            </w:pPr>
            <w:r w:rsidRPr="004F1EA4">
              <w:rPr>
                <w:b w:val="0"/>
                <w:sz w:val="20"/>
                <w:szCs w:val="20"/>
              </w:rPr>
              <w:t xml:space="preserve">The </w:t>
            </w:r>
            <w:proofErr w:type="gramStart"/>
            <w:r w:rsidRPr="004F1EA4">
              <w:rPr>
                <w:b w:val="0"/>
                <w:sz w:val="20"/>
                <w:szCs w:val="20"/>
              </w:rPr>
              <w:t>most commonly reported</w:t>
            </w:r>
            <w:proofErr w:type="gramEnd"/>
            <w:r w:rsidRPr="004F1EA4">
              <w:rPr>
                <w:b w:val="0"/>
                <w:sz w:val="20"/>
                <w:szCs w:val="20"/>
              </w:rPr>
              <w:t xml:space="preserve"> infections were upper respiratory tract infections and nasopharyngitis (3,7 % and 3,2 %, respectively).</w:t>
            </w:r>
          </w:p>
        </w:tc>
      </w:tr>
      <w:tr w:rsidR="002123E1" w:rsidRPr="004F1EA4" w14:paraId="280234C7" w14:textId="6F5140A9" w:rsidTr="002123E1">
        <w:tc>
          <w:tcPr>
            <w:tcW w:w="5000" w:type="pct"/>
          </w:tcPr>
          <w:p w14:paraId="30FE21A1" w14:textId="77777777" w:rsidR="002123E1" w:rsidRPr="004F1EA4" w:rsidRDefault="002123E1" w:rsidP="003852E7">
            <w:pPr>
              <w:pStyle w:val="Heading2"/>
              <w:spacing w:line="480" w:lineRule="auto"/>
              <w:jc w:val="both"/>
              <w:rPr>
                <w:b w:val="0"/>
                <w:sz w:val="20"/>
                <w:szCs w:val="20"/>
              </w:rPr>
            </w:pPr>
          </w:p>
        </w:tc>
      </w:tr>
      <w:tr w:rsidR="002123E1" w:rsidRPr="004F1EA4" w14:paraId="5F925DAD" w14:textId="4B4AA7E1" w:rsidTr="002123E1">
        <w:tc>
          <w:tcPr>
            <w:tcW w:w="5000" w:type="pct"/>
          </w:tcPr>
          <w:p w14:paraId="7205FAF7" w14:textId="03D12CEC" w:rsidR="002123E1" w:rsidRPr="004F1EA4" w:rsidRDefault="002123E1" w:rsidP="003852E7">
            <w:pPr>
              <w:pStyle w:val="Heading2"/>
              <w:spacing w:line="480" w:lineRule="auto"/>
              <w:jc w:val="both"/>
              <w:rPr>
                <w:b w:val="0"/>
                <w:sz w:val="20"/>
                <w:szCs w:val="20"/>
              </w:rPr>
            </w:pPr>
            <w:r w:rsidRPr="004F1EA4">
              <w:rPr>
                <w:b w:val="0"/>
                <w:sz w:val="20"/>
                <w:szCs w:val="20"/>
              </w:rPr>
              <w:t>The overall incidence rate of infections with tofacitinib in the long-term safety all exposure population (total 4 867 patients) was 46,1 patients with events per 100 patient-years (43,8 and 47,2 patients with events for 5 mg and 10 mg twice daily, respectively). For patients (total 1 750) on monotherapy, the rates were 48,9 and 41,9 patients with events per 100 patient-years for 5 mg and 10 mg twice daily, respectively. For patients (total 3 117) on background DMARDs, the rates were 41,0 and 50,3 patients with events per 100 patient-years for 5 mg and 10 mg twice daily, respectively.</w:t>
            </w:r>
          </w:p>
        </w:tc>
      </w:tr>
      <w:tr w:rsidR="002123E1" w:rsidRPr="004F1EA4" w14:paraId="194EA733" w14:textId="3B1F4D0C" w:rsidTr="002123E1">
        <w:tc>
          <w:tcPr>
            <w:tcW w:w="5000" w:type="pct"/>
          </w:tcPr>
          <w:p w14:paraId="7B5C21EA" w14:textId="77777777" w:rsidR="002123E1" w:rsidRPr="004F1EA4" w:rsidRDefault="002123E1" w:rsidP="003852E7">
            <w:pPr>
              <w:pStyle w:val="Heading2"/>
              <w:spacing w:line="480" w:lineRule="auto"/>
              <w:jc w:val="both"/>
              <w:rPr>
                <w:b w:val="0"/>
                <w:sz w:val="20"/>
                <w:szCs w:val="20"/>
              </w:rPr>
            </w:pPr>
          </w:p>
        </w:tc>
      </w:tr>
      <w:tr w:rsidR="002123E1" w:rsidRPr="004F1EA4" w14:paraId="4E47C043" w14:textId="14FEAA25" w:rsidTr="002123E1">
        <w:tc>
          <w:tcPr>
            <w:tcW w:w="5000" w:type="pct"/>
          </w:tcPr>
          <w:p w14:paraId="2B8AC1D8" w14:textId="01059E19" w:rsidR="002123E1" w:rsidRPr="004F1EA4" w:rsidRDefault="002123E1" w:rsidP="003852E7">
            <w:pPr>
              <w:pStyle w:val="Heading2"/>
              <w:spacing w:line="480" w:lineRule="auto"/>
              <w:jc w:val="both"/>
              <w:rPr>
                <w:b w:val="0"/>
                <w:i/>
                <w:sz w:val="20"/>
                <w:szCs w:val="20"/>
              </w:rPr>
            </w:pPr>
            <w:r w:rsidRPr="004F1EA4">
              <w:rPr>
                <w:b w:val="0"/>
                <w:i/>
                <w:sz w:val="20"/>
                <w:szCs w:val="20"/>
              </w:rPr>
              <w:t>Ulcerative colitis</w:t>
            </w:r>
          </w:p>
        </w:tc>
      </w:tr>
      <w:tr w:rsidR="002123E1" w:rsidRPr="004F1EA4" w14:paraId="0AD5B08C" w14:textId="7BD32508" w:rsidTr="002123E1">
        <w:tc>
          <w:tcPr>
            <w:tcW w:w="5000" w:type="pct"/>
          </w:tcPr>
          <w:p w14:paraId="470FEFAA" w14:textId="1702353D" w:rsidR="002123E1" w:rsidRPr="004F1EA4" w:rsidRDefault="002123E1" w:rsidP="003852E7">
            <w:pPr>
              <w:pStyle w:val="Heading2"/>
              <w:spacing w:line="480" w:lineRule="auto"/>
              <w:jc w:val="both"/>
              <w:rPr>
                <w:b w:val="0"/>
                <w:sz w:val="20"/>
                <w:szCs w:val="20"/>
              </w:rPr>
            </w:pPr>
            <w:r w:rsidRPr="004F1EA4">
              <w:rPr>
                <w:b w:val="0"/>
                <w:sz w:val="20"/>
                <w:szCs w:val="20"/>
              </w:rPr>
              <w:t xml:space="preserve">In the randomised 8-week Phase 2/3 induction studies, the proportions of patients with infections were 21,1 % (198 patients) in the tofacitinib 10 mg twice daily group compared to 15,2 % (43 patients) in the placebo group. In the randomised 52-week Phase 3 maintenance study, the proportion of patients with infections were 35,9 % (71 patients) in the 5 mg twice daily and 39,8 % (78 patients) in the 10 mg twice daily tofacitinib groups, compared to 24,2 % (48 patients) in the placebo group. </w:t>
            </w:r>
          </w:p>
        </w:tc>
      </w:tr>
      <w:tr w:rsidR="002123E1" w:rsidRPr="004F1EA4" w14:paraId="33AFEE6B" w14:textId="3EED8E7A" w:rsidTr="002123E1">
        <w:tc>
          <w:tcPr>
            <w:tcW w:w="5000" w:type="pct"/>
          </w:tcPr>
          <w:p w14:paraId="453BC0B8" w14:textId="77777777" w:rsidR="002123E1" w:rsidRPr="004F1EA4" w:rsidRDefault="002123E1" w:rsidP="003852E7">
            <w:pPr>
              <w:pStyle w:val="Heading2"/>
              <w:spacing w:line="480" w:lineRule="auto"/>
              <w:jc w:val="both"/>
              <w:rPr>
                <w:b w:val="0"/>
                <w:sz w:val="20"/>
                <w:szCs w:val="20"/>
              </w:rPr>
            </w:pPr>
          </w:p>
        </w:tc>
      </w:tr>
      <w:tr w:rsidR="002123E1" w:rsidRPr="004F1EA4" w14:paraId="462FBCE3" w14:textId="4F925C88" w:rsidTr="002123E1">
        <w:tc>
          <w:tcPr>
            <w:tcW w:w="5000" w:type="pct"/>
          </w:tcPr>
          <w:p w14:paraId="18FF3D53" w14:textId="3A815EB5" w:rsidR="002123E1" w:rsidRPr="004F1EA4" w:rsidRDefault="002123E1" w:rsidP="003852E7">
            <w:pPr>
              <w:pStyle w:val="Heading2"/>
              <w:spacing w:line="480" w:lineRule="auto"/>
              <w:jc w:val="both"/>
              <w:rPr>
                <w:b w:val="0"/>
                <w:sz w:val="20"/>
                <w:szCs w:val="20"/>
              </w:rPr>
            </w:pPr>
            <w:r w:rsidRPr="004F1EA4">
              <w:rPr>
                <w:b w:val="0"/>
                <w:sz w:val="20"/>
                <w:szCs w:val="20"/>
              </w:rPr>
              <w:lastRenderedPageBreak/>
              <w:t xml:space="preserve">In the entire treatment experience with tofacitinib, the </w:t>
            </w:r>
            <w:proofErr w:type="gramStart"/>
            <w:r w:rsidRPr="004F1EA4">
              <w:rPr>
                <w:b w:val="0"/>
                <w:sz w:val="20"/>
                <w:szCs w:val="20"/>
              </w:rPr>
              <w:t>most commonly reported</w:t>
            </w:r>
            <w:proofErr w:type="gramEnd"/>
            <w:r w:rsidRPr="004F1EA4">
              <w:rPr>
                <w:b w:val="0"/>
                <w:sz w:val="20"/>
                <w:szCs w:val="20"/>
              </w:rPr>
              <w:t xml:space="preserve"> infection was nasopharyngitis, occurring in 18,2 % of patients (211 patients).</w:t>
            </w:r>
          </w:p>
        </w:tc>
      </w:tr>
      <w:tr w:rsidR="002123E1" w:rsidRPr="004F1EA4" w14:paraId="5F2CF442" w14:textId="14250681" w:rsidTr="002123E1">
        <w:tc>
          <w:tcPr>
            <w:tcW w:w="5000" w:type="pct"/>
          </w:tcPr>
          <w:p w14:paraId="6D999198" w14:textId="77777777" w:rsidR="002123E1" w:rsidRPr="004F1EA4" w:rsidRDefault="002123E1" w:rsidP="003852E7">
            <w:pPr>
              <w:pStyle w:val="Heading2"/>
              <w:spacing w:line="480" w:lineRule="auto"/>
              <w:jc w:val="both"/>
              <w:rPr>
                <w:b w:val="0"/>
                <w:sz w:val="20"/>
                <w:szCs w:val="20"/>
              </w:rPr>
            </w:pPr>
          </w:p>
        </w:tc>
      </w:tr>
      <w:tr w:rsidR="002123E1" w:rsidRPr="004F1EA4" w14:paraId="5234066A" w14:textId="5A915511" w:rsidTr="002123E1">
        <w:tc>
          <w:tcPr>
            <w:tcW w:w="5000" w:type="pct"/>
          </w:tcPr>
          <w:p w14:paraId="68F5539D" w14:textId="07C1F43B" w:rsidR="002123E1" w:rsidRPr="007D3029" w:rsidRDefault="002123E1" w:rsidP="003852E7">
            <w:pPr>
              <w:pStyle w:val="Heading2"/>
              <w:spacing w:line="480" w:lineRule="auto"/>
              <w:jc w:val="both"/>
              <w:rPr>
                <w:b w:val="0"/>
                <w:sz w:val="20"/>
                <w:szCs w:val="20"/>
                <w:highlight w:val="green"/>
              </w:rPr>
            </w:pPr>
            <w:r w:rsidRPr="007D3029">
              <w:rPr>
                <w:b w:val="0"/>
                <w:sz w:val="20"/>
                <w:szCs w:val="20"/>
              </w:rPr>
              <w:t xml:space="preserve">In the entire treatment experience with tofacitinib, the overall incidence rate of infections was 60,3 events per 100 patient-years (involving 49,4 % of patients; total 572 patients). </w:t>
            </w:r>
          </w:p>
        </w:tc>
      </w:tr>
      <w:tr w:rsidR="002123E1" w:rsidRPr="004F1EA4" w14:paraId="57032E5F" w14:textId="0B27BBD2" w:rsidTr="002123E1">
        <w:tc>
          <w:tcPr>
            <w:tcW w:w="5000" w:type="pct"/>
          </w:tcPr>
          <w:p w14:paraId="63FB963B" w14:textId="77777777" w:rsidR="002123E1" w:rsidRPr="004F1EA4" w:rsidRDefault="002123E1" w:rsidP="003852E7">
            <w:pPr>
              <w:pStyle w:val="Heading2"/>
              <w:spacing w:line="480" w:lineRule="auto"/>
              <w:jc w:val="both"/>
              <w:rPr>
                <w:b w:val="0"/>
                <w:sz w:val="20"/>
                <w:szCs w:val="20"/>
              </w:rPr>
            </w:pPr>
          </w:p>
        </w:tc>
      </w:tr>
      <w:tr w:rsidR="002123E1" w:rsidRPr="004F1EA4" w14:paraId="1F19D1FD" w14:textId="2334F5C2" w:rsidTr="002123E1">
        <w:tc>
          <w:tcPr>
            <w:tcW w:w="5000" w:type="pct"/>
          </w:tcPr>
          <w:p w14:paraId="0503B43B" w14:textId="0C6E0314" w:rsidR="002123E1" w:rsidRPr="004F1EA4" w:rsidRDefault="002123E1" w:rsidP="003852E7">
            <w:pPr>
              <w:pStyle w:val="Heading2"/>
              <w:spacing w:line="480" w:lineRule="auto"/>
              <w:jc w:val="both"/>
              <w:rPr>
                <w:b w:val="0"/>
                <w:i/>
                <w:sz w:val="20"/>
                <w:szCs w:val="20"/>
              </w:rPr>
            </w:pPr>
            <w:r w:rsidRPr="004F1EA4">
              <w:rPr>
                <w:b w:val="0"/>
                <w:i/>
                <w:sz w:val="20"/>
                <w:szCs w:val="20"/>
              </w:rPr>
              <w:t>Serious infections</w:t>
            </w:r>
          </w:p>
        </w:tc>
      </w:tr>
      <w:tr w:rsidR="002123E1" w:rsidRPr="004F1EA4" w14:paraId="5D68F3E1" w14:textId="38EE23D3" w:rsidTr="002123E1">
        <w:tc>
          <w:tcPr>
            <w:tcW w:w="5000" w:type="pct"/>
          </w:tcPr>
          <w:p w14:paraId="196AD845" w14:textId="42F53069" w:rsidR="002123E1" w:rsidRPr="004F1EA4" w:rsidRDefault="002123E1" w:rsidP="003852E7">
            <w:pPr>
              <w:pStyle w:val="Heading2"/>
              <w:spacing w:line="480" w:lineRule="auto"/>
              <w:jc w:val="both"/>
              <w:rPr>
                <w:b w:val="0"/>
                <w:i/>
                <w:sz w:val="20"/>
                <w:szCs w:val="20"/>
              </w:rPr>
            </w:pPr>
            <w:r w:rsidRPr="004F1EA4">
              <w:rPr>
                <w:b w:val="0"/>
                <w:i/>
                <w:sz w:val="20"/>
                <w:szCs w:val="20"/>
              </w:rPr>
              <w:t>Rheumatoid arthritis</w:t>
            </w:r>
          </w:p>
        </w:tc>
      </w:tr>
      <w:tr w:rsidR="002123E1" w:rsidRPr="004F1EA4" w14:paraId="0CED59C2" w14:textId="341B841E" w:rsidTr="002123E1">
        <w:tc>
          <w:tcPr>
            <w:tcW w:w="5000" w:type="pct"/>
          </w:tcPr>
          <w:p w14:paraId="44C68F13" w14:textId="7A77DAF3" w:rsidR="002123E1" w:rsidRPr="004F1EA4" w:rsidRDefault="002123E1" w:rsidP="003852E7">
            <w:pPr>
              <w:pStyle w:val="Heading2"/>
              <w:spacing w:line="480" w:lineRule="auto"/>
              <w:jc w:val="both"/>
              <w:rPr>
                <w:b w:val="0"/>
                <w:sz w:val="20"/>
                <w:szCs w:val="20"/>
              </w:rPr>
            </w:pPr>
            <w:r w:rsidRPr="004F1EA4">
              <w:rPr>
                <w:b w:val="0"/>
                <w:sz w:val="20"/>
                <w:szCs w:val="20"/>
              </w:rPr>
              <w:t>In the 6-month and 24-month, controlled clinical studies, the rate of serious infections in the 5 mg twice daily tofacitinib monotherapy group was 1,7 patients with events per 100 patient-years. In the 10 mg twice daily tofacitinib monotherapy group the rate was 1,6 patients with events per 100 patient-years, the rate was 0 events per 100 patient-years for the placebo group, and the rate was 1,9 patients with events per 100 patient-years for the MTX group.</w:t>
            </w:r>
          </w:p>
        </w:tc>
      </w:tr>
      <w:tr w:rsidR="002123E1" w:rsidRPr="004F1EA4" w14:paraId="1873C67C" w14:textId="39E53CB6" w:rsidTr="002123E1">
        <w:tc>
          <w:tcPr>
            <w:tcW w:w="5000" w:type="pct"/>
          </w:tcPr>
          <w:p w14:paraId="26D2A655" w14:textId="77777777" w:rsidR="002123E1" w:rsidRPr="004F1EA4" w:rsidRDefault="002123E1" w:rsidP="003852E7">
            <w:pPr>
              <w:pStyle w:val="Heading2"/>
              <w:spacing w:line="480" w:lineRule="auto"/>
              <w:jc w:val="both"/>
              <w:rPr>
                <w:b w:val="0"/>
                <w:sz w:val="20"/>
                <w:szCs w:val="20"/>
              </w:rPr>
            </w:pPr>
          </w:p>
        </w:tc>
      </w:tr>
      <w:tr w:rsidR="002123E1" w:rsidRPr="004F1EA4" w14:paraId="62B7ADE5" w14:textId="638A28F8" w:rsidTr="002123E1">
        <w:tc>
          <w:tcPr>
            <w:tcW w:w="5000" w:type="pct"/>
          </w:tcPr>
          <w:p w14:paraId="795AC7A7" w14:textId="6B1B3252" w:rsidR="002123E1" w:rsidRPr="004F1EA4" w:rsidRDefault="002123E1" w:rsidP="003852E7">
            <w:pPr>
              <w:pStyle w:val="Heading2"/>
              <w:spacing w:line="480" w:lineRule="auto"/>
              <w:jc w:val="both"/>
              <w:rPr>
                <w:b w:val="0"/>
                <w:sz w:val="20"/>
                <w:szCs w:val="20"/>
              </w:rPr>
            </w:pPr>
            <w:r w:rsidRPr="004F1EA4">
              <w:rPr>
                <w:b w:val="0"/>
                <w:sz w:val="20"/>
                <w:szCs w:val="20"/>
              </w:rPr>
              <w:t xml:space="preserve">In studies of 6-, 12-, or 24-month duration, the rates of serious infections in the 5 mg twice daily and 10 mg twice daily tofacitinib plus DMARD groups were 3,6 and 3,4 patients with events per 100 patient-years, respectively, compared to 1,7 patients with events per 100 patient-years in the placebo plus DMARD group. </w:t>
            </w:r>
          </w:p>
        </w:tc>
      </w:tr>
      <w:tr w:rsidR="002123E1" w:rsidRPr="004F1EA4" w14:paraId="0D55C45E" w14:textId="682B1D5B" w:rsidTr="002123E1">
        <w:tc>
          <w:tcPr>
            <w:tcW w:w="5000" w:type="pct"/>
          </w:tcPr>
          <w:p w14:paraId="105E4DEC" w14:textId="77777777" w:rsidR="002123E1" w:rsidRPr="004F1EA4" w:rsidRDefault="002123E1" w:rsidP="003852E7">
            <w:pPr>
              <w:pStyle w:val="Heading2"/>
              <w:spacing w:line="480" w:lineRule="auto"/>
              <w:jc w:val="both"/>
              <w:rPr>
                <w:b w:val="0"/>
                <w:sz w:val="20"/>
                <w:szCs w:val="20"/>
              </w:rPr>
            </w:pPr>
          </w:p>
        </w:tc>
      </w:tr>
      <w:tr w:rsidR="002123E1" w:rsidRPr="004F1EA4" w14:paraId="624EE49D" w14:textId="26A3B5C2" w:rsidTr="002123E1">
        <w:trPr>
          <w:trHeight w:val="2609"/>
        </w:trPr>
        <w:tc>
          <w:tcPr>
            <w:tcW w:w="5000" w:type="pct"/>
          </w:tcPr>
          <w:p w14:paraId="3C1181BC" w14:textId="638E8FC1" w:rsidR="002123E1" w:rsidRPr="004F1EA4" w:rsidRDefault="002123E1" w:rsidP="003852E7">
            <w:pPr>
              <w:pStyle w:val="Heading2"/>
              <w:spacing w:line="480" w:lineRule="auto"/>
              <w:jc w:val="both"/>
              <w:rPr>
                <w:b w:val="0"/>
                <w:sz w:val="20"/>
                <w:szCs w:val="20"/>
              </w:rPr>
            </w:pPr>
            <w:r w:rsidRPr="004F1EA4">
              <w:rPr>
                <w:b w:val="0"/>
                <w:sz w:val="20"/>
                <w:szCs w:val="20"/>
              </w:rPr>
              <w:t>In the long-term safety all exposure population, the overall rates of serious infections were 2,4 and 3,0 patients with events per 100 patient-years for 5 mg and 10 mg twice daily tofacitinib groups, respectively. The most common serious infections included pneumonia, herpes zoster, urinary tract infection, cellulitis, gastroenteritis and diverticulitis. Cases of opportunistic infections have been reported (see section 4.4).</w:t>
            </w:r>
          </w:p>
        </w:tc>
      </w:tr>
      <w:tr w:rsidR="002123E1" w:rsidRPr="004F1EA4" w14:paraId="2B9DF158" w14:textId="385FC65E" w:rsidTr="002123E1">
        <w:tc>
          <w:tcPr>
            <w:tcW w:w="5000" w:type="pct"/>
          </w:tcPr>
          <w:p w14:paraId="5C6265BF" w14:textId="44A4147F" w:rsidR="002123E1" w:rsidRPr="00817838" w:rsidRDefault="002123E1" w:rsidP="003852E7">
            <w:pPr>
              <w:pStyle w:val="Heading2"/>
              <w:spacing w:line="480" w:lineRule="auto"/>
              <w:jc w:val="both"/>
              <w:rPr>
                <w:b w:val="0"/>
                <w:i/>
                <w:sz w:val="20"/>
                <w:szCs w:val="20"/>
              </w:rPr>
            </w:pPr>
            <w:r w:rsidRPr="00817838">
              <w:rPr>
                <w:b w:val="0"/>
                <w:i/>
                <w:sz w:val="20"/>
                <w:szCs w:val="20"/>
              </w:rPr>
              <w:t>Ulcerative colitis</w:t>
            </w:r>
          </w:p>
        </w:tc>
      </w:tr>
      <w:tr w:rsidR="002123E1" w:rsidRPr="004F1EA4" w14:paraId="36A58CE2" w14:textId="256029E3" w:rsidTr="002123E1">
        <w:tc>
          <w:tcPr>
            <w:tcW w:w="5000" w:type="pct"/>
          </w:tcPr>
          <w:p w14:paraId="7037F4C4" w14:textId="39DA46C4" w:rsidR="002123E1" w:rsidRPr="00817838" w:rsidRDefault="002123E1" w:rsidP="003852E7">
            <w:pPr>
              <w:pStyle w:val="Heading2"/>
              <w:spacing w:line="480" w:lineRule="auto"/>
              <w:jc w:val="both"/>
              <w:rPr>
                <w:b w:val="0"/>
                <w:sz w:val="20"/>
                <w:szCs w:val="20"/>
              </w:rPr>
            </w:pPr>
            <w:r w:rsidRPr="00817838">
              <w:rPr>
                <w:b w:val="0"/>
                <w:sz w:val="20"/>
                <w:szCs w:val="20"/>
              </w:rPr>
              <w:t xml:space="preserve">The incidence rates and types of serious infections in the UC clinical studies were generally </w:t>
            </w:r>
            <w:proofErr w:type="gramStart"/>
            <w:r w:rsidRPr="00817838">
              <w:rPr>
                <w:b w:val="0"/>
                <w:sz w:val="20"/>
                <w:szCs w:val="20"/>
              </w:rPr>
              <w:t>similar to</w:t>
            </w:r>
            <w:proofErr w:type="gramEnd"/>
            <w:r w:rsidRPr="00817838">
              <w:rPr>
                <w:b w:val="0"/>
                <w:sz w:val="20"/>
                <w:szCs w:val="20"/>
              </w:rPr>
              <w:t xml:space="preserve"> those reported in RA clinical studies with tofacitinib monotherapy treatment groups.</w:t>
            </w:r>
          </w:p>
        </w:tc>
      </w:tr>
      <w:tr w:rsidR="002123E1" w:rsidRPr="004F1EA4" w14:paraId="76E819BD" w14:textId="5A5A613A" w:rsidTr="002123E1">
        <w:tc>
          <w:tcPr>
            <w:tcW w:w="5000" w:type="pct"/>
          </w:tcPr>
          <w:p w14:paraId="2A88A8F3" w14:textId="77777777" w:rsidR="002123E1" w:rsidRDefault="002123E1" w:rsidP="003852E7">
            <w:pPr>
              <w:pStyle w:val="Heading2"/>
              <w:spacing w:line="480" w:lineRule="auto"/>
              <w:jc w:val="both"/>
              <w:rPr>
                <w:b w:val="0"/>
                <w:sz w:val="20"/>
                <w:szCs w:val="20"/>
              </w:rPr>
            </w:pPr>
          </w:p>
          <w:p w14:paraId="6BB69FD6" w14:textId="77777777" w:rsidR="002123E1" w:rsidRDefault="002123E1" w:rsidP="002123E1">
            <w:pPr>
              <w:rPr>
                <w:lang w:val="en-GB"/>
              </w:rPr>
            </w:pPr>
          </w:p>
          <w:p w14:paraId="5E429418" w14:textId="57C640F3" w:rsidR="002123E1" w:rsidRPr="002123E1" w:rsidRDefault="002123E1" w:rsidP="002123E1">
            <w:pPr>
              <w:rPr>
                <w:lang w:val="en-GB"/>
              </w:rPr>
            </w:pPr>
          </w:p>
        </w:tc>
      </w:tr>
      <w:tr w:rsidR="002123E1" w:rsidRPr="004F1EA4" w14:paraId="5882BE41" w14:textId="305C6CEF" w:rsidTr="002123E1">
        <w:tc>
          <w:tcPr>
            <w:tcW w:w="5000" w:type="pct"/>
          </w:tcPr>
          <w:p w14:paraId="4C6D0A87" w14:textId="2FE4416C" w:rsidR="002123E1" w:rsidRPr="004F1EA4" w:rsidRDefault="002123E1" w:rsidP="003852E7">
            <w:pPr>
              <w:pStyle w:val="Heading2"/>
              <w:spacing w:line="480" w:lineRule="auto"/>
              <w:jc w:val="both"/>
              <w:rPr>
                <w:b w:val="0"/>
                <w:i/>
                <w:sz w:val="20"/>
                <w:szCs w:val="20"/>
              </w:rPr>
            </w:pPr>
            <w:r w:rsidRPr="004F1EA4">
              <w:rPr>
                <w:b w:val="0"/>
                <w:i/>
                <w:sz w:val="20"/>
                <w:szCs w:val="20"/>
              </w:rPr>
              <w:lastRenderedPageBreak/>
              <w:t>Serious infections in the elderly</w:t>
            </w:r>
          </w:p>
        </w:tc>
      </w:tr>
      <w:tr w:rsidR="002123E1" w:rsidRPr="004F1EA4" w14:paraId="70C3304B" w14:textId="7DCA1483" w:rsidTr="002123E1">
        <w:tc>
          <w:tcPr>
            <w:tcW w:w="5000" w:type="pct"/>
          </w:tcPr>
          <w:p w14:paraId="413196DA" w14:textId="3C82DDDE" w:rsidR="002123E1" w:rsidRPr="004F1EA4" w:rsidRDefault="002123E1" w:rsidP="003852E7">
            <w:pPr>
              <w:pStyle w:val="Heading2"/>
              <w:spacing w:line="480" w:lineRule="auto"/>
              <w:jc w:val="both"/>
              <w:rPr>
                <w:b w:val="0"/>
                <w:sz w:val="20"/>
                <w:szCs w:val="20"/>
              </w:rPr>
            </w:pPr>
            <w:r w:rsidRPr="004F1EA4">
              <w:rPr>
                <w:b w:val="0"/>
                <w:sz w:val="20"/>
                <w:szCs w:val="20"/>
              </w:rPr>
              <w:t>Of the 4 271 patients who enrolled in RA studies I-VI (see section 5.1), a total of 608 RA patients were 65 years of age and older, including 85 patients 75 years and older. The frequency of serious infection among tofacitinib-treated patients 65 years of age and older was higher than those under the age of 65 (4,8 per 100 patient-years versus 2,4 per 100 patient-years, respectively). As there is a higher incidence of infections in the elderly population in general, caution should be used when treating the elderly (see section 4.4).</w:t>
            </w:r>
          </w:p>
        </w:tc>
      </w:tr>
      <w:tr w:rsidR="002123E1" w:rsidRPr="004F1EA4" w14:paraId="2E62950A" w14:textId="2DCF74B4" w:rsidTr="002123E1">
        <w:tc>
          <w:tcPr>
            <w:tcW w:w="5000" w:type="pct"/>
          </w:tcPr>
          <w:p w14:paraId="3CB47C13" w14:textId="77777777" w:rsidR="002123E1" w:rsidRPr="004F1EA4" w:rsidRDefault="002123E1" w:rsidP="003852E7">
            <w:pPr>
              <w:pStyle w:val="Heading2"/>
              <w:spacing w:line="480" w:lineRule="auto"/>
              <w:jc w:val="both"/>
              <w:rPr>
                <w:b w:val="0"/>
                <w:sz w:val="20"/>
                <w:szCs w:val="20"/>
              </w:rPr>
            </w:pPr>
          </w:p>
        </w:tc>
      </w:tr>
      <w:tr w:rsidR="002123E1" w:rsidRPr="004F1EA4" w14:paraId="17C0F459" w14:textId="0A85B0BA" w:rsidTr="002123E1">
        <w:tc>
          <w:tcPr>
            <w:tcW w:w="5000" w:type="pct"/>
          </w:tcPr>
          <w:p w14:paraId="6A5D04CC" w14:textId="10A3C8D2" w:rsidR="002123E1" w:rsidRPr="004F1EA4" w:rsidRDefault="002123E1" w:rsidP="003852E7">
            <w:pPr>
              <w:pStyle w:val="Heading2"/>
              <w:spacing w:line="480" w:lineRule="auto"/>
              <w:jc w:val="both"/>
              <w:rPr>
                <w:b w:val="0"/>
                <w:i/>
                <w:sz w:val="20"/>
                <w:szCs w:val="20"/>
              </w:rPr>
            </w:pPr>
            <w:r w:rsidRPr="004F1EA4">
              <w:rPr>
                <w:b w:val="0"/>
                <w:i/>
                <w:sz w:val="20"/>
                <w:szCs w:val="20"/>
              </w:rPr>
              <w:t>Viral reactivation</w:t>
            </w:r>
          </w:p>
        </w:tc>
      </w:tr>
      <w:tr w:rsidR="002123E1" w:rsidRPr="004F1EA4" w14:paraId="72039691" w14:textId="44CD11CC" w:rsidTr="002123E1">
        <w:tc>
          <w:tcPr>
            <w:tcW w:w="5000" w:type="pct"/>
          </w:tcPr>
          <w:p w14:paraId="09EA17EF" w14:textId="72D68B68" w:rsidR="002123E1" w:rsidRPr="004F1EA4" w:rsidRDefault="002123E1" w:rsidP="003852E7">
            <w:pPr>
              <w:pStyle w:val="Heading2"/>
              <w:spacing w:line="480" w:lineRule="auto"/>
              <w:jc w:val="both"/>
              <w:rPr>
                <w:b w:val="0"/>
                <w:sz w:val="20"/>
                <w:szCs w:val="20"/>
              </w:rPr>
            </w:pPr>
            <w:r>
              <w:rPr>
                <w:b w:val="0"/>
                <w:sz w:val="20"/>
                <w:szCs w:val="20"/>
              </w:rPr>
              <w:t>P</w:t>
            </w:r>
            <w:r w:rsidRPr="004F1EA4">
              <w:rPr>
                <w:b w:val="0"/>
                <w:sz w:val="20"/>
                <w:szCs w:val="20"/>
              </w:rPr>
              <w:t>atients with long standing RA who have previously received two or more biological DMARDs, or patients with an ALC less than 1 000 cells/mm</w:t>
            </w:r>
            <w:r w:rsidRPr="004F1EA4">
              <w:rPr>
                <w:b w:val="0"/>
                <w:sz w:val="20"/>
                <w:szCs w:val="20"/>
                <w:vertAlign w:val="superscript"/>
              </w:rPr>
              <w:t>3</w:t>
            </w:r>
            <w:r w:rsidRPr="004F1EA4">
              <w:rPr>
                <w:b w:val="0"/>
                <w:sz w:val="20"/>
                <w:szCs w:val="20"/>
              </w:rPr>
              <w:t>, or patients treated with 10 mg twice daily may have an increased risk of herpes zoster (see section 4.4).</w:t>
            </w:r>
          </w:p>
        </w:tc>
      </w:tr>
      <w:tr w:rsidR="002123E1" w:rsidRPr="004F1EA4" w14:paraId="1B8893EB" w14:textId="0725FFE8" w:rsidTr="002123E1">
        <w:tc>
          <w:tcPr>
            <w:tcW w:w="5000" w:type="pct"/>
          </w:tcPr>
          <w:p w14:paraId="42C28FE0" w14:textId="77777777" w:rsidR="002123E1" w:rsidRPr="004F1EA4" w:rsidRDefault="002123E1" w:rsidP="003852E7">
            <w:pPr>
              <w:pStyle w:val="Heading2"/>
              <w:spacing w:line="480" w:lineRule="auto"/>
              <w:jc w:val="both"/>
              <w:rPr>
                <w:b w:val="0"/>
                <w:sz w:val="20"/>
                <w:szCs w:val="20"/>
              </w:rPr>
            </w:pPr>
          </w:p>
        </w:tc>
      </w:tr>
      <w:tr w:rsidR="002123E1" w:rsidRPr="004F1EA4" w14:paraId="6D557D0F" w14:textId="741B9FC6" w:rsidTr="002123E1">
        <w:tc>
          <w:tcPr>
            <w:tcW w:w="5000" w:type="pct"/>
          </w:tcPr>
          <w:p w14:paraId="39DA6FF9" w14:textId="46908185" w:rsidR="002123E1" w:rsidRPr="00B96C39" w:rsidRDefault="002123E1" w:rsidP="003852E7">
            <w:pPr>
              <w:pStyle w:val="Heading2"/>
              <w:spacing w:line="480" w:lineRule="auto"/>
              <w:jc w:val="both"/>
              <w:rPr>
                <w:b w:val="0"/>
                <w:i/>
                <w:sz w:val="20"/>
                <w:szCs w:val="20"/>
              </w:rPr>
            </w:pPr>
            <w:r w:rsidRPr="00B96C39">
              <w:rPr>
                <w:b w:val="0"/>
                <w:i/>
                <w:sz w:val="20"/>
                <w:szCs w:val="20"/>
              </w:rPr>
              <w:t>Laboratory tests</w:t>
            </w:r>
          </w:p>
        </w:tc>
      </w:tr>
      <w:tr w:rsidR="002123E1" w:rsidRPr="004F1EA4" w14:paraId="68AE693C" w14:textId="7AC0849D" w:rsidTr="002123E1">
        <w:tc>
          <w:tcPr>
            <w:tcW w:w="5000" w:type="pct"/>
          </w:tcPr>
          <w:p w14:paraId="3590F1A5" w14:textId="2A3DF71E" w:rsidR="002123E1" w:rsidRPr="00B96C39" w:rsidRDefault="002123E1" w:rsidP="003852E7">
            <w:pPr>
              <w:pStyle w:val="Heading2"/>
              <w:spacing w:line="480" w:lineRule="auto"/>
              <w:jc w:val="both"/>
              <w:rPr>
                <w:b w:val="0"/>
                <w:i/>
                <w:sz w:val="20"/>
                <w:szCs w:val="20"/>
              </w:rPr>
            </w:pPr>
            <w:r w:rsidRPr="00B96C39">
              <w:rPr>
                <w:b w:val="0"/>
                <w:i/>
                <w:sz w:val="20"/>
                <w:szCs w:val="20"/>
              </w:rPr>
              <w:t>Lymphocytes</w:t>
            </w:r>
          </w:p>
        </w:tc>
      </w:tr>
      <w:tr w:rsidR="002123E1" w:rsidRPr="004F1EA4" w14:paraId="1371E350" w14:textId="62AA3D5A" w:rsidTr="002123E1">
        <w:tc>
          <w:tcPr>
            <w:tcW w:w="5000" w:type="pct"/>
          </w:tcPr>
          <w:p w14:paraId="07322F42" w14:textId="3F72E3E1" w:rsidR="002123E1" w:rsidRPr="00B96C39" w:rsidRDefault="002123E1" w:rsidP="003852E7">
            <w:pPr>
              <w:pStyle w:val="Heading2"/>
              <w:spacing w:line="480" w:lineRule="auto"/>
              <w:jc w:val="both"/>
              <w:rPr>
                <w:b w:val="0"/>
                <w:sz w:val="20"/>
                <w:szCs w:val="20"/>
              </w:rPr>
            </w:pPr>
            <w:r w:rsidRPr="00B96C39">
              <w:rPr>
                <w:b w:val="0"/>
                <w:sz w:val="20"/>
                <w:szCs w:val="20"/>
              </w:rPr>
              <w:t>In the controlled RA clinical studies, confirmed decreases in ALC below 500 cells/mm</w:t>
            </w:r>
            <w:r w:rsidRPr="00B96C39">
              <w:rPr>
                <w:b w:val="0"/>
                <w:sz w:val="20"/>
                <w:szCs w:val="20"/>
                <w:vertAlign w:val="superscript"/>
              </w:rPr>
              <w:t>3</w:t>
            </w:r>
            <w:r w:rsidRPr="00B96C39">
              <w:rPr>
                <w:b w:val="0"/>
                <w:sz w:val="20"/>
                <w:szCs w:val="20"/>
              </w:rPr>
              <w:t xml:space="preserve"> occurred in 0,3 % of patients and for ALC between 500 and 750 cells/mm</w:t>
            </w:r>
            <w:r w:rsidRPr="00B96C39">
              <w:rPr>
                <w:b w:val="0"/>
                <w:sz w:val="20"/>
                <w:szCs w:val="20"/>
                <w:vertAlign w:val="superscript"/>
              </w:rPr>
              <w:t xml:space="preserve">3 </w:t>
            </w:r>
            <w:r w:rsidRPr="00B96C39">
              <w:rPr>
                <w:b w:val="0"/>
                <w:sz w:val="20"/>
                <w:szCs w:val="20"/>
              </w:rPr>
              <w:t>in 1,9 % of patients for the 5 mg twice daily and 10 mg twice daily doses combined.</w:t>
            </w:r>
          </w:p>
        </w:tc>
      </w:tr>
      <w:tr w:rsidR="002123E1" w:rsidRPr="004F1EA4" w14:paraId="2E20B59F" w14:textId="063D9B8A" w:rsidTr="002123E1">
        <w:tc>
          <w:tcPr>
            <w:tcW w:w="5000" w:type="pct"/>
          </w:tcPr>
          <w:p w14:paraId="63E6E2D7" w14:textId="77777777" w:rsidR="002123E1" w:rsidRPr="00B96C39" w:rsidRDefault="002123E1" w:rsidP="003852E7">
            <w:pPr>
              <w:pStyle w:val="Heading2"/>
              <w:spacing w:line="480" w:lineRule="auto"/>
              <w:jc w:val="both"/>
              <w:rPr>
                <w:b w:val="0"/>
                <w:sz w:val="20"/>
                <w:szCs w:val="20"/>
              </w:rPr>
            </w:pPr>
          </w:p>
        </w:tc>
      </w:tr>
      <w:tr w:rsidR="002123E1" w:rsidRPr="004F1EA4" w14:paraId="7CF3EF61" w14:textId="72D3F2B1" w:rsidTr="002123E1">
        <w:tc>
          <w:tcPr>
            <w:tcW w:w="5000" w:type="pct"/>
          </w:tcPr>
          <w:p w14:paraId="71BC2E73" w14:textId="650E3F8C" w:rsidR="002123E1" w:rsidRPr="00B96C39" w:rsidRDefault="002123E1" w:rsidP="003852E7">
            <w:pPr>
              <w:pStyle w:val="Heading2"/>
              <w:spacing w:line="480" w:lineRule="auto"/>
              <w:jc w:val="both"/>
              <w:rPr>
                <w:b w:val="0"/>
                <w:sz w:val="20"/>
                <w:szCs w:val="20"/>
              </w:rPr>
            </w:pPr>
            <w:r w:rsidRPr="00B96C39">
              <w:rPr>
                <w:b w:val="0"/>
                <w:sz w:val="20"/>
                <w:szCs w:val="20"/>
              </w:rPr>
              <w:t>In the RA long-term safety population, confirmed decreases in ALC below 500 cells/mm</w:t>
            </w:r>
            <w:r w:rsidRPr="00B96C39">
              <w:rPr>
                <w:b w:val="0"/>
                <w:sz w:val="20"/>
                <w:szCs w:val="20"/>
                <w:vertAlign w:val="superscript"/>
              </w:rPr>
              <w:t>3</w:t>
            </w:r>
            <w:r w:rsidRPr="00B96C39">
              <w:rPr>
                <w:b w:val="0"/>
                <w:sz w:val="20"/>
                <w:szCs w:val="20"/>
              </w:rPr>
              <w:t xml:space="preserve"> occurred in 1,3 % of patients and for ALC between 500 and 750 cells/mm</w:t>
            </w:r>
            <w:r w:rsidRPr="00B96C39">
              <w:rPr>
                <w:b w:val="0"/>
                <w:sz w:val="20"/>
                <w:szCs w:val="20"/>
                <w:vertAlign w:val="superscript"/>
              </w:rPr>
              <w:t>3</w:t>
            </w:r>
            <w:r w:rsidRPr="00B96C39">
              <w:rPr>
                <w:b w:val="0"/>
                <w:sz w:val="20"/>
                <w:szCs w:val="20"/>
              </w:rPr>
              <w:t xml:space="preserve"> in 8,4 % of patients for the 5 mg twice daily and 10 mg twice daily doses combined.</w:t>
            </w:r>
          </w:p>
        </w:tc>
      </w:tr>
      <w:tr w:rsidR="002123E1" w:rsidRPr="004F1EA4" w14:paraId="60873548" w14:textId="06647756" w:rsidTr="002123E1">
        <w:tc>
          <w:tcPr>
            <w:tcW w:w="5000" w:type="pct"/>
          </w:tcPr>
          <w:p w14:paraId="4A40154E" w14:textId="77777777" w:rsidR="002123E1" w:rsidRPr="004F1EA4" w:rsidRDefault="002123E1" w:rsidP="003852E7">
            <w:pPr>
              <w:pStyle w:val="Heading2"/>
              <w:spacing w:line="480" w:lineRule="auto"/>
              <w:jc w:val="both"/>
              <w:rPr>
                <w:b w:val="0"/>
                <w:sz w:val="20"/>
                <w:szCs w:val="20"/>
              </w:rPr>
            </w:pPr>
          </w:p>
        </w:tc>
      </w:tr>
      <w:tr w:rsidR="002123E1" w:rsidRPr="004F1EA4" w14:paraId="5D4C503E" w14:textId="38D078E3" w:rsidTr="002123E1">
        <w:tc>
          <w:tcPr>
            <w:tcW w:w="5000" w:type="pct"/>
          </w:tcPr>
          <w:p w14:paraId="5CC0B01C" w14:textId="73FB3D53" w:rsidR="002123E1" w:rsidRPr="003D1E00" w:rsidRDefault="002123E1" w:rsidP="003852E7">
            <w:pPr>
              <w:pStyle w:val="Heading2"/>
              <w:spacing w:line="480" w:lineRule="auto"/>
              <w:jc w:val="both"/>
              <w:rPr>
                <w:b w:val="0"/>
                <w:sz w:val="20"/>
                <w:szCs w:val="20"/>
              </w:rPr>
            </w:pPr>
            <w:r w:rsidRPr="003D1E00">
              <w:rPr>
                <w:b w:val="0"/>
                <w:sz w:val="20"/>
                <w:szCs w:val="20"/>
              </w:rPr>
              <w:t>Confirmed ALC less than 750 cells/mm</w:t>
            </w:r>
            <w:r w:rsidRPr="003D1E00">
              <w:rPr>
                <w:b w:val="0"/>
                <w:sz w:val="20"/>
                <w:szCs w:val="20"/>
                <w:vertAlign w:val="superscript"/>
              </w:rPr>
              <w:t>3</w:t>
            </w:r>
            <w:r w:rsidRPr="003D1E00">
              <w:rPr>
                <w:b w:val="0"/>
                <w:sz w:val="20"/>
                <w:szCs w:val="20"/>
              </w:rPr>
              <w:t xml:space="preserve"> were associated with an increased incidence of serious infections (see section 4.4).</w:t>
            </w:r>
          </w:p>
        </w:tc>
      </w:tr>
      <w:tr w:rsidR="002123E1" w:rsidRPr="004F1EA4" w14:paraId="7AD8E9EB" w14:textId="7CFD38A2" w:rsidTr="002123E1">
        <w:tc>
          <w:tcPr>
            <w:tcW w:w="5000" w:type="pct"/>
          </w:tcPr>
          <w:p w14:paraId="40C796C9" w14:textId="77777777" w:rsidR="002123E1" w:rsidRPr="003D1E00" w:rsidRDefault="002123E1" w:rsidP="003852E7">
            <w:pPr>
              <w:pStyle w:val="Heading2"/>
              <w:spacing w:line="480" w:lineRule="auto"/>
              <w:jc w:val="both"/>
              <w:rPr>
                <w:b w:val="0"/>
                <w:sz w:val="20"/>
                <w:szCs w:val="20"/>
              </w:rPr>
            </w:pPr>
          </w:p>
        </w:tc>
      </w:tr>
      <w:tr w:rsidR="002123E1" w:rsidRPr="004F1EA4" w14:paraId="4A85D667" w14:textId="5C8656D4" w:rsidTr="002123E1">
        <w:tc>
          <w:tcPr>
            <w:tcW w:w="5000" w:type="pct"/>
          </w:tcPr>
          <w:p w14:paraId="1E33F11A" w14:textId="2CDA167D" w:rsidR="002123E1" w:rsidRPr="003D1E00" w:rsidRDefault="002123E1" w:rsidP="003852E7">
            <w:pPr>
              <w:pStyle w:val="Heading2"/>
              <w:spacing w:line="480" w:lineRule="auto"/>
              <w:jc w:val="both"/>
              <w:rPr>
                <w:b w:val="0"/>
                <w:sz w:val="20"/>
                <w:szCs w:val="20"/>
              </w:rPr>
            </w:pPr>
            <w:r w:rsidRPr="003D1E00">
              <w:rPr>
                <w:b w:val="0"/>
                <w:sz w:val="20"/>
                <w:szCs w:val="20"/>
              </w:rPr>
              <w:t xml:space="preserve">In the clinical studies in UC, changes in ALC observed with tofacitinib treatment were </w:t>
            </w:r>
            <w:proofErr w:type="gramStart"/>
            <w:r w:rsidRPr="003D1E00">
              <w:rPr>
                <w:b w:val="0"/>
                <w:sz w:val="20"/>
                <w:szCs w:val="20"/>
              </w:rPr>
              <w:t>similar to</w:t>
            </w:r>
            <w:proofErr w:type="gramEnd"/>
            <w:r w:rsidRPr="003D1E00">
              <w:rPr>
                <w:b w:val="0"/>
                <w:sz w:val="20"/>
                <w:szCs w:val="20"/>
              </w:rPr>
              <w:t xml:space="preserve"> the changes observed in clinical studies in RA.</w:t>
            </w:r>
          </w:p>
        </w:tc>
      </w:tr>
      <w:tr w:rsidR="002123E1" w:rsidRPr="004F1EA4" w14:paraId="3B7F0353" w14:textId="1B327CAB" w:rsidTr="002123E1">
        <w:tc>
          <w:tcPr>
            <w:tcW w:w="5000" w:type="pct"/>
          </w:tcPr>
          <w:p w14:paraId="2BB91470" w14:textId="3CEFB85D" w:rsidR="002123E1" w:rsidRPr="00066272" w:rsidRDefault="002123E1" w:rsidP="003852E7">
            <w:pPr>
              <w:pStyle w:val="Heading2"/>
              <w:spacing w:line="480" w:lineRule="auto"/>
              <w:jc w:val="both"/>
              <w:rPr>
                <w:b w:val="0"/>
                <w:sz w:val="20"/>
                <w:szCs w:val="20"/>
                <w:highlight w:val="yellow"/>
              </w:rPr>
            </w:pPr>
          </w:p>
        </w:tc>
      </w:tr>
      <w:tr w:rsidR="002123E1" w:rsidRPr="004F1EA4" w14:paraId="3A1BF939" w14:textId="4C7D2329" w:rsidTr="002123E1">
        <w:tc>
          <w:tcPr>
            <w:tcW w:w="5000" w:type="pct"/>
          </w:tcPr>
          <w:p w14:paraId="689FA591" w14:textId="12B1CA53" w:rsidR="002123E1" w:rsidRPr="004F1EA4" w:rsidRDefault="002123E1" w:rsidP="003852E7">
            <w:pPr>
              <w:pStyle w:val="Heading2"/>
              <w:spacing w:line="480" w:lineRule="auto"/>
              <w:jc w:val="both"/>
              <w:rPr>
                <w:b w:val="0"/>
                <w:i/>
                <w:sz w:val="20"/>
                <w:szCs w:val="20"/>
              </w:rPr>
            </w:pPr>
            <w:r w:rsidRPr="004F1EA4">
              <w:rPr>
                <w:b w:val="0"/>
                <w:i/>
                <w:sz w:val="20"/>
                <w:szCs w:val="20"/>
              </w:rPr>
              <w:lastRenderedPageBreak/>
              <w:t>Neutrophils</w:t>
            </w:r>
          </w:p>
        </w:tc>
      </w:tr>
      <w:tr w:rsidR="002123E1" w:rsidRPr="004F1EA4" w14:paraId="67903774" w14:textId="4F5F500A" w:rsidTr="002123E1">
        <w:tc>
          <w:tcPr>
            <w:tcW w:w="5000" w:type="pct"/>
          </w:tcPr>
          <w:p w14:paraId="7DD0C8DA" w14:textId="4A475A45" w:rsidR="002123E1" w:rsidRPr="004F1EA4" w:rsidRDefault="002123E1" w:rsidP="003852E7">
            <w:pPr>
              <w:pStyle w:val="Heading2"/>
              <w:spacing w:line="480" w:lineRule="auto"/>
              <w:jc w:val="both"/>
              <w:rPr>
                <w:b w:val="0"/>
                <w:i/>
                <w:sz w:val="20"/>
                <w:szCs w:val="20"/>
              </w:rPr>
            </w:pPr>
            <w:r w:rsidRPr="004F1EA4">
              <w:rPr>
                <w:b w:val="0"/>
                <w:sz w:val="20"/>
                <w:szCs w:val="20"/>
              </w:rPr>
              <w:t>In the controlled RA clinical studies, confirmed decreases in ANC below 1 000 cells/mm</w:t>
            </w:r>
            <w:r w:rsidRPr="004F1EA4">
              <w:rPr>
                <w:b w:val="0"/>
                <w:sz w:val="20"/>
                <w:szCs w:val="20"/>
                <w:vertAlign w:val="superscript"/>
              </w:rPr>
              <w:t>3</w:t>
            </w:r>
            <w:r w:rsidRPr="004F1EA4">
              <w:rPr>
                <w:b w:val="0"/>
                <w:sz w:val="20"/>
                <w:szCs w:val="20"/>
              </w:rPr>
              <w:t xml:space="preserve"> occurred in 0,08 % of patients for the 5 mg twice daily and 10 mg twice daily doses combined. There were no confirmed decreases in ANC below 500 cells/mm</w:t>
            </w:r>
            <w:r w:rsidRPr="004F1EA4">
              <w:rPr>
                <w:b w:val="0"/>
                <w:sz w:val="20"/>
                <w:szCs w:val="20"/>
                <w:vertAlign w:val="superscript"/>
              </w:rPr>
              <w:t xml:space="preserve">3 </w:t>
            </w:r>
            <w:r w:rsidRPr="004F1EA4">
              <w:rPr>
                <w:b w:val="0"/>
                <w:sz w:val="20"/>
                <w:szCs w:val="20"/>
              </w:rPr>
              <w:t>observed in any treatment group. There was no clear relationship between neutropenia and the occurrence of serious infections.</w:t>
            </w:r>
          </w:p>
        </w:tc>
      </w:tr>
      <w:tr w:rsidR="002123E1" w:rsidRPr="004F1EA4" w14:paraId="7C643DF4" w14:textId="716E0D3F" w:rsidTr="002123E1">
        <w:tc>
          <w:tcPr>
            <w:tcW w:w="5000" w:type="pct"/>
          </w:tcPr>
          <w:p w14:paraId="7B12D7BA" w14:textId="77777777" w:rsidR="002123E1" w:rsidRPr="004F1EA4" w:rsidRDefault="002123E1" w:rsidP="003852E7">
            <w:pPr>
              <w:pStyle w:val="Heading2"/>
              <w:spacing w:line="480" w:lineRule="auto"/>
              <w:jc w:val="both"/>
              <w:rPr>
                <w:b w:val="0"/>
                <w:sz w:val="20"/>
                <w:szCs w:val="20"/>
              </w:rPr>
            </w:pPr>
          </w:p>
        </w:tc>
      </w:tr>
      <w:tr w:rsidR="002123E1" w:rsidRPr="004F1EA4" w14:paraId="13F340BF" w14:textId="465264E2" w:rsidTr="002123E1">
        <w:tc>
          <w:tcPr>
            <w:tcW w:w="5000" w:type="pct"/>
          </w:tcPr>
          <w:p w14:paraId="33D0A1F1" w14:textId="513645DD" w:rsidR="002123E1" w:rsidRPr="004F1EA4" w:rsidRDefault="002123E1" w:rsidP="003852E7">
            <w:pPr>
              <w:pStyle w:val="Heading2"/>
              <w:spacing w:line="480" w:lineRule="auto"/>
              <w:jc w:val="both"/>
              <w:rPr>
                <w:b w:val="0"/>
                <w:sz w:val="20"/>
                <w:szCs w:val="20"/>
              </w:rPr>
            </w:pPr>
            <w:r w:rsidRPr="004F1EA4">
              <w:rPr>
                <w:b w:val="0"/>
                <w:sz w:val="20"/>
                <w:szCs w:val="20"/>
              </w:rPr>
              <w:t>In the RA long-term safety population, the pattern and incidence of confirmed decreases in ANC remained consistent with what was seen in the controlled clinical studies (see section 4.4).</w:t>
            </w:r>
          </w:p>
        </w:tc>
      </w:tr>
      <w:tr w:rsidR="002123E1" w:rsidRPr="004F1EA4" w14:paraId="181206DC" w14:textId="0F53DFAF" w:rsidTr="002123E1">
        <w:tc>
          <w:tcPr>
            <w:tcW w:w="5000" w:type="pct"/>
          </w:tcPr>
          <w:p w14:paraId="6037ECAB" w14:textId="77777777" w:rsidR="002123E1" w:rsidRPr="004F1EA4" w:rsidRDefault="002123E1" w:rsidP="003852E7">
            <w:pPr>
              <w:pStyle w:val="Heading2"/>
              <w:spacing w:line="480" w:lineRule="auto"/>
              <w:jc w:val="both"/>
              <w:rPr>
                <w:b w:val="0"/>
                <w:sz w:val="20"/>
                <w:szCs w:val="20"/>
              </w:rPr>
            </w:pPr>
          </w:p>
        </w:tc>
      </w:tr>
      <w:tr w:rsidR="002123E1" w:rsidRPr="004F1EA4" w14:paraId="32BC0A14" w14:textId="17AF73F0" w:rsidTr="002123E1">
        <w:tc>
          <w:tcPr>
            <w:tcW w:w="5000" w:type="pct"/>
          </w:tcPr>
          <w:p w14:paraId="43AC380D" w14:textId="010D8576" w:rsidR="002123E1" w:rsidRPr="00066272" w:rsidRDefault="002123E1" w:rsidP="003852E7">
            <w:pPr>
              <w:pStyle w:val="Heading2"/>
              <w:spacing w:line="480" w:lineRule="auto"/>
              <w:jc w:val="both"/>
              <w:rPr>
                <w:b w:val="0"/>
                <w:sz w:val="20"/>
                <w:szCs w:val="20"/>
                <w:highlight w:val="yellow"/>
              </w:rPr>
            </w:pPr>
            <w:r w:rsidRPr="00674168">
              <w:rPr>
                <w:b w:val="0"/>
                <w:sz w:val="20"/>
                <w:szCs w:val="20"/>
              </w:rPr>
              <w:t xml:space="preserve">In the clinical studies in UC, changes in ANC observed with tofacitinib treatment were </w:t>
            </w:r>
            <w:proofErr w:type="gramStart"/>
            <w:r w:rsidRPr="00674168">
              <w:rPr>
                <w:b w:val="0"/>
                <w:sz w:val="20"/>
                <w:szCs w:val="20"/>
              </w:rPr>
              <w:t>similar to</w:t>
            </w:r>
            <w:proofErr w:type="gramEnd"/>
            <w:r w:rsidRPr="00674168">
              <w:rPr>
                <w:b w:val="0"/>
                <w:sz w:val="20"/>
                <w:szCs w:val="20"/>
              </w:rPr>
              <w:t xml:space="preserve"> the changes observed in clinical studies in RA.</w:t>
            </w:r>
          </w:p>
        </w:tc>
      </w:tr>
      <w:tr w:rsidR="002123E1" w:rsidRPr="004F1EA4" w14:paraId="6C9D837C" w14:textId="22DDB6C0" w:rsidTr="002123E1">
        <w:tc>
          <w:tcPr>
            <w:tcW w:w="5000" w:type="pct"/>
          </w:tcPr>
          <w:p w14:paraId="20F15733" w14:textId="77777777" w:rsidR="002123E1" w:rsidRPr="004F1EA4" w:rsidRDefault="002123E1" w:rsidP="003852E7">
            <w:pPr>
              <w:pStyle w:val="Heading2"/>
              <w:spacing w:line="480" w:lineRule="auto"/>
              <w:jc w:val="both"/>
              <w:rPr>
                <w:b w:val="0"/>
                <w:sz w:val="20"/>
                <w:szCs w:val="20"/>
              </w:rPr>
            </w:pPr>
          </w:p>
        </w:tc>
      </w:tr>
      <w:tr w:rsidR="002123E1" w:rsidRPr="004F1EA4" w14:paraId="10066CE8" w14:textId="7DF5568E" w:rsidTr="002123E1">
        <w:tc>
          <w:tcPr>
            <w:tcW w:w="5000" w:type="pct"/>
          </w:tcPr>
          <w:p w14:paraId="4C9656DC" w14:textId="7F6C00D1" w:rsidR="002123E1" w:rsidRPr="004F1EA4" w:rsidRDefault="002123E1" w:rsidP="003852E7">
            <w:pPr>
              <w:pStyle w:val="Heading2"/>
              <w:spacing w:line="480" w:lineRule="auto"/>
              <w:jc w:val="both"/>
              <w:rPr>
                <w:b w:val="0"/>
                <w:i/>
                <w:sz w:val="20"/>
                <w:szCs w:val="20"/>
              </w:rPr>
            </w:pPr>
            <w:r w:rsidRPr="004F1EA4">
              <w:rPr>
                <w:b w:val="0"/>
                <w:i/>
                <w:sz w:val="20"/>
                <w:szCs w:val="20"/>
              </w:rPr>
              <w:t>Liver enzyme tests</w:t>
            </w:r>
          </w:p>
        </w:tc>
      </w:tr>
      <w:tr w:rsidR="002123E1" w:rsidRPr="004F1EA4" w14:paraId="5D1272DE" w14:textId="3A0E6D2C" w:rsidTr="002123E1">
        <w:tc>
          <w:tcPr>
            <w:tcW w:w="5000" w:type="pct"/>
          </w:tcPr>
          <w:p w14:paraId="01939F78" w14:textId="2D9E0909" w:rsidR="002123E1" w:rsidRPr="004F1EA4" w:rsidRDefault="002123E1" w:rsidP="003852E7">
            <w:pPr>
              <w:pStyle w:val="Heading2"/>
              <w:spacing w:line="480" w:lineRule="auto"/>
              <w:jc w:val="both"/>
              <w:rPr>
                <w:b w:val="0"/>
                <w:sz w:val="20"/>
                <w:szCs w:val="20"/>
              </w:rPr>
            </w:pPr>
            <w:r w:rsidRPr="004F1EA4">
              <w:rPr>
                <w:b w:val="0"/>
                <w:sz w:val="20"/>
                <w:szCs w:val="20"/>
              </w:rPr>
              <w:t>Confirmed increases in liver enzymes greater than 3 times the upper limit of normal (3x ULN) were uncommonly observed in RA patients. In those patients experiencing liver enzyme elevation, modification of treatment regimen, such as reduction in the dose of concomitant DMARD, interruption of tofacitinib, or</w:t>
            </w:r>
            <w:r>
              <w:rPr>
                <w:b w:val="0"/>
                <w:sz w:val="20"/>
                <w:szCs w:val="20"/>
              </w:rPr>
              <w:t xml:space="preserve"> </w:t>
            </w:r>
            <w:r w:rsidRPr="004F1EA4">
              <w:rPr>
                <w:b w:val="0"/>
                <w:sz w:val="20"/>
                <w:szCs w:val="20"/>
              </w:rPr>
              <w:t>reduction in tofacitinib dose, resulted in decrease or normalisation of liver enzymes.</w:t>
            </w:r>
          </w:p>
        </w:tc>
      </w:tr>
      <w:tr w:rsidR="002123E1" w:rsidRPr="004F1EA4" w14:paraId="0B8D12FF" w14:textId="61C3BE5A" w:rsidTr="002123E1">
        <w:tc>
          <w:tcPr>
            <w:tcW w:w="5000" w:type="pct"/>
          </w:tcPr>
          <w:p w14:paraId="7A767A2E" w14:textId="77777777" w:rsidR="002123E1" w:rsidRPr="004F1EA4" w:rsidRDefault="002123E1" w:rsidP="003852E7">
            <w:pPr>
              <w:pStyle w:val="Heading2"/>
              <w:spacing w:line="480" w:lineRule="auto"/>
              <w:jc w:val="both"/>
              <w:rPr>
                <w:b w:val="0"/>
                <w:sz w:val="20"/>
                <w:szCs w:val="20"/>
              </w:rPr>
            </w:pPr>
          </w:p>
        </w:tc>
      </w:tr>
      <w:tr w:rsidR="002123E1" w:rsidRPr="004F1EA4" w14:paraId="18034AAC" w14:textId="644D26DD" w:rsidTr="002123E1">
        <w:tc>
          <w:tcPr>
            <w:tcW w:w="5000" w:type="pct"/>
          </w:tcPr>
          <w:p w14:paraId="0EB9B1CB" w14:textId="59B980D5" w:rsidR="002123E1" w:rsidRPr="004F1EA4" w:rsidRDefault="002123E1" w:rsidP="003852E7">
            <w:pPr>
              <w:pStyle w:val="Heading2"/>
              <w:spacing w:line="480" w:lineRule="auto"/>
              <w:jc w:val="both"/>
              <w:rPr>
                <w:b w:val="0"/>
                <w:sz w:val="20"/>
                <w:szCs w:val="20"/>
              </w:rPr>
            </w:pPr>
            <w:r w:rsidRPr="004F1EA4">
              <w:rPr>
                <w:b w:val="0"/>
                <w:sz w:val="20"/>
                <w:szCs w:val="20"/>
              </w:rPr>
              <w:t>In the controlled portion of the RA Phase 3 monotherapy study (0 - 3 months) (study I, see section 5.1), ALT elevations greater than 3x ULN were observed in 1,65 %, 0,41 %, and 0 % of patients receiving placebo, tofacitinib 5 mg and 10 mg twice daily, respectively. In this study, AST elevations greater than 3x ULN were observed in 1,65 %, 0,41 % and 0 % of patients receiving placebo, tofacitinib 5 mg and 10 mg twice daily, respectively.</w:t>
            </w:r>
          </w:p>
        </w:tc>
      </w:tr>
      <w:tr w:rsidR="002123E1" w:rsidRPr="004F1EA4" w14:paraId="6FE0BA2F" w14:textId="5E2FA00B" w:rsidTr="002123E1">
        <w:tc>
          <w:tcPr>
            <w:tcW w:w="5000" w:type="pct"/>
          </w:tcPr>
          <w:p w14:paraId="27C411B0" w14:textId="77777777" w:rsidR="002123E1" w:rsidRPr="004F1EA4" w:rsidRDefault="002123E1" w:rsidP="003852E7">
            <w:pPr>
              <w:pStyle w:val="Heading2"/>
              <w:spacing w:line="480" w:lineRule="auto"/>
              <w:jc w:val="both"/>
              <w:rPr>
                <w:b w:val="0"/>
                <w:sz w:val="20"/>
                <w:szCs w:val="20"/>
              </w:rPr>
            </w:pPr>
          </w:p>
        </w:tc>
      </w:tr>
      <w:tr w:rsidR="002123E1" w:rsidRPr="004F1EA4" w14:paraId="23F8FC83" w14:textId="16843BBD" w:rsidTr="002123E1">
        <w:tc>
          <w:tcPr>
            <w:tcW w:w="5000" w:type="pct"/>
          </w:tcPr>
          <w:p w14:paraId="6777F9E7" w14:textId="3A757A88" w:rsidR="002123E1" w:rsidRPr="004F1EA4" w:rsidRDefault="002123E1" w:rsidP="003852E7">
            <w:pPr>
              <w:pStyle w:val="Heading2"/>
              <w:spacing w:line="480" w:lineRule="auto"/>
              <w:jc w:val="both"/>
              <w:rPr>
                <w:b w:val="0"/>
                <w:sz w:val="20"/>
                <w:szCs w:val="20"/>
              </w:rPr>
            </w:pPr>
            <w:r w:rsidRPr="004F1EA4">
              <w:rPr>
                <w:b w:val="0"/>
                <w:sz w:val="20"/>
                <w:szCs w:val="20"/>
              </w:rPr>
              <w:t>In the RA Phase 3 monotherapy study (0 - 24 months) (study VI, see section 5.1), ALT elevations greater than 3x ULN were observed in 7,1 %, 3,0 %, and 3,0 % of patients receiving MTX, tofacitinib 5 mg and 10 mg twice daily, respectively. In this study, AST elevations greater than 3x ULN were observed in 3,3 %, 1,6 % and 1,5 % of patients receiving MTX, tofacitinib 5 mg and 10 mg twice daily, respectively.</w:t>
            </w:r>
          </w:p>
        </w:tc>
      </w:tr>
      <w:tr w:rsidR="002123E1" w:rsidRPr="004F1EA4" w14:paraId="1211313C" w14:textId="6557EDB1" w:rsidTr="002123E1">
        <w:tc>
          <w:tcPr>
            <w:tcW w:w="5000" w:type="pct"/>
          </w:tcPr>
          <w:p w14:paraId="6AA3068D" w14:textId="77777777" w:rsidR="002123E1" w:rsidRPr="004F1EA4" w:rsidRDefault="002123E1" w:rsidP="003852E7">
            <w:pPr>
              <w:pStyle w:val="Heading2"/>
              <w:spacing w:line="480" w:lineRule="auto"/>
              <w:jc w:val="both"/>
              <w:rPr>
                <w:b w:val="0"/>
                <w:sz w:val="20"/>
                <w:szCs w:val="20"/>
              </w:rPr>
            </w:pPr>
          </w:p>
        </w:tc>
      </w:tr>
      <w:tr w:rsidR="002123E1" w:rsidRPr="004F1EA4" w14:paraId="498B2FF9" w14:textId="21965540" w:rsidTr="002123E1">
        <w:tc>
          <w:tcPr>
            <w:tcW w:w="5000" w:type="pct"/>
          </w:tcPr>
          <w:p w14:paraId="7FB8583E" w14:textId="3F751F71" w:rsidR="002123E1" w:rsidRPr="004F1EA4" w:rsidRDefault="002123E1" w:rsidP="003852E7">
            <w:pPr>
              <w:pStyle w:val="Heading2"/>
              <w:spacing w:line="480" w:lineRule="auto"/>
              <w:jc w:val="both"/>
              <w:rPr>
                <w:b w:val="0"/>
                <w:sz w:val="20"/>
                <w:szCs w:val="20"/>
              </w:rPr>
            </w:pPr>
            <w:r w:rsidRPr="004F1EA4">
              <w:rPr>
                <w:b w:val="0"/>
                <w:sz w:val="20"/>
                <w:szCs w:val="20"/>
              </w:rPr>
              <w:lastRenderedPageBreak/>
              <w:t>In the controlled portion of the RA Phase 3 studies on background DMARDs (0 - 3 months) (studies II-V, see section 5.1), ALT elevations greater than 3x ULN were observed in 0,9 %, 1,24 % and 1,14 % of patients receiving placebo, tofacitinib 5 mg and 10 mg twice daily, respectively. In these studies, AST elevations greater than 3x ULN were observed in 0,72 %, 0,5 % and 0,31 % of patients receiving placebo, tofacitinib 5 mg and 10 mg twice daily, respectively.</w:t>
            </w:r>
          </w:p>
        </w:tc>
      </w:tr>
      <w:tr w:rsidR="002123E1" w:rsidRPr="004F1EA4" w14:paraId="30EC99A1" w14:textId="09BC3C97" w:rsidTr="002123E1">
        <w:tc>
          <w:tcPr>
            <w:tcW w:w="5000" w:type="pct"/>
          </w:tcPr>
          <w:p w14:paraId="2B2BBD60" w14:textId="77777777" w:rsidR="002123E1" w:rsidRPr="004F1EA4" w:rsidRDefault="002123E1" w:rsidP="003852E7">
            <w:pPr>
              <w:pStyle w:val="Heading2"/>
              <w:spacing w:line="480" w:lineRule="auto"/>
              <w:jc w:val="both"/>
              <w:rPr>
                <w:b w:val="0"/>
                <w:sz w:val="20"/>
                <w:szCs w:val="20"/>
              </w:rPr>
            </w:pPr>
          </w:p>
        </w:tc>
      </w:tr>
      <w:tr w:rsidR="002123E1" w:rsidRPr="004F1EA4" w14:paraId="47F62F2C" w14:textId="148A050E" w:rsidTr="002123E1">
        <w:tc>
          <w:tcPr>
            <w:tcW w:w="5000" w:type="pct"/>
          </w:tcPr>
          <w:p w14:paraId="3D653384" w14:textId="652E6844" w:rsidR="002123E1" w:rsidRPr="00AF02B8" w:rsidRDefault="002123E1" w:rsidP="003852E7">
            <w:pPr>
              <w:pStyle w:val="Heading2"/>
              <w:spacing w:line="480" w:lineRule="auto"/>
              <w:jc w:val="both"/>
              <w:rPr>
                <w:b w:val="0"/>
                <w:sz w:val="20"/>
                <w:szCs w:val="20"/>
              </w:rPr>
            </w:pPr>
            <w:r w:rsidRPr="00AF02B8">
              <w:rPr>
                <w:b w:val="0"/>
                <w:sz w:val="20"/>
                <w:szCs w:val="20"/>
              </w:rPr>
              <w:t>In the RA long-term extension studies, on monotherapy, ALT elevations greater than 3x ULN were observed in 1,1 % and 1,4 % of patients receiving tofacitinib 5 mg and 10 mg twice daily, respectively. AST elevations greater than 3x ULN were observed in &lt; 1,0 % in both the tofacitinib 5 mg and 10 mg twice daily groups.</w:t>
            </w:r>
          </w:p>
        </w:tc>
      </w:tr>
      <w:tr w:rsidR="002123E1" w:rsidRPr="004F1EA4" w14:paraId="27194B8F" w14:textId="66C1C1FA" w:rsidTr="002123E1">
        <w:tc>
          <w:tcPr>
            <w:tcW w:w="5000" w:type="pct"/>
          </w:tcPr>
          <w:p w14:paraId="27AAC23D" w14:textId="77777777" w:rsidR="002123E1" w:rsidRPr="004F1EA4" w:rsidRDefault="002123E1" w:rsidP="003852E7">
            <w:pPr>
              <w:pStyle w:val="Heading2"/>
              <w:spacing w:line="480" w:lineRule="auto"/>
              <w:jc w:val="both"/>
              <w:rPr>
                <w:b w:val="0"/>
                <w:sz w:val="20"/>
                <w:szCs w:val="20"/>
                <w:highlight w:val="green"/>
              </w:rPr>
            </w:pPr>
          </w:p>
        </w:tc>
      </w:tr>
      <w:tr w:rsidR="002123E1" w:rsidRPr="004F1EA4" w14:paraId="7BAD0D64" w14:textId="3065D5FA" w:rsidTr="002123E1">
        <w:trPr>
          <w:trHeight w:val="755"/>
        </w:trPr>
        <w:tc>
          <w:tcPr>
            <w:tcW w:w="5000" w:type="pct"/>
          </w:tcPr>
          <w:p w14:paraId="20FC17C8" w14:textId="1F641BE0" w:rsidR="002123E1" w:rsidRPr="00F25C36" w:rsidRDefault="002123E1" w:rsidP="003852E7">
            <w:pPr>
              <w:pStyle w:val="Heading2"/>
              <w:spacing w:line="480" w:lineRule="auto"/>
              <w:jc w:val="both"/>
              <w:rPr>
                <w:b w:val="0"/>
                <w:sz w:val="20"/>
                <w:szCs w:val="20"/>
              </w:rPr>
            </w:pPr>
            <w:r w:rsidRPr="00F25C36">
              <w:rPr>
                <w:b w:val="0"/>
                <w:sz w:val="20"/>
                <w:szCs w:val="20"/>
              </w:rPr>
              <w:t xml:space="preserve">In the RA long-term extension studies, on background DMARDs, ALT elevations greater than 3x ULN were observed in 1,8 % and 1,6 % of patients receiving tofacitinib 5 mg and 10 mg twice daily, respectively. AST elevations greater than 3x ULN were observed in &lt; 1,0 % in both the tofacitinib 5 mg and 10 mg twice daily groups. </w:t>
            </w:r>
          </w:p>
        </w:tc>
      </w:tr>
      <w:tr w:rsidR="002123E1" w:rsidRPr="004F1EA4" w14:paraId="39206610" w14:textId="0BB686C3" w:rsidTr="002123E1">
        <w:tc>
          <w:tcPr>
            <w:tcW w:w="5000" w:type="pct"/>
          </w:tcPr>
          <w:p w14:paraId="59E32221" w14:textId="77777777" w:rsidR="002123E1" w:rsidRPr="004F1EA4" w:rsidRDefault="002123E1" w:rsidP="003852E7">
            <w:pPr>
              <w:pStyle w:val="Heading2"/>
              <w:spacing w:line="480" w:lineRule="auto"/>
              <w:jc w:val="both"/>
              <w:rPr>
                <w:b w:val="0"/>
                <w:sz w:val="20"/>
                <w:szCs w:val="20"/>
                <w:highlight w:val="green"/>
              </w:rPr>
            </w:pPr>
          </w:p>
        </w:tc>
      </w:tr>
      <w:tr w:rsidR="002123E1" w:rsidRPr="004F1EA4" w14:paraId="1F8298C7" w14:textId="209B9B76" w:rsidTr="002123E1">
        <w:tc>
          <w:tcPr>
            <w:tcW w:w="5000" w:type="pct"/>
          </w:tcPr>
          <w:p w14:paraId="305D9588" w14:textId="65631D12" w:rsidR="002123E1" w:rsidRPr="004F1EA4" w:rsidRDefault="002123E1" w:rsidP="003852E7">
            <w:pPr>
              <w:pStyle w:val="Heading2"/>
              <w:spacing w:line="480" w:lineRule="auto"/>
              <w:jc w:val="both"/>
              <w:rPr>
                <w:b w:val="0"/>
                <w:sz w:val="20"/>
                <w:szCs w:val="20"/>
                <w:highlight w:val="green"/>
              </w:rPr>
            </w:pPr>
            <w:r w:rsidRPr="004F1EA4">
              <w:rPr>
                <w:b w:val="0"/>
                <w:sz w:val="20"/>
                <w:szCs w:val="20"/>
              </w:rPr>
              <w:t xml:space="preserve">In the clinical studies in UC, changes in liver enzyme tests observed with tofacitinib treatment were </w:t>
            </w:r>
            <w:proofErr w:type="gramStart"/>
            <w:r w:rsidRPr="004F1EA4">
              <w:rPr>
                <w:b w:val="0"/>
                <w:sz w:val="20"/>
                <w:szCs w:val="20"/>
              </w:rPr>
              <w:t>similar to</w:t>
            </w:r>
            <w:proofErr w:type="gramEnd"/>
            <w:r w:rsidRPr="004F1EA4">
              <w:rPr>
                <w:b w:val="0"/>
                <w:sz w:val="20"/>
                <w:szCs w:val="20"/>
              </w:rPr>
              <w:t xml:space="preserve"> the changes observed in clinical studies in RA. </w:t>
            </w:r>
          </w:p>
        </w:tc>
      </w:tr>
      <w:tr w:rsidR="002123E1" w:rsidRPr="004F1EA4" w14:paraId="6B85527F" w14:textId="1A22B96F" w:rsidTr="002123E1">
        <w:tc>
          <w:tcPr>
            <w:tcW w:w="5000" w:type="pct"/>
          </w:tcPr>
          <w:p w14:paraId="20C4D0D9" w14:textId="77777777" w:rsidR="002123E1" w:rsidRPr="004F1EA4" w:rsidRDefault="002123E1" w:rsidP="003852E7">
            <w:pPr>
              <w:pStyle w:val="Heading2"/>
              <w:spacing w:line="480" w:lineRule="auto"/>
              <w:jc w:val="both"/>
              <w:rPr>
                <w:b w:val="0"/>
                <w:sz w:val="20"/>
                <w:szCs w:val="20"/>
              </w:rPr>
            </w:pPr>
          </w:p>
        </w:tc>
      </w:tr>
      <w:tr w:rsidR="002123E1" w:rsidRPr="004F1EA4" w14:paraId="18F7BD42" w14:textId="006BD394" w:rsidTr="002123E1">
        <w:tc>
          <w:tcPr>
            <w:tcW w:w="5000" w:type="pct"/>
          </w:tcPr>
          <w:p w14:paraId="19775817" w14:textId="5E45BAC3" w:rsidR="002123E1" w:rsidRPr="004F1EA4" w:rsidRDefault="002123E1" w:rsidP="003852E7">
            <w:pPr>
              <w:pStyle w:val="Heading2"/>
              <w:spacing w:line="480" w:lineRule="auto"/>
              <w:jc w:val="both"/>
              <w:rPr>
                <w:b w:val="0"/>
                <w:i/>
                <w:sz w:val="20"/>
                <w:szCs w:val="20"/>
              </w:rPr>
            </w:pPr>
            <w:r w:rsidRPr="004F1EA4">
              <w:rPr>
                <w:b w:val="0"/>
                <w:i/>
                <w:sz w:val="20"/>
                <w:szCs w:val="20"/>
              </w:rPr>
              <w:t>Lipids</w:t>
            </w:r>
          </w:p>
        </w:tc>
      </w:tr>
      <w:tr w:rsidR="002123E1" w:rsidRPr="004F1EA4" w14:paraId="15F45061" w14:textId="7E2AA021" w:rsidTr="002123E1">
        <w:tc>
          <w:tcPr>
            <w:tcW w:w="5000" w:type="pct"/>
          </w:tcPr>
          <w:p w14:paraId="67A05E68" w14:textId="431EFE67" w:rsidR="002123E1" w:rsidRPr="004F1EA4" w:rsidRDefault="002123E1" w:rsidP="003852E7">
            <w:pPr>
              <w:pStyle w:val="Heading2"/>
              <w:spacing w:line="480" w:lineRule="auto"/>
              <w:jc w:val="both"/>
              <w:rPr>
                <w:b w:val="0"/>
                <w:sz w:val="20"/>
                <w:szCs w:val="20"/>
              </w:rPr>
            </w:pPr>
            <w:r w:rsidRPr="004F1EA4">
              <w:rPr>
                <w:b w:val="0"/>
                <w:sz w:val="20"/>
                <w:szCs w:val="20"/>
              </w:rPr>
              <w:t>Elevations in lipid parameters (total cholesterol, LDL cholesterol, HDL cholesterol, triglycerides) were first assessed at 1 month following initiation of tofacitinib in the controlled</w:t>
            </w:r>
            <w:r w:rsidRPr="004F1EA4">
              <w:rPr>
                <w:sz w:val="20"/>
                <w:szCs w:val="20"/>
              </w:rPr>
              <w:t xml:space="preserve"> </w:t>
            </w:r>
            <w:r w:rsidRPr="004F1EA4">
              <w:rPr>
                <w:b w:val="0"/>
                <w:sz w:val="20"/>
                <w:szCs w:val="20"/>
              </w:rPr>
              <w:t>double-blind clinical trials of RA. Increases were observed at this time point and remained stable thereafter.</w:t>
            </w:r>
          </w:p>
        </w:tc>
      </w:tr>
      <w:tr w:rsidR="002123E1" w:rsidRPr="004F1EA4" w14:paraId="2B2F3CEA" w14:textId="740BED90" w:rsidTr="002123E1">
        <w:tc>
          <w:tcPr>
            <w:tcW w:w="5000" w:type="pct"/>
          </w:tcPr>
          <w:p w14:paraId="079984A1" w14:textId="68665560" w:rsidR="002123E1" w:rsidRPr="00A83390" w:rsidRDefault="002123E1" w:rsidP="003852E7">
            <w:pPr>
              <w:pStyle w:val="Heading2"/>
              <w:spacing w:line="480" w:lineRule="auto"/>
              <w:jc w:val="both"/>
              <w:rPr>
                <w:b w:val="0"/>
                <w:sz w:val="20"/>
                <w:szCs w:val="20"/>
              </w:rPr>
            </w:pPr>
            <w:r w:rsidRPr="00416706">
              <w:rPr>
                <w:b w:val="0"/>
                <w:sz w:val="20"/>
                <w:szCs w:val="20"/>
              </w:rPr>
              <w:lastRenderedPageBreak/>
              <w:t xml:space="preserve">Changes in lipid parameters from baseline through the end of the study (6 - 24 </w:t>
            </w:r>
            <w:r w:rsidRPr="00A83390">
              <w:rPr>
                <w:b w:val="0"/>
                <w:sz w:val="20"/>
                <w:szCs w:val="20"/>
              </w:rPr>
              <w:t xml:space="preserve">months) in the controlled clinical studies in RA are summarised below: </w:t>
            </w:r>
          </w:p>
          <w:p w14:paraId="3FCEC957" w14:textId="161EE62C" w:rsidR="002123E1" w:rsidRPr="001E6DE9" w:rsidRDefault="002123E1" w:rsidP="00B538A4">
            <w:pPr>
              <w:pStyle w:val="Heading2"/>
              <w:numPr>
                <w:ilvl w:val="0"/>
                <w:numId w:val="4"/>
              </w:numPr>
              <w:spacing w:line="480" w:lineRule="auto"/>
              <w:jc w:val="both"/>
              <w:rPr>
                <w:b w:val="0"/>
                <w:sz w:val="20"/>
                <w:szCs w:val="20"/>
              </w:rPr>
            </w:pPr>
            <w:r w:rsidRPr="0014476C">
              <w:rPr>
                <w:b w:val="0"/>
                <w:sz w:val="20"/>
                <w:szCs w:val="20"/>
              </w:rPr>
              <w:t>Mean LDL cholesterol increased by 15 % in the tofacitinib 5 mg twice daily arm and 20 % in the tofacitini</w:t>
            </w:r>
            <w:r w:rsidRPr="00E6616D">
              <w:rPr>
                <w:b w:val="0"/>
                <w:sz w:val="20"/>
                <w:szCs w:val="20"/>
              </w:rPr>
              <w:t xml:space="preserve">b 10 mg twice daily arm at month </w:t>
            </w:r>
            <w:r w:rsidRPr="009E38FF">
              <w:rPr>
                <w:b w:val="0"/>
                <w:sz w:val="20"/>
                <w:szCs w:val="20"/>
              </w:rPr>
              <w:t>12 and</w:t>
            </w:r>
            <w:r w:rsidRPr="006D3ED4">
              <w:rPr>
                <w:b w:val="0"/>
                <w:sz w:val="20"/>
                <w:szCs w:val="20"/>
              </w:rPr>
              <w:t xml:space="preserve"> increased by 16 % in the tofacitinib 5 </w:t>
            </w:r>
            <w:r w:rsidRPr="00F00FAD">
              <w:rPr>
                <w:b w:val="0"/>
                <w:sz w:val="20"/>
                <w:szCs w:val="20"/>
              </w:rPr>
              <w:t>mg twice daily arm and 19 % in the tofacitinib 10 mg twice daily arm at month 24.</w:t>
            </w:r>
          </w:p>
          <w:p w14:paraId="12F19557" w14:textId="55CCB590" w:rsidR="002123E1" w:rsidRPr="00FE1ACE" w:rsidRDefault="002123E1" w:rsidP="00B538A4">
            <w:pPr>
              <w:pStyle w:val="Heading2"/>
              <w:numPr>
                <w:ilvl w:val="0"/>
                <w:numId w:val="4"/>
              </w:numPr>
              <w:spacing w:line="480" w:lineRule="auto"/>
              <w:jc w:val="both"/>
              <w:rPr>
                <w:b w:val="0"/>
                <w:sz w:val="20"/>
                <w:szCs w:val="20"/>
              </w:rPr>
            </w:pPr>
            <w:r w:rsidRPr="00187208">
              <w:rPr>
                <w:b w:val="0"/>
                <w:sz w:val="20"/>
                <w:szCs w:val="20"/>
              </w:rPr>
              <w:t>Mean HDL cholesterol increased by 17 % in the tofacitinib 5 mg twice daily arm and 18 % in the tofacitinib 10 mg twice daily arm at month 12 and i</w:t>
            </w:r>
            <w:r w:rsidRPr="002B2525">
              <w:rPr>
                <w:b w:val="0"/>
                <w:sz w:val="20"/>
                <w:szCs w:val="20"/>
              </w:rPr>
              <w:t>ncreased by 19 % in the tofa</w:t>
            </w:r>
            <w:r w:rsidRPr="009D23E0">
              <w:rPr>
                <w:b w:val="0"/>
                <w:sz w:val="20"/>
                <w:szCs w:val="20"/>
              </w:rPr>
              <w:t xml:space="preserve">citinib 5 mg twice daily arm and 20 % in the tofacitinib 10 mg twice daily arm at </w:t>
            </w:r>
            <w:r w:rsidRPr="00FE1ACE">
              <w:rPr>
                <w:b w:val="0"/>
                <w:sz w:val="20"/>
                <w:szCs w:val="20"/>
              </w:rPr>
              <w:t>month 24.</w:t>
            </w:r>
          </w:p>
        </w:tc>
      </w:tr>
      <w:tr w:rsidR="002123E1" w:rsidRPr="004F1EA4" w14:paraId="4D912EE4" w14:textId="56D91474" w:rsidTr="002123E1">
        <w:tc>
          <w:tcPr>
            <w:tcW w:w="5000" w:type="pct"/>
          </w:tcPr>
          <w:p w14:paraId="420774CC" w14:textId="77777777" w:rsidR="002123E1" w:rsidRPr="004F1EA4" w:rsidRDefault="002123E1" w:rsidP="003852E7">
            <w:pPr>
              <w:pStyle w:val="Heading2"/>
              <w:spacing w:line="480" w:lineRule="auto"/>
              <w:jc w:val="both"/>
              <w:rPr>
                <w:b w:val="0"/>
                <w:sz w:val="20"/>
                <w:szCs w:val="20"/>
              </w:rPr>
            </w:pPr>
          </w:p>
        </w:tc>
      </w:tr>
      <w:tr w:rsidR="002123E1" w:rsidRPr="004F1EA4" w14:paraId="1FDD1A47" w14:textId="56718053" w:rsidTr="002123E1">
        <w:tc>
          <w:tcPr>
            <w:tcW w:w="5000" w:type="pct"/>
          </w:tcPr>
          <w:p w14:paraId="1686A1F9" w14:textId="19FD75F1" w:rsidR="002123E1" w:rsidRPr="004F1EA4" w:rsidRDefault="002123E1" w:rsidP="003852E7">
            <w:pPr>
              <w:pStyle w:val="Heading2"/>
              <w:spacing w:line="480" w:lineRule="auto"/>
              <w:jc w:val="both"/>
              <w:rPr>
                <w:b w:val="0"/>
                <w:sz w:val="20"/>
                <w:szCs w:val="20"/>
              </w:rPr>
            </w:pPr>
            <w:r w:rsidRPr="004F1EA4">
              <w:rPr>
                <w:b w:val="0"/>
                <w:sz w:val="20"/>
                <w:szCs w:val="20"/>
              </w:rPr>
              <w:t>Upon withdrawal of tofacitinib treatment, lipid levels returned to baseline.</w:t>
            </w:r>
          </w:p>
        </w:tc>
      </w:tr>
      <w:tr w:rsidR="002123E1" w:rsidRPr="004F1EA4" w14:paraId="2A4DBFD4" w14:textId="5DF2D129" w:rsidTr="002123E1">
        <w:tc>
          <w:tcPr>
            <w:tcW w:w="5000" w:type="pct"/>
          </w:tcPr>
          <w:p w14:paraId="263476F8" w14:textId="77777777" w:rsidR="002123E1" w:rsidRPr="004F1EA4" w:rsidRDefault="002123E1" w:rsidP="003852E7">
            <w:pPr>
              <w:pStyle w:val="Heading2"/>
              <w:keepNext w:val="0"/>
              <w:spacing w:line="480" w:lineRule="auto"/>
              <w:jc w:val="both"/>
              <w:rPr>
                <w:i/>
                <w:sz w:val="20"/>
                <w:szCs w:val="20"/>
              </w:rPr>
            </w:pPr>
          </w:p>
        </w:tc>
      </w:tr>
      <w:tr w:rsidR="002123E1" w:rsidRPr="004F1EA4" w14:paraId="23062559" w14:textId="3C70DD8B" w:rsidTr="002123E1">
        <w:tc>
          <w:tcPr>
            <w:tcW w:w="5000" w:type="pct"/>
          </w:tcPr>
          <w:p w14:paraId="34B9A121" w14:textId="516557E6" w:rsidR="002123E1" w:rsidRPr="004F1EA4" w:rsidRDefault="002123E1" w:rsidP="003852E7">
            <w:pPr>
              <w:pStyle w:val="Heading2"/>
              <w:spacing w:line="480" w:lineRule="auto"/>
              <w:jc w:val="both"/>
              <w:rPr>
                <w:b w:val="0"/>
                <w:sz w:val="20"/>
                <w:szCs w:val="20"/>
              </w:rPr>
            </w:pPr>
            <w:r w:rsidRPr="004F1EA4">
              <w:rPr>
                <w:b w:val="0"/>
                <w:sz w:val="20"/>
                <w:szCs w:val="20"/>
              </w:rPr>
              <w:t>Mean LDL cholesterol/HDL cholesterol ratios and Apolipoprotein B (</w:t>
            </w:r>
            <w:proofErr w:type="spellStart"/>
            <w:r w:rsidRPr="004F1EA4">
              <w:rPr>
                <w:b w:val="0"/>
                <w:sz w:val="20"/>
                <w:szCs w:val="20"/>
              </w:rPr>
              <w:t>ApoB</w:t>
            </w:r>
            <w:proofErr w:type="spellEnd"/>
            <w:r w:rsidRPr="004F1EA4">
              <w:rPr>
                <w:b w:val="0"/>
                <w:sz w:val="20"/>
                <w:szCs w:val="20"/>
              </w:rPr>
              <w:t>)/ApoA1 ratios were essentially unchanged in tofacitinib-treated patients.</w:t>
            </w:r>
          </w:p>
        </w:tc>
      </w:tr>
      <w:tr w:rsidR="002123E1" w:rsidRPr="004F1EA4" w14:paraId="29588018" w14:textId="2046D78C" w:rsidTr="002123E1">
        <w:tc>
          <w:tcPr>
            <w:tcW w:w="5000" w:type="pct"/>
          </w:tcPr>
          <w:p w14:paraId="4161D81B" w14:textId="77777777" w:rsidR="002123E1" w:rsidRPr="004F1EA4" w:rsidRDefault="002123E1" w:rsidP="003852E7">
            <w:pPr>
              <w:pStyle w:val="Heading2"/>
              <w:keepNext w:val="0"/>
              <w:spacing w:line="480" w:lineRule="auto"/>
              <w:jc w:val="both"/>
              <w:rPr>
                <w:i/>
                <w:sz w:val="20"/>
                <w:szCs w:val="20"/>
              </w:rPr>
            </w:pPr>
          </w:p>
        </w:tc>
      </w:tr>
      <w:tr w:rsidR="002123E1" w:rsidRPr="004F1EA4" w14:paraId="37F8F681" w14:textId="0563C452" w:rsidTr="002123E1">
        <w:tc>
          <w:tcPr>
            <w:tcW w:w="5000" w:type="pct"/>
          </w:tcPr>
          <w:p w14:paraId="5D28D0AE" w14:textId="0543D6D4" w:rsidR="002123E1" w:rsidRPr="004F1EA4" w:rsidRDefault="002123E1" w:rsidP="003852E7">
            <w:pPr>
              <w:pStyle w:val="Heading2"/>
              <w:spacing w:line="480" w:lineRule="auto"/>
              <w:jc w:val="both"/>
              <w:rPr>
                <w:b w:val="0"/>
                <w:sz w:val="20"/>
                <w:szCs w:val="20"/>
              </w:rPr>
            </w:pPr>
            <w:r w:rsidRPr="004F1EA4">
              <w:rPr>
                <w:b w:val="0"/>
                <w:sz w:val="20"/>
                <w:szCs w:val="20"/>
              </w:rPr>
              <w:t xml:space="preserve">In an RA controlled clinical trial, elevations in LDL cholesterol and </w:t>
            </w:r>
            <w:proofErr w:type="spellStart"/>
            <w:r w:rsidRPr="004F1EA4">
              <w:rPr>
                <w:b w:val="0"/>
                <w:sz w:val="20"/>
                <w:szCs w:val="20"/>
              </w:rPr>
              <w:t>ApoB</w:t>
            </w:r>
            <w:proofErr w:type="spellEnd"/>
            <w:r w:rsidRPr="004F1EA4">
              <w:rPr>
                <w:b w:val="0"/>
                <w:sz w:val="20"/>
                <w:szCs w:val="20"/>
              </w:rPr>
              <w:t xml:space="preserve"> decreased to pre-treatment levels in response to statin therapy.</w:t>
            </w:r>
          </w:p>
        </w:tc>
      </w:tr>
      <w:tr w:rsidR="002123E1" w:rsidRPr="004F1EA4" w14:paraId="6F4284BD" w14:textId="4809AC24" w:rsidTr="002123E1">
        <w:tc>
          <w:tcPr>
            <w:tcW w:w="5000" w:type="pct"/>
          </w:tcPr>
          <w:p w14:paraId="235C6522" w14:textId="0B4A1643" w:rsidR="002123E1" w:rsidRPr="004F1EA4" w:rsidRDefault="002123E1" w:rsidP="003852E7">
            <w:pPr>
              <w:pStyle w:val="Heading2"/>
              <w:keepNext w:val="0"/>
              <w:spacing w:line="480" w:lineRule="auto"/>
              <w:jc w:val="both"/>
              <w:rPr>
                <w:sz w:val="20"/>
                <w:szCs w:val="20"/>
              </w:rPr>
            </w:pPr>
          </w:p>
        </w:tc>
      </w:tr>
      <w:tr w:rsidR="002123E1" w:rsidRPr="004F1EA4" w14:paraId="73AF0A03" w14:textId="2F562700" w:rsidTr="002123E1">
        <w:tc>
          <w:tcPr>
            <w:tcW w:w="5000" w:type="pct"/>
          </w:tcPr>
          <w:p w14:paraId="31E743BC" w14:textId="5463A495" w:rsidR="002123E1" w:rsidRPr="004F1EA4" w:rsidRDefault="002123E1" w:rsidP="003852E7">
            <w:pPr>
              <w:pStyle w:val="Heading2"/>
              <w:spacing w:line="480" w:lineRule="auto"/>
              <w:jc w:val="both"/>
              <w:rPr>
                <w:b w:val="0"/>
                <w:sz w:val="20"/>
                <w:szCs w:val="20"/>
              </w:rPr>
            </w:pPr>
            <w:r w:rsidRPr="004F1EA4">
              <w:rPr>
                <w:b w:val="0"/>
                <w:sz w:val="20"/>
                <w:szCs w:val="20"/>
              </w:rPr>
              <w:t>In the RA long-term safety populations, elevations in the lipid parameters remained consistent with what was seen in the controlled clinical studies.</w:t>
            </w:r>
          </w:p>
        </w:tc>
      </w:tr>
      <w:tr w:rsidR="002123E1" w:rsidRPr="004F1EA4" w14:paraId="5EBC0779" w14:textId="31AF099F" w:rsidTr="002123E1">
        <w:tc>
          <w:tcPr>
            <w:tcW w:w="5000" w:type="pct"/>
          </w:tcPr>
          <w:p w14:paraId="6F4B991E" w14:textId="4EF10F8D" w:rsidR="002123E1" w:rsidRPr="004F1EA4" w:rsidRDefault="002123E1" w:rsidP="003852E7">
            <w:pPr>
              <w:spacing w:line="480" w:lineRule="auto"/>
              <w:jc w:val="both"/>
              <w:rPr>
                <w:rFonts w:ascii="Arial" w:hAnsi="Arial" w:cs="Arial"/>
                <w:sz w:val="20"/>
                <w:szCs w:val="20"/>
                <w:lang w:val="en-GB"/>
              </w:rPr>
            </w:pPr>
          </w:p>
        </w:tc>
      </w:tr>
      <w:tr w:rsidR="002123E1" w:rsidRPr="004F1EA4" w14:paraId="0A42E41D" w14:textId="58CB170F" w:rsidTr="002123E1">
        <w:tc>
          <w:tcPr>
            <w:tcW w:w="5000" w:type="pct"/>
          </w:tcPr>
          <w:p w14:paraId="7F467A8E" w14:textId="40FAF300" w:rsidR="002123E1" w:rsidRPr="004F1EA4" w:rsidRDefault="002123E1" w:rsidP="003852E7">
            <w:pPr>
              <w:spacing w:line="480" w:lineRule="auto"/>
              <w:jc w:val="both"/>
              <w:rPr>
                <w:rFonts w:ascii="Arial" w:hAnsi="Arial" w:cs="Arial"/>
                <w:sz w:val="20"/>
                <w:szCs w:val="20"/>
                <w:lang w:val="en-GB"/>
              </w:rPr>
            </w:pPr>
            <w:r w:rsidRPr="004F1EA4">
              <w:rPr>
                <w:rFonts w:ascii="Arial" w:hAnsi="Arial" w:cs="Arial"/>
                <w:sz w:val="20"/>
                <w:szCs w:val="20"/>
              </w:rPr>
              <w:t xml:space="preserve">In the clinical studies in UC, changes in lipids observed with tofacitinib treatment were </w:t>
            </w:r>
            <w:proofErr w:type="gramStart"/>
            <w:r w:rsidRPr="004F1EA4">
              <w:rPr>
                <w:rFonts w:ascii="Arial" w:hAnsi="Arial" w:cs="Arial"/>
                <w:sz w:val="20"/>
                <w:szCs w:val="20"/>
              </w:rPr>
              <w:t>similar to</w:t>
            </w:r>
            <w:proofErr w:type="gramEnd"/>
            <w:r w:rsidRPr="004F1EA4">
              <w:rPr>
                <w:rFonts w:ascii="Arial" w:hAnsi="Arial" w:cs="Arial"/>
                <w:sz w:val="20"/>
                <w:szCs w:val="20"/>
              </w:rPr>
              <w:t xml:space="preserve"> the changes observed in clinical studies in RA.</w:t>
            </w:r>
          </w:p>
        </w:tc>
      </w:tr>
      <w:tr w:rsidR="002123E1" w:rsidRPr="004F1EA4" w14:paraId="55BCEE83" w14:textId="020CBAC5" w:rsidTr="002123E1">
        <w:tc>
          <w:tcPr>
            <w:tcW w:w="5000" w:type="pct"/>
          </w:tcPr>
          <w:p w14:paraId="79BBB82E" w14:textId="77777777" w:rsidR="002123E1" w:rsidRPr="004F1EA4" w:rsidRDefault="002123E1" w:rsidP="003852E7">
            <w:pPr>
              <w:spacing w:line="480" w:lineRule="auto"/>
              <w:jc w:val="both"/>
              <w:rPr>
                <w:rFonts w:ascii="Arial" w:hAnsi="Arial" w:cs="Arial"/>
                <w:sz w:val="20"/>
                <w:szCs w:val="20"/>
              </w:rPr>
            </w:pPr>
          </w:p>
        </w:tc>
      </w:tr>
      <w:tr w:rsidR="002123E1" w:rsidRPr="004F1EA4" w14:paraId="354F4670" w14:textId="030C061D" w:rsidTr="002123E1">
        <w:tc>
          <w:tcPr>
            <w:tcW w:w="5000" w:type="pct"/>
          </w:tcPr>
          <w:p w14:paraId="45870D11" w14:textId="7687959F" w:rsidR="002123E1" w:rsidRPr="004F1EA4" w:rsidRDefault="002123E1" w:rsidP="003852E7">
            <w:pPr>
              <w:spacing w:line="480" w:lineRule="auto"/>
              <w:jc w:val="both"/>
              <w:rPr>
                <w:rFonts w:ascii="Arial" w:hAnsi="Arial" w:cs="Arial"/>
                <w:i/>
                <w:sz w:val="20"/>
                <w:szCs w:val="20"/>
                <w:lang w:val="en-GB"/>
              </w:rPr>
            </w:pPr>
            <w:r w:rsidRPr="004F1EA4">
              <w:rPr>
                <w:rFonts w:ascii="Arial" w:hAnsi="Arial" w:cs="Arial"/>
                <w:i/>
                <w:sz w:val="20"/>
                <w:szCs w:val="20"/>
                <w:lang w:val="en-GB"/>
              </w:rPr>
              <w:t>Reporting of suspected adverse reactions</w:t>
            </w:r>
          </w:p>
        </w:tc>
      </w:tr>
      <w:tr w:rsidR="002123E1" w:rsidRPr="004F1EA4" w14:paraId="137A2E6B" w14:textId="3610A056" w:rsidTr="002123E1">
        <w:tc>
          <w:tcPr>
            <w:tcW w:w="5000" w:type="pct"/>
          </w:tcPr>
          <w:p w14:paraId="087C6ED8" w14:textId="77777777" w:rsidR="002123E1" w:rsidRDefault="002123E1" w:rsidP="003852E7">
            <w:pPr>
              <w:spacing w:line="480" w:lineRule="auto"/>
              <w:jc w:val="both"/>
              <w:rPr>
                <w:rFonts w:ascii="Arial" w:hAnsi="Arial" w:cs="Arial"/>
                <w:sz w:val="20"/>
                <w:szCs w:val="20"/>
              </w:rPr>
            </w:pPr>
            <w:r w:rsidRPr="004F1EA4">
              <w:rPr>
                <w:rFonts w:ascii="Arial" w:hAnsi="Arial" w:cs="Arial"/>
                <w:sz w:val="20"/>
                <w:szCs w:val="20"/>
              </w:rPr>
              <w:t xml:space="preserve">Reporting suspected adverse reactions after </w:t>
            </w:r>
            <w:proofErr w:type="spellStart"/>
            <w:r w:rsidRPr="004F1EA4">
              <w:rPr>
                <w:rFonts w:ascii="Arial" w:hAnsi="Arial" w:cs="Arial"/>
                <w:sz w:val="20"/>
                <w:szCs w:val="20"/>
              </w:rPr>
              <w:t>authorisation</w:t>
            </w:r>
            <w:proofErr w:type="spellEnd"/>
            <w:r w:rsidRPr="004F1EA4">
              <w:rPr>
                <w:rFonts w:ascii="Arial" w:hAnsi="Arial" w:cs="Arial"/>
                <w:sz w:val="20"/>
                <w:szCs w:val="20"/>
              </w:rPr>
              <w:t xml:space="preserve"> of the medicine is important. It allows continued monitoring of the benefit/risk balance of the medicine. Healthcare professionals are asked to report any suspected adverse reactions to SAHPRA via the “</w:t>
            </w:r>
            <w:r w:rsidRPr="004F1EA4">
              <w:rPr>
                <w:rFonts w:ascii="Arial" w:hAnsi="Arial" w:cs="Arial"/>
                <w:b/>
                <w:sz w:val="20"/>
                <w:szCs w:val="20"/>
              </w:rPr>
              <w:t>6.04 Adverse Drug Reaction Reporting Form</w:t>
            </w:r>
            <w:r w:rsidRPr="004F1EA4">
              <w:rPr>
                <w:rFonts w:ascii="Arial" w:hAnsi="Arial" w:cs="Arial"/>
                <w:sz w:val="20"/>
                <w:szCs w:val="20"/>
              </w:rPr>
              <w:t xml:space="preserve">”, found online under SAHPRA’s publications: </w:t>
            </w:r>
          </w:p>
          <w:p w14:paraId="6942B69D" w14:textId="1D61C83C" w:rsidR="002123E1" w:rsidRPr="004F1EA4" w:rsidRDefault="00703966" w:rsidP="003852E7">
            <w:pPr>
              <w:spacing w:line="480" w:lineRule="auto"/>
              <w:jc w:val="both"/>
              <w:rPr>
                <w:rFonts w:ascii="Arial" w:hAnsi="Arial" w:cs="Arial"/>
                <w:sz w:val="20"/>
                <w:szCs w:val="20"/>
                <w:lang w:val="en-GB"/>
              </w:rPr>
            </w:pPr>
            <w:hyperlink r:id="rId12" w:history="1">
              <w:r w:rsidR="002123E1" w:rsidRPr="007B05C5">
                <w:rPr>
                  <w:rStyle w:val="Hyperlink"/>
                  <w:rFonts w:ascii="Arial" w:hAnsi="Arial" w:cs="Arial"/>
                  <w:sz w:val="20"/>
                  <w:szCs w:val="20"/>
                </w:rPr>
                <w:t>https://www.sahpra.org.za/Publications/Index/8</w:t>
              </w:r>
            </w:hyperlink>
            <w:r w:rsidR="002123E1">
              <w:rPr>
                <w:rStyle w:val="Hyperlink"/>
                <w:rFonts w:ascii="Arial" w:hAnsi="Arial" w:cs="Arial"/>
                <w:sz w:val="20"/>
                <w:szCs w:val="20"/>
              </w:rPr>
              <w:t>.</w:t>
            </w:r>
          </w:p>
        </w:tc>
      </w:tr>
      <w:tr w:rsidR="002123E1" w:rsidRPr="004F1EA4" w14:paraId="10019155" w14:textId="5BFEDED2" w:rsidTr="002123E1">
        <w:tc>
          <w:tcPr>
            <w:tcW w:w="5000" w:type="pct"/>
          </w:tcPr>
          <w:p w14:paraId="4BB78EC0" w14:textId="77777777" w:rsidR="002123E1" w:rsidRPr="004F1EA4" w:rsidRDefault="002123E1" w:rsidP="003852E7">
            <w:pPr>
              <w:spacing w:line="480" w:lineRule="auto"/>
              <w:jc w:val="both"/>
              <w:rPr>
                <w:rFonts w:ascii="Arial" w:hAnsi="Arial" w:cs="Arial"/>
                <w:b/>
                <w:sz w:val="20"/>
                <w:szCs w:val="20"/>
                <w:lang w:val="en-GB"/>
              </w:rPr>
            </w:pPr>
          </w:p>
        </w:tc>
      </w:tr>
      <w:tr w:rsidR="002123E1" w:rsidRPr="004F1EA4" w14:paraId="366931C2" w14:textId="174E0529" w:rsidTr="002123E1">
        <w:tc>
          <w:tcPr>
            <w:tcW w:w="5000" w:type="pct"/>
          </w:tcPr>
          <w:p w14:paraId="4DA76CBC" w14:textId="2E104AB9" w:rsidR="002123E1" w:rsidRPr="004F1EA4" w:rsidRDefault="002123E1" w:rsidP="003852E7">
            <w:pPr>
              <w:spacing w:line="480" w:lineRule="auto"/>
              <w:jc w:val="both"/>
              <w:rPr>
                <w:rFonts w:ascii="Arial" w:hAnsi="Arial" w:cs="Arial"/>
                <w:b/>
                <w:sz w:val="20"/>
                <w:szCs w:val="20"/>
                <w:lang w:val="en-GB"/>
              </w:rPr>
            </w:pPr>
            <w:r w:rsidRPr="004F1EA4">
              <w:rPr>
                <w:rFonts w:ascii="Arial" w:hAnsi="Arial" w:cs="Arial"/>
                <w:b/>
                <w:sz w:val="20"/>
                <w:szCs w:val="20"/>
                <w:lang w:val="en-GB"/>
              </w:rPr>
              <w:t>4.9 Overdose</w:t>
            </w:r>
          </w:p>
        </w:tc>
      </w:tr>
      <w:tr w:rsidR="002123E1" w:rsidRPr="004F1EA4" w14:paraId="6C0285FB" w14:textId="5FAB5F86" w:rsidTr="002123E1">
        <w:tc>
          <w:tcPr>
            <w:tcW w:w="5000" w:type="pct"/>
          </w:tcPr>
          <w:p w14:paraId="069C1BB3" w14:textId="7F7055B0" w:rsidR="002123E1" w:rsidRPr="005D34F2" w:rsidRDefault="002123E1" w:rsidP="003852E7">
            <w:pPr>
              <w:pStyle w:val="Heading1"/>
              <w:keepNext w:val="0"/>
              <w:rPr>
                <w:rFonts w:ascii="Arial" w:hAnsi="Arial" w:cs="Arial"/>
                <w:b w:val="0"/>
              </w:rPr>
            </w:pPr>
            <w:r w:rsidRPr="005D34F2">
              <w:rPr>
                <w:rFonts w:ascii="Arial" w:hAnsi="Arial" w:cs="Arial"/>
                <w:b w:val="0"/>
              </w:rPr>
              <w:t>In case of an overdose, it is recommended that the patient be monitored for signs and symptoms of adverse reactions. There is no specific antidote for overdose with</w:t>
            </w:r>
            <w:r w:rsidRPr="005D34F2">
              <w:rPr>
                <w:b w:val="0"/>
              </w:rPr>
              <w:t xml:space="preserve"> </w:t>
            </w:r>
            <w:r w:rsidRPr="005D34F2">
              <w:rPr>
                <w:rFonts w:ascii="Arial" w:hAnsi="Arial" w:cs="Arial"/>
                <w:b w:val="0"/>
              </w:rPr>
              <w:t>XELJANZ. Treatment should be symptomatic and supportive.</w:t>
            </w:r>
          </w:p>
        </w:tc>
      </w:tr>
      <w:tr w:rsidR="002123E1" w:rsidRPr="004F1EA4" w14:paraId="3368F8F8" w14:textId="60E76146" w:rsidTr="002123E1">
        <w:tc>
          <w:tcPr>
            <w:tcW w:w="5000" w:type="pct"/>
          </w:tcPr>
          <w:p w14:paraId="42BD829E" w14:textId="77777777" w:rsidR="002123E1" w:rsidRPr="004F1EA4" w:rsidRDefault="002123E1" w:rsidP="003852E7">
            <w:pPr>
              <w:pStyle w:val="Heading1"/>
              <w:keepNext w:val="0"/>
              <w:rPr>
                <w:rFonts w:ascii="Arial" w:hAnsi="Arial" w:cs="Arial"/>
              </w:rPr>
            </w:pPr>
          </w:p>
        </w:tc>
      </w:tr>
      <w:tr w:rsidR="002123E1" w:rsidRPr="004F1EA4" w14:paraId="17B6FC88" w14:textId="34AC3FBC" w:rsidTr="002123E1">
        <w:tc>
          <w:tcPr>
            <w:tcW w:w="5000" w:type="pct"/>
          </w:tcPr>
          <w:p w14:paraId="3C5C3FA7" w14:textId="1A090BA3" w:rsidR="002123E1" w:rsidRPr="004F1EA4" w:rsidRDefault="002123E1" w:rsidP="003852E7">
            <w:pPr>
              <w:pStyle w:val="Heading1"/>
              <w:keepNext w:val="0"/>
              <w:rPr>
                <w:rFonts w:ascii="Arial" w:hAnsi="Arial" w:cs="Arial"/>
                <w:b w:val="0"/>
              </w:rPr>
            </w:pPr>
            <w:r w:rsidRPr="004F1EA4">
              <w:rPr>
                <w:rFonts w:ascii="Arial" w:hAnsi="Arial" w:cs="Arial"/>
                <w:b w:val="0"/>
              </w:rPr>
              <w:t>Pharmacokinetic data up to and including a single dose of 100 mg in healthy volunteers indicate that more than 95 % of the administered dose is expected to be eliminated within 24 hours.</w:t>
            </w:r>
          </w:p>
        </w:tc>
      </w:tr>
      <w:tr w:rsidR="002123E1" w:rsidRPr="004F1EA4" w14:paraId="1C9F5207" w14:textId="14590F83" w:rsidTr="002123E1">
        <w:tc>
          <w:tcPr>
            <w:tcW w:w="5000" w:type="pct"/>
          </w:tcPr>
          <w:p w14:paraId="191C78B3" w14:textId="7AAB0290" w:rsidR="002123E1" w:rsidRPr="004F1EA4" w:rsidRDefault="002123E1" w:rsidP="003852E7">
            <w:pPr>
              <w:pStyle w:val="Heading1"/>
              <w:keepNext w:val="0"/>
              <w:rPr>
                <w:rFonts w:ascii="Arial" w:hAnsi="Arial" w:cs="Arial"/>
              </w:rPr>
            </w:pPr>
          </w:p>
        </w:tc>
      </w:tr>
      <w:tr w:rsidR="002123E1" w:rsidRPr="004F1EA4" w14:paraId="1EDFD275" w14:textId="315FD853" w:rsidTr="002123E1">
        <w:tc>
          <w:tcPr>
            <w:tcW w:w="5000" w:type="pct"/>
          </w:tcPr>
          <w:p w14:paraId="3FFFB58F" w14:textId="5388AB56" w:rsidR="002123E1" w:rsidRPr="004F1EA4" w:rsidRDefault="002123E1" w:rsidP="00385CAD">
            <w:pPr>
              <w:pStyle w:val="Header"/>
              <w:tabs>
                <w:tab w:val="clear" w:pos="4320"/>
                <w:tab w:val="clear" w:pos="8640"/>
                <w:tab w:val="right" w:pos="7905"/>
                <w:tab w:val="right" w:pos="10173"/>
              </w:tabs>
              <w:spacing w:line="480" w:lineRule="auto"/>
              <w:jc w:val="both"/>
              <w:rPr>
                <w:rFonts w:ascii="Arial" w:hAnsi="Arial" w:cs="Arial"/>
                <w:b/>
                <w:lang w:val="en-GB"/>
              </w:rPr>
            </w:pPr>
            <w:r w:rsidRPr="004F1EA4">
              <w:rPr>
                <w:rFonts w:ascii="Arial" w:hAnsi="Arial" w:cs="Arial"/>
                <w:b/>
                <w:lang w:val="en-GB"/>
              </w:rPr>
              <w:t>5. PHARMACOLOGICAL PROPERTIES</w:t>
            </w:r>
          </w:p>
        </w:tc>
      </w:tr>
      <w:tr w:rsidR="002123E1" w:rsidRPr="004F1EA4" w14:paraId="33639E1D" w14:textId="63F3B34E" w:rsidTr="002123E1">
        <w:tc>
          <w:tcPr>
            <w:tcW w:w="5000" w:type="pct"/>
          </w:tcPr>
          <w:p w14:paraId="09525D3D" w14:textId="030F227F" w:rsidR="002123E1" w:rsidRPr="004F1EA4" w:rsidRDefault="002123E1" w:rsidP="00B538A4">
            <w:pPr>
              <w:pStyle w:val="Header"/>
              <w:numPr>
                <w:ilvl w:val="1"/>
                <w:numId w:val="5"/>
              </w:numPr>
              <w:tabs>
                <w:tab w:val="clear" w:pos="4320"/>
                <w:tab w:val="clear" w:pos="8640"/>
                <w:tab w:val="right" w:pos="7905"/>
                <w:tab w:val="right" w:pos="10173"/>
              </w:tabs>
              <w:spacing w:line="480" w:lineRule="auto"/>
              <w:rPr>
                <w:rFonts w:ascii="Arial" w:hAnsi="Arial" w:cs="Arial"/>
                <w:b/>
                <w:lang w:val="en-GB"/>
              </w:rPr>
            </w:pPr>
            <w:r w:rsidRPr="004F1EA4">
              <w:rPr>
                <w:rFonts w:ascii="Arial" w:hAnsi="Arial" w:cs="Arial"/>
                <w:b/>
                <w:lang w:val="en-GB"/>
              </w:rPr>
              <w:t>Pharmacodynamic properties</w:t>
            </w:r>
          </w:p>
        </w:tc>
      </w:tr>
      <w:tr w:rsidR="002123E1" w:rsidRPr="004F1EA4" w14:paraId="46BAF158" w14:textId="0BCFA7D0" w:rsidTr="002123E1">
        <w:tc>
          <w:tcPr>
            <w:tcW w:w="5000" w:type="pct"/>
          </w:tcPr>
          <w:p w14:paraId="40DD9800" w14:textId="30201312" w:rsidR="002123E1" w:rsidRPr="000B31F5" w:rsidRDefault="002123E1" w:rsidP="003852E7">
            <w:pPr>
              <w:pStyle w:val="Mandatorysafetyconcepts"/>
              <w:spacing w:line="480" w:lineRule="auto"/>
              <w:jc w:val="both"/>
              <w:rPr>
                <w:rFonts w:ascii="Arial" w:hAnsi="Arial" w:cs="Arial"/>
                <w:b w:val="0"/>
                <w:sz w:val="20"/>
                <w:lang w:val="en-GB"/>
              </w:rPr>
            </w:pPr>
            <w:r w:rsidRPr="000B31F5">
              <w:rPr>
                <w:rFonts w:ascii="Arial" w:hAnsi="Arial" w:cs="Arial"/>
                <w:b w:val="0"/>
                <w:sz w:val="20"/>
                <w:lang w:val="en-GB"/>
              </w:rPr>
              <w:t>Pharmacotherapeutic groups: Immunosuppressants, Selective Immunosuppressants. ATC code: L04AA29</w:t>
            </w:r>
          </w:p>
        </w:tc>
      </w:tr>
      <w:tr w:rsidR="002123E1" w:rsidRPr="004F1EA4" w14:paraId="35743EA0" w14:textId="2C8F9ABC" w:rsidTr="002123E1">
        <w:tc>
          <w:tcPr>
            <w:tcW w:w="5000" w:type="pct"/>
          </w:tcPr>
          <w:p w14:paraId="4FE65BD0" w14:textId="217B3D15" w:rsidR="002123E1" w:rsidRPr="004F1EA4" w:rsidRDefault="002123E1" w:rsidP="003852E7">
            <w:pPr>
              <w:pStyle w:val="Mandatorysafetyconcepts"/>
              <w:spacing w:line="480" w:lineRule="auto"/>
              <w:jc w:val="both"/>
              <w:rPr>
                <w:rFonts w:ascii="Arial" w:hAnsi="Arial" w:cs="Arial"/>
                <w:b w:val="0"/>
                <w:sz w:val="20"/>
                <w:lang w:val="en-GB"/>
              </w:rPr>
            </w:pPr>
          </w:p>
        </w:tc>
      </w:tr>
      <w:tr w:rsidR="002123E1" w:rsidRPr="004F1EA4" w14:paraId="0E7E8DC3" w14:textId="74E24451" w:rsidTr="002123E1">
        <w:tc>
          <w:tcPr>
            <w:tcW w:w="5000" w:type="pct"/>
          </w:tcPr>
          <w:p w14:paraId="78BBC3BF" w14:textId="7AB96521" w:rsidR="002123E1" w:rsidRPr="004F1EA4" w:rsidRDefault="002123E1" w:rsidP="003852E7">
            <w:pPr>
              <w:pStyle w:val="Header"/>
              <w:tabs>
                <w:tab w:val="clear" w:pos="4320"/>
                <w:tab w:val="clear" w:pos="8640"/>
                <w:tab w:val="right" w:pos="7905"/>
                <w:tab w:val="right" w:pos="10173"/>
              </w:tabs>
              <w:spacing w:line="480" w:lineRule="auto"/>
              <w:jc w:val="both"/>
              <w:rPr>
                <w:rFonts w:ascii="Arial" w:hAnsi="Arial" w:cs="Arial"/>
                <w:i/>
                <w:lang w:val="en-GB"/>
              </w:rPr>
            </w:pPr>
            <w:r w:rsidRPr="004F1EA4">
              <w:rPr>
                <w:rFonts w:ascii="Arial" w:hAnsi="Arial" w:cs="Arial"/>
                <w:i/>
                <w:lang w:val="en-GB"/>
              </w:rPr>
              <w:t>Mechanism of action</w:t>
            </w:r>
          </w:p>
        </w:tc>
      </w:tr>
      <w:tr w:rsidR="002123E1" w:rsidRPr="004F1EA4" w14:paraId="4AEA3A1C" w14:textId="3D6DC090" w:rsidTr="002123E1">
        <w:tc>
          <w:tcPr>
            <w:tcW w:w="5000" w:type="pct"/>
          </w:tcPr>
          <w:p w14:paraId="33B4D2E7" w14:textId="416391BB" w:rsidR="002123E1" w:rsidRPr="004F1EA4" w:rsidRDefault="002123E1" w:rsidP="003852E7">
            <w:pPr>
              <w:pStyle w:val="Header"/>
              <w:tabs>
                <w:tab w:val="clear" w:pos="4320"/>
                <w:tab w:val="clear" w:pos="8640"/>
                <w:tab w:val="right" w:pos="7905"/>
                <w:tab w:val="right" w:pos="10173"/>
              </w:tabs>
              <w:spacing w:line="480" w:lineRule="auto"/>
              <w:jc w:val="both"/>
              <w:rPr>
                <w:rFonts w:ascii="Arial" w:hAnsi="Arial" w:cs="Arial"/>
                <w:lang w:val="en-GB"/>
              </w:rPr>
            </w:pPr>
            <w:r w:rsidRPr="004F1EA4">
              <w:rPr>
                <w:rFonts w:ascii="Arial" w:hAnsi="Arial" w:cs="Arial"/>
                <w:lang w:val="en-GB"/>
              </w:rPr>
              <w:t>Tofacitinib is a potent, selective inhibitor of the JAK family. In enzymatic assays, tofacitinib inhibits JAK1, JAK2, JAK3, and to a lesser extent TyK2. In contrast, tofacitinib has a high degree of selectivity against other kinases in the human genome. In human cells, tofacitinib preferentially inhibits signalling by heterodimeric cytokine receptors that associate with JAK3 and/or JAK1 with functional selectivity over cytokine receptors that signal via pairs of JAK2. Inhibition of JAK1 and JAK3 by tofacitinib attenuates signalling of interleukins (IL-2, -4, -6, -7, -9, -15, -21) and type I and type II interferons, which will result in modulation of the immune and inflammatory response.</w:t>
            </w:r>
          </w:p>
        </w:tc>
      </w:tr>
      <w:tr w:rsidR="002123E1" w:rsidRPr="004F1EA4" w14:paraId="651FEA67" w14:textId="77777777" w:rsidTr="002123E1">
        <w:tc>
          <w:tcPr>
            <w:tcW w:w="5000" w:type="pct"/>
          </w:tcPr>
          <w:p w14:paraId="40C57C27" w14:textId="538D72FC" w:rsidR="00FA76B4" w:rsidRPr="004F1EA4" w:rsidRDefault="00FA76B4" w:rsidP="008809D2">
            <w:pPr>
              <w:pStyle w:val="Header"/>
              <w:tabs>
                <w:tab w:val="clear" w:pos="4320"/>
                <w:tab w:val="clear" w:pos="8640"/>
                <w:tab w:val="right" w:pos="7905"/>
                <w:tab w:val="right" w:pos="10173"/>
              </w:tabs>
              <w:spacing w:line="480" w:lineRule="auto"/>
              <w:jc w:val="both"/>
              <w:rPr>
                <w:rFonts w:ascii="Arial" w:hAnsi="Arial" w:cs="Arial"/>
                <w:lang w:val="en-GB"/>
              </w:rPr>
            </w:pPr>
          </w:p>
        </w:tc>
      </w:tr>
      <w:tr w:rsidR="002123E1" w:rsidRPr="004F1EA4" w14:paraId="7BCBCA7F" w14:textId="12C65782" w:rsidTr="002123E1">
        <w:tc>
          <w:tcPr>
            <w:tcW w:w="5000" w:type="pct"/>
          </w:tcPr>
          <w:p w14:paraId="6F176044" w14:textId="3605AB8E" w:rsidR="002123E1" w:rsidRPr="004F1EA4" w:rsidRDefault="002123E1" w:rsidP="003852E7">
            <w:pPr>
              <w:pStyle w:val="Header"/>
              <w:tabs>
                <w:tab w:val="clear" w:pos="4320"/>
                <w:tab w:val="clear" w:pos="8640"/>
                <w:tab w:val="left" w:pos="1155"/>
              </w:tabs>
              <w:spacing w:line="480" w:lineRule="auto"/>
              <w:jc w:val="both"/>
              <w:rPr>
                <w:rFonts w:ascii="Arial" w:hAnsi="Arial" w:cs="Arial"/>
                <w:bCs/>
                <w:i/>
                <w:lang w:val="en-GB"/>
              </w:rPr>
            </w:pPr>
            <w:r w:rsidRPr="004F1EA4">
              <w:rPr>
                <w:rFonts w:ascii="Arial" w:hAnsi="Arial" w:cs="Arial"/>
                <w:bCs/>
                <w:i/>
                <w:lang w:val="en-GB"/>
              </w:rPr>
              <w:t>Pharmacodynamic effects</w:t>
            </w:r>
          </w:p>
        </w:tc>
      </w:tr>
      <w:tr w:rsidR="002123E1" w:rsidRPr="004F1EA4" w14:paraId="3C8B81C5" w14:textId="55594541" w:rsidTr="002123E1">
        <w:trPr>
          <w:trHeight w:val="3473"/>
        </w:trPr>
        <w:tc>
          <w:tcPr>
            <w:tcW w:w="5000" w:type="pct"/>
          </w:tcPr>
          <w:p w14:paraId="6879868D" w14:textId="2D906BD7" w:rsidR="002123E1" w:rsidRPr="004F1EA4" w:rsidRDefault="002123E1" w:rsidP="003852E7">
            <w:pPr>
              <w:pStyle w:val="Header"/>
              <w:tabs>
                <w:tab w:val="clear" w:pos="4320"/>
                <w:tab w:val="clear" w:pos="8640"/>
                <w:tab w:val="right" w:pos="7905"/>
                <w:tab w:val="right" w:pos="10173"/>
              </w:tabs>
              <w:spacing w:line="480" w:lineRule="auto"/>
              <w:jc w:val="both"/>
              <w:rPr>
                <w:rFonts w:ascii="Arial" w:hAnsi="Arial" w:cs="Arial"/>
                <w:lang w:val="en-GB"/>
              </w:rPr>
            </w:pPr>
            <w:r w:rsidRPr="004F1EA4">
              <w:rPr>
                <w:rFonts w:ascii="Arial" w:hAnsi="Arial" w:cs="Arial"/>
                <w:lang w:val="en-GB"/>
              </w:rPr>
              <w:lastRenderedPageBreak/>
              <w:t>In patients with RA, treatment up to 6 months with tofacitinib was associated with dose dependent reductions of circulating CD16/56+ natural killer (NK) cells, with estimated maximum reductions occurring at approximately 8 - 10 weeks after initiation of therapy. These changes generally resolved within 2 - 6 weeks after discontinuation of treatment. Treatment with tofacitinib was associated with dose-dependent increases in B cell counts. Changes in circulating T-lymphocyte counts and T lymphocyte subsets (CD3+, CD4+ and CD8+) were small and inconsistent.</w:t>
            </w:r>
          </w:p>
        </w:tc>
      </w:tr>
      <w:tr w:rsidR="002123E1" w:rsidRPr="004F1EA4" w14:paraId="0D9FEB8D" w14:textId="5A1262AD" w:rsidTr="002123E1">
        <w:tc>
          <w:tcPr>
            <w:tcW w:w="5000" w:type="pct"/>
          </w:tcPr>
          <w:p w14:paraId="6D96AA30" w14:textId="6DD0DFEA" w:rsidR="002123E1" w:rsidRPr="004F1EA4" w:rsidRDefault="002123E1" w:rsidP="003852E7">
            <w:pPr>
              <w:spacing w:line="480" w:lineRule="auto"/>
              <w:jc w:val="both"/>
              <w:rPr>
                <w:rFonts w:ascii="Arial" w:hAnsi="Arial" w:cs="Arial"/>
                <w:sz w:val="20"/>
                <w:szCs w:val="20"/>
                <w:lang w:val="en-GB"/>
              </w:rPr>
            </w:pPr>
            <w:r w:rsidRPr="004F1EA4">
              <w:rPr>
                <w:rFonts w:ascii="Arial" w:hAnsi="Arial" w:cs="Arial"/>
                <w:sz w:val="20"/>
                <w:szCs w:val="20"/>
                <w:lang w:val="en-GB"/>
              </w:rPr>
              <w:t>Following long-term treatment (median duration of tofacitinib treatment of approximately 5 years), CD4+ and CD8+ counts showed median reductions of 28 % and 27 %, respectively, from baseline. In contrast to the observed decrease after short-term dosing, CD16/56+ natural killer cell counts showed a median increase of 73 % from baseline. CD19+ B cell counts showed no further increases after long term tofacitinib treatment. All these lymphocyte subset changes returned toward baseline after temporary discontinuation of treatment. There was no evidence of a relationship between serious or opportunistic infections or herpes zoster and lymphocyte subset counts (see section 4.2 for absolute lymphocyte count monitoring).</w:t>
            </w:r>
          </w:p>
        </w:tc>
      </w:tr>
      <w:tr w:rsidR="002123E1" w:rsidRPr="004F1EA4" w14:paraId="4DD75CA4" w14:textId="2466DAB8" w:rsidTr="002123E1">
        <w:tc>
          <w:tcPr>
            <w:tcW w:w="5000" w:type="pct"/>
          </w:tcPr>
          <w:p w14:paraId="16FD68EA" w14:textId="77777777" w:rsidR="002123E1" w:rsidRPr="004F1EA4" w:rsidRDefault="002123E1" w:rsidP="003852E7">
            <w:pPr>
              <w:spacing w:line="480" w:lineRule="auto"/>
              <w:jc w:val="both"/>
              <w:rPr>
                <w:rFonts w:ascii="Arial" w:hAnsi="Arial" w:cs="Arial"/>
                <w:sz w:val="20"/>
                <w:szCs w:val="20"/>
                <w:lang w:val="en-GB"/>
              </w:rPr>
            </w:pPr>
          </w:p>
        </w:tc>
      </w:tr>
      <w:tr w:rsidR="002123E1" w:rsidRPr="004F1EA4" w14:paraId="75A1F4FB" w14:textId="226C12EE" w:rsidTr="002123E1">
        <w:tc>
          <w:tcPr>
            <w:tcW w:w="5000" w:type="pct"/>
          </w:tcPr>
          <w:p w14:paraId="4883EEE8" w14:textId="592A65D0" w:rsidR="002123E1" w:rsidRPr="004F1EA4" w:rsidRDefault="002123E1" w:rsidP="003852E7">
            <w:pPr>
              <w:pStyle w:val="BodyText"/>
              <w:jc w:val="both"/>
              <w:rPr>
                <w:b w:val="0"/>
                <w:bCs/>
                <w:iCs/>
                <w:sz w:val="20"/>
                <w:szCs w:val="20"/>
              </w:rPr>
            </w:pPr>
            <w:r w:rsidRPr="004F1EA4">
              <w:rPr>
                <w:b w:val="0"/>
                <w:bCs/>
                <w:iCs/>
                <w:sz w:val="20"/>
                <w:szCs w:val="20"/>
              </w:rPr>
              <w:t xml:space="preserve">Changes in total serum IgG, IgM, and IgA levels over 6-month tofacitinib dosing in patients with RA were small, not dose-dependent and </w:t>
            </w:r>
            <w:proofErr w:type="gramStart"/>
            <w:r w:rsidRPr="004F1EA4">
              <w:rPr>
                <w:b w:val="0"/>
                <w:bCs/>
                <w:iCs/>
                <w:sz w:val="20"/>
                <w:szCs w:val="20"/>
              </w:rPr>
              <w:t>similar to</w:t>
            </w:r>
            <w:proofErr w:type="gramEnd"/>
            <w:r w:rsidRPr="004F1EA4">
              <w:rPr>
                <w:b w:val="0"/>
                <w:bCs/>
                <w:iCs/>
                <w:sz w:val="20"/>
                <w:szCs w:val="20"/>
              </w:rPr>
              <w:t xml:space="preserve"> those seen on placebo, indicating a lack of systemic humoral suppression.</w:t>
            </w:r>
          </w:p>
        </w:tc>
      </w:tr>
      <w:tr w:rsidR="002123E1" w:rsidRPr="004F1EA4" w14:paraId="358AC971" w14:textId="69EAFA61" w:rsidTr="002123E1">
        <w:tc>
          <w:tcPr>
            <w:tcW w:w="5000" w:type="pct"/>
          </w:tcPr>
          <w:p w14:paraId="795E419B" w14:textId="012B1616" w:rsidR="002123E1" w:rsidRPr="004F1EA4" w:rsidRDefault="002123E1" w:rsidP="003852E7">
            <w:pPr>
              <w:pStyle w:val="BodyText"/>
              <w:jc w:val="both"/>
              <w:rPr>
                <w:bCs/>
                <w:iCs/>
                <w:sz w:val="20"/>
                <w:szCs w:val="20"/>
              </w:rPr>
            </w:pPr>
          </w:p>
        </w:tc>
      </w:tr>
      <w:tr w:rsidR="002123E1" w:rsidRPr="004F1EA4" w14:paraId="10BC90FE" w14:textId="3384FB3C" w:rsidTr="002123E1">
        <w:tc>
          <w:tcPr>
            <w:tcW w:w="5000" w:type="pct"/>
          </w:tcPr>
          <w:p w14:paraId="646E0ACD" w14:textId="77777777" w:rsidR="002123E1" w:rsidRPr="004F1EA4" w:rsidRDefault="002123E1" w:rsidP="003852E7">
            <w:pPr>
              <w:pStyle w:val="Subtitle"/>
              <w:jc w:val="both"/>
              <w:rPr>
                <w:b w:val="0"/>
                <w:sz w:val="20"/>
                <w:szCs w:val="20"/>
              </w:rPr>
            </w:pPr>
            <w:r w:rsidRPr="004F1EA4">
              <w:rPr>
                <w:b w:val="0"/>
                <w:sz w:val="20"/>
                <w:szCs w:val="20"/>
              </w:rPr>
              <w:t xml:space="preserve">After treatment with tofacitinib in RA patients, rapid decreases in serum </w:t>
            </w:r>
          </w:p>
          <w:p w14:paraId="441133E0" w14:textId="2FB0C5D8" w:rsidR="002123E1" w:rsidRPr="004F1EA4" w:rsidRDefault="002123E1" w:rsidP="003852E7">
            <w:pPr>
              <w:pStyle w:val="Subtitle"/>
              <w:jc w:val="both"/>
              <w:rPr>
                <w:b w:val="0"/>
                <w:sz w:val="20"/>
                <w:szCs w:val="20"/>
              </w:rPr>
            </w:pPr>
            <w:r w:rsidRPr="004F1EA4">
              <w:rPr>
                <w:b w:val="0"/>
                <w:sz w:val="20"/>
                <w:szCs w:val="20"/>
              </w:rPr>
              <w:t>C-reactive protein (CRP) were observed and maintained throughout dosing. Changes in CRP observed with tofacitinib treatment do not reverse fully within 2 weeks after discontinuation, indicating a longer duration of pharmacodynamic activity compared to the half-life.</w:t>
            </w:r>
          </w:p>
        </w:tc>
      </w:tr>
      <w:tr w:rsidR="002123E1" w:rsidRPr="004F1EA4" w14:paraId="4225A623" w14:textId="13214AA2" w:rsidTr="002123E1">
        <w:tc>
          <w:tcPr>
            <w:tcW w:w="5000" w:type="pct"/>
          </w:tcPr>
          <w:p w14:paraId="7F4F604C" w14:textId="77777777" w:rsidR="002123E1" w:rsidRPr="004F1EA4" w:rsidRDefault="002123E1" w:rsidP="003852E7">
            <w:pPr>
              <w:spacing w:line="480" w:lineRule="auto"/>
              <w:jc w:val="both"/>
              <w:rPr>
                <w:rFonts w:ascii="Arial" w:hAnsi="Arial" w:cs="Arial"/>
                <w:sz w:val="20"/>
                <w:szCs w:val="20"/>
                <w:lang w:val="en-GB"/>
              </w:rPr>
            </w:pPr>
          </w:p>
        </w:tc>
      </w:tr>
      <w:tr w:rsidR="002123E1" w:rsidRPr="004F1EA4" w14:paraId="23E7F95F" w14:textId="4768A626" w:rsidTr="002123E1">
        <w:tc>
          <w:tcPr>
            <w:tcW w:w="5000" w:type="pct"/>
          </w:tcPr>
          <w:p w14:paraId="36FD34C4" w14:textId="20547E98" w:rsidR="002123E1" w:rsidRPr="004F1EA4" w:rsidRDefault="002123E1" w:rsidP="003852E7">
            <w:pPr>
              <w:tabs>
                <w:tab w:val="left" w:pos="937"/>
              </w:tabs>
              <w:spacing w:line="480" w:lineRule="auto"/>
              <w:jc w:val="both"/>
              <w:rPr>
                <w:rFonts w:ascii="Arial" w:hAnsi="Arial" w:cs="Arial"/>
                <w:i/>
                <w:sz w:val="20"/>
                <w:szCs w:val="20"/>
                <w:lang w:val="en-GB"/>
              </w:rPr>
            </w:pPr>
            <w:r w:rsidRPr="004F1EA4">
              <w:rPr>
                <w:rFonts w:ascii="Arial" w:hAnsi="Arial" w:cs="Arial"/>
                <w:i/>
                <w:sz w:val="20"/>
                <w:szCs w:val="20"/>
                <w:lang w:val="en-GB"/>
              </w:rPr>
              <w:t>Vaccine studies</w:t>
            </w:r>
          </w:p>
        </w:tc>
      </w:tr>
      <w:tr w:rsidR="002123E1" w:rsidRPr="004F1EA4" w14:paraId="2E7F010F" w14:textId="5DCC712A" w:rsidTr="002123E1">
        <w:tc>
          <w:tcPr>
            <w:tcW w:w="5000" w:type="pct"/>
          </w:tcPr>
          <w:p w14:paraId="31558E16" w14:textId="4B87CD69" w:rsidR="002123E1" w:rsidRPr="004F1EA4" w:rsidRDefault="002123E1" w:rsidP="003852E7">
            <w:pPr>
              <w:pStyle w:val="BodyText"/>
              <w:jc w:val="both"/>
              <w:rPr>
                <w:b w:val="0"/>
                <w:sz w:val="20"/>
                <w:szCs w:val="20"/>
              </w:rPr>
            </w:pPr>
            <w:r w:rsidRPr="004F1EA4">
              <w:rPr>
                <w:b w:val="0"/>
                <w:sz w:val="20"/>
                <w:szCs w:val="20"/>
              </w:rPr>
              <w:t xml:space="preserve">In a controlled clinical trial of patients with RA initiating tofacitinib 10 mg twice daily or placebo, the number of responders to influenza vaccine was similar in both groups: tofacitinib (57 %) and placebo (62 %). For pneumococcal polysaccharide vaccine the number of responders was as follows: 32 % in patients receiving both tofacitinib and MTX; 62 % for tofacitinib monotherapy; 62 % for MTX monotherapy; and 77 % for </w:t>
            </w:r>
            <w:r w:rsidRPr="004F1EA4">
              <w:rPr>
                <w:b w:val="0"/>
                <w:sz w:val="20"/>
                <w:szCs w:val="20"/>
              </w:rPr>
              <w:lastRenderedPageBreak/>
              <w:t>placebo. The clinical significance of this is unknown, however, similar results were obtained in a separate vaccine study with influenza and pneumococcal polysaccharide vaccines in patients receiving long-term tofacitinib 10 mg twice daily.</w:t>
            </w:r>
          </w:p>
        </w:tc>
      </w:tr>
      <w:tr w:rsidR="002123E1" w:rsidRPr="004F1EA4" w14:paraId="23873D2D" w14:textId="30B349DF" w:rsidTr="002123E1">
        <w:tc>
          <w:tcPr>
            <w:tcW w:w="5000" w:type="pct"/>
          </w:tcPr>
          <w:p w14:paraId="0CBFDCF6" w14:textId="06C4B144" w:rsidR="002123E1" w:rsidRPr="004F1EA4" w:rsidRDefault="002123E1" w:rsidP="003852E7">
            <w:pPr>
              <w:pStyle w:val="BodyText3"/>
              <w:spacing w:line="480" w:lineRule="auto"/>
              <w:jc w:val="both"/>
              <w:rPr>
                <w:rFonts w:cs="Arial"/>
                <w:sz w:val="20"/>
                <w:lang w:val="en-GB"/>
              </w:rPr>
            </w:pPr>
          </w:p>
        </w:tc>
      </w:tr>
      <w:tr w:rsidR="002123E1" w:rsidRPr="004F1EA4" w14:paraId="39ECDE47" w14:textId="66312ABB" w:rsidTr="002123E1">
        <w:tc>
          <w:tcPr>
            <w:tcW w:w="5000" w:type="pct"/>
          </w:tcPr>
          <w:p w14:paraId="59D480DD" w14:textId="06624C08" w:rsidR="002123E1" w:rsidRPr="004F1EA4" w:rsidRDefault="002123E1" w:rsidP="003852E7">
            <w:pPr>
              <w:pStyle w:val="BodyText3"/>
              <w:spacing w:line="480" w:lineRule="auto"/>
              <w:jc w:val="both"/>
              <w:rPr>
                <w:rFonts w:cs="Arial"/>
                <w:sz w:val="20"/>
                <w:lang w:val="en-GB"/>
              </w:rPr>
            </w:pPr>
            <w:r w:rsidRPr="004F1EA4">
              <w:rPr>
                <w:rFonts w:cs="Arial"/>
                <w:sz w:val="20"/>
                <w:lang w:val="en-GB"/>
              </w:rPr>
              <w:t xml:space="preserve">A controlled study was conducted in patients with RA on background MTX immunised with a live attenuated virus vaccine (Zostavax®) 2 to 3 weeks before initiating a 12-week treatment with tofacitinib 5 mg twice daily or placebo. Evidence of humoral and cell-mediated responses to VZV was observed in both tofacitinib and placebo-treated patients at 6 weeks. These responses were </w:t>
            </w:r>
            <w:proofErr w:type="gramStart"/>
            <w:r w:rsidRPr="004F1EA4">
              <w:rPr>
                <w:rFonts w:cs="Arial"/>
                <w:sz w:val="20"/>
                <w:lang w:val="en-GB"/>
              </w:rPr>
              <w:t>similar to</w:t>
            </w:r>
            <w:proofErr w:type="gramEnd"/>
            <w:r w:rsidRPr="004F1EA4">
              <w:rPr>
                <w:rFonts w:cs="Arial"/>
                <w:sz w:val="20"/>
                <w:lang w:val="en-GB"/>
              </w:rPr>
              <w:t xml:space="preserve"> those observed in healthy volunteers aged 50 years and older. A patient with no previous history of varicella infection and no anti-varicella antibodies at baseline experienced dissemination of the vaccine strain of varicella 16 days after vaccination. Tofacitinib was discontinued and the patient recovered after treatment with standard doses of antiviral medication. This patient subsequently made a robust, though delayed, humoral and cellular response to the vaccine (see section 4.4).</w:t>
            </w:r>
          </w:p>
        </w:tc>
      </w:tr>
      <w:tr w:rsidR="002123E1" w:rsidRPr="004F1EA4" w14:paraId="050E7196" w14:textId="6E177CC8" w:rsidTr="002123E1">
        <w:tc>
          <w:tcPr>
            <w:tcW w:w="5000" w:type="pct"/>
          </w:tcPr>
          <w:p w14:paraId="39789380" w14:textId="77777777" w:rsidR="002123E1" w:rsidRPr="004F1EA4" w:rsidRDefault="002123E1" w:rsidP="003852E7">
            <w:pPr>
              <w:spacing w:line="480" w:lineRule="auto"/>
              <w:jc w:val="both"/>
              <w:rPr>
                <w:rFonts w:ascii="Arial" w:hAnsi="Arial" w:cs="Arial"/>
                <w:sz w:val="20"/>
                <w:szCs w:val="20"/>
                <w:lang w:val="en-GB"/>
              </w:rPr>
            </w:pPr>
          </w:p>
        </w:tc>
      </w:tr>
      <w:tr w:rsidR="002123E1" w:rsidRPr="004F1EA4" w14:paraId="02906DC8" w14:textId="719379A5" w:rsidTr="002123E1">
        <w:tc>
          <w:tcPr>
            <w:tcW w:w="5000" w:type="pct"/>
          </w:tcPr>
          <w:p w14:paraId="735E9C7E" w14:textId="2150CD58" w:rsidR="002123E1" w:rsidRPr="004F1EA4" w:rsidRDefault="002123E1" w:rsidP="003852E7">
            <w:pPr>
              <w:pStyle w:val="Descriptiveinformation"/>
              <w:spacing w:line="480" w:lineRule="auto"/>
              <w:jc w:val="both"/>
              <w:rPr>
                <w:rFonts w:cs="Arial"/>
                <w:b/>
                <w:i w:val="0"/>
                <w:sz w:val="20"/>
                <w:lang w:val="en-GB"/>
              </w:rPr>
            </w:pPr>
            <w:r w:rsidRPr="004F1EA4">
              <w:rPr>
                <w:rFonts w:cs="Arial"/>
                <w:b/>
                <w:i w:val="0"/>
                <w:sz w:val="20"/>
                <w:lang w:val="en-GB"/>
              </w:rPr>
              <w:t>5.2 Pharmacokinetic properties</w:t>
            </w:r>
          </w:p>
        </w:tc>
      </w:tr>
      <w:tr w:rsidR="002123E1" w:rsidRPr="004F1EA4" w14:paraId="57E7FE23" w14:textId="65AFEE1E" w:rsidTr="002123E1">
        <w:tc>
          <w:tcPr>
            <w:tcW w:w="5000" w:type="pct"/>
          </w:tcPr>
          <w:p w14:paraId="1311B36C" w14:textId="0CFF017D" w:rsidR="002123E1" w:rsidRPr="004F1EA4" w:rsidRDefault="002123E1" w:rsidP="003852E7">
            <w:pPr>
              <w:pStyle w:val="Descriptiveinformation"/>
              <w:spacing w:line="480" w:lineRule="auto"/>
              <w:jc w:val="both"/>
              <w:rPr>
                <w:rFonts w:cs="Arial"/>
                <w:i w:val="0"/>
                <w:sz w:val="20"/>
                <w:lang w:val="en-GB"/>
              </w:rPr>
            </w:pPr>
            <w:r w:rsidRPr="004F1EA4">
              <w:rPr>
                <w:rFonts w:cs="Arial"/>
                <w:i w:val="0"/>
                <w:sz w:val="20"/>
                <w:lang w:val="en-GB"/>
              </w:rPr>
              <w:t>The PK profile of tofacitinib is characterised by rapid absorption (peak plasma concentrations are reached within 0,5 - 1 hour), rapid elimination (half-life of ~3 hours) and dose proportional increases in systemic exposure. Steady state concentrations are achieved in 24 - 48 hours with negligible accumulation after twice daily administration.</w:t>
            </w:r>
          </w:p>
        </w:tc>
      </w:tr>
      <w:tr w:rsidR="002123E1" w:rsidRPr="004F1EA4" w14:paraId="5222FD6F" w14:textId="51F5FC75" w:rsidTr="002123E1">
        <w:tc>
          <w:tcPr>
            <w:tcW w:w="5000" w:type="pct"/>
          </w:tcPr>
          <w:p w14:paraId="1178EA6C" w14:textId="77777777" w:rsidR="002123E1" w:rsidRPr="004F1EA4" w:rsidRDefault="002123E1" w:rsidP="003852E7">
            <w:pPr>
              <w:pStyle w:val="Descriptiveinformation"/>
              <w:spacing w:line="480" w:lineRule="auto"/>
              <w:jc w:val="both"/>
              <w:rPr>
                <w:rFonts w:cs="Arial"/>
                <w:sz w:val="20"/>
                <w:lang w:val="en-GB"/>
              </w:rPr>
            </w:pPr>
          </w:p>
        </w:tc>
      </w:tr>
      <w:tr w:rsidR="002123E1" w:rsidRPr="004F1EA4" w14:paraId="73790175" w14:textId="71DE4C21" w:rsidTr="002123E1">
        <w:tc>
          <w:tcPr>
            <w:tcW w:w="5000" w:type="pct"/>
          </w:tcPr>
          <w:p w14:paraId="351BA4A3" w14:textId="5B735298" w:rsidR="002123E1" w:rsidRPr="004F1EA4" w:rsidRDefault="002123E1" w:rsidP="003852E7">
            <w:pPr>
              <w:pStyle w:val="Descriptiveinformation"/>
              <w:spacing w:line="480" w:lineRule="auto"/>
              <w:jc w:val="both"/>
              <w:rPr>
                <w:rFonts w:cs="Arial"/>
                <w:sz w:val="20"/>
                <w:lang w:val="en-GB"/>
              </w:rPr>
            </w:pPr>
            <w:r w:rsidRPr="004F1EA4">
              <w:rPr>
                <w:rFonts w:cs="Arial"/>
                <w:sz w:val="20"/>
                <w:lang w:val="en-GB"/>
              </w:rPr>
              <w:t>Absorption and distribution</w:t>
            </w:r>
          </w:p>
        </w:tc>
      </w:tr>
      <w:tr w:rsidR="002123E1" w:rsidRPr="004F1EA4" w14:paraId="1A55070F" w14:textId="50E08584" w:rsidTr="002123E1">
        <w:tc>
          <w:tcPr>
            <w:tcW w:w="5000" w:type="pct"/>
          </w:tcPr>
          <w:p w14:paraId="5807F0FF" w14:textId="2B3F76FA" w:rsidR="002123E1" w:rsidRPr="004F1EA4" w:rsidRDefault="002123E1" w:rsidP="003852E7">
            <w:pPr>
              <w:pStyle w:val="Descriptiveinformation"/>
              <w:spacing w:line="480" w:lineRule="auto"/>
              <w:jc w:val="both"/>
              <w:rPr>
                <w:rFonts w:cs="Arial"/>
                <w:i w:val="0"/>
                <w:sz w:val="20"/>
                <w:lang w:val="en-GB"/>
              </w:rPr>
            </w:pPr>
            <w:r w:rsidRPr="004F1EA4">
              <w:rPr>
                <w:rFonts w:cs="Arial"/>
                <w:i w:val="0"/>
                <w:sz w:val="20"/>
                <w:lang w:val="en-GB"/>
              </w:rPr>
              <w:t xml:space="preserve">Tofacitinib is well-absorbed, with an oral bioavailability of 74 %. Co-administration of tofacitinib with a high-fat meal resulted in no changes in AUC while </w:t>
            </w:r>
            <w:proofErr w:type="spellStart"/>
            <w:r w:rsidRPr="004F1EA4">
              <w:rPr>
                <w:rFonts w:cs="Arial"/>
                <w:i w:val="0"/>
                <w:sz w:val="20"/>
                <w:lang w:val="en-GB"/>
              </w:rPr>
              <w:t>Cmax</w:t>
            </w:r>
            <w:proofErr w:type="spellEnd"/>
            <w:r w:rsidRPr="004F1EA4">
              <w:rPr>
                <w:rFonts w:cs="Arial"/>
                <w:i w:val="0"/>
                <w:sz w:val="20"/>
                <w:lang w:val="en-GB"/>
              </w:rPr>
              <w:t xml:space="preserve"> was reduced by 32 %. In clinical trials, tofacitinib was administered without regard to meal.</w:t>
            </w:r>
          </w:p>
        </w:tc>
      </w:tr>
      <w:tr w:rsidR="002123E1" w:rsidRPr="004F1EA4" w14:paraId="2B755CE6" w14:textId="4A6832CC" w:rsidTr="002123E1">
        <w:tc>
          <w:tcPr>
            <w:tcW w:w="5000" w:type="pct"/>
          </w:tcPr>
          <w:p w14:paraId="00BA2FA7" w14:textId="77777777" w:rsidR="002123E1" w:rsidRPr="004F1EA4" w:rsidRDefault="002123E1" w:rsidP="003852E7">
            <w:pPr>
              <w:pStyle w:val="Descriptiveinformation"/>
              <w:spacing w:line="480" w:lineRule="auto"/>
              <w:jc w:val="both"/>
              <w:rPr>
                <w:rFonts w:cs="Arial"/>
                <w:i w:val="0"/>
                <w:sz w:val="20"/>
                <w:lang w:val="en-GB"/>
              </w:rPr>
            </w:pPr>
          </w:p>
        </w:tc>
      </w:tr>
      <w:tr w:rsidR="002123E1" w:rsidRPr="004F1EA4" w14:paraId="3943B206" w14:textId="151BFFB9" w:rsidTr="002123E1">
        <w:tc>
          <w:tcPr>
            <w:tcW w:w="5000" w:type="pct"/>
          </w:tcPr>
          <w:p w14:paraId="3D583EED" w14:textId="5A79B248" w:rsidR="002123E1" w:rsidRPr="004F1EA4" w:rsidRDefault="002123E1" w:rsidP="003852E7">
            <w:pPr>
              <w:pStyle w:val="Descriptiveinformation"/>
              <w:spacing w:line="480" w:lineRule="auto"/>
              <w:jc w:val="both"/>
              <w:rPr>
                <w:rFonts w:cs="Arial"/>
                <w:i w:val="0"/>
                <w:sz w:val="20"/>
                <w:lang w:val="en-GB"/>
              </w:rPr>
            </w:pPr>
            <w:r w:rsidRPr="004F1EA4">
              <w:rPr>
                <w:rFonts w:cs="Arial"/>
                <w:i w:val="0"/>
                <w:sz w:val="20"/>
                <w:lang w:val="en-GB"/>
              </w:rPr>
              <w:t>After intravenous administration, the volume of distribution is 87 L. Approximately 40 % of circulating tofacitinib is bound to plasma proteins. Tofacitinib binds predominantly to albumin and does not appear to bind to α1-acid glycoprotein. Tofacitinib distributes equally between red blood cells and plasma.</w:t>
            </w:r>
          </w:p>
        </w:tc>
      </w:tr>
      <w:tr w:rsidR="002123E1" w:rsidRPr="004F1EA4" w14:paraId="21FCEB1B" w14:textId="7C32CF2B" w:rsidTr="002123E1">
        <w:tc>
          <w:tcPr>
            <w:tcW w:w="5000" w:type="pct"/>
          </w:tcPr>
          <w:p w14:paraId="2FB891AD" w14:textId="77777777" w:rsidR="002123E1" w:rsidRPr="004F1EA4" w:rsidRDefault="002123E1" w:rsidP="003852E7">
            <w:pPr>
              <w:pStyle w:val="Descriptiveinformation"/>
              <w:spacing w:line="480" w:lineRule="auto"/>
              <w:jc w:val="both"/>
              <w:rPr>
                <w:rFonts w:cs="Arial"/>
                <w:i w:val="0"/>
                <w:sz w:val="20"/>
                <w:lang w:val="en-GB"/>
              </w:rPr>
            </w:pPr>
          </w:p>
        </w:tc>
      </w:tr>
      <w:tr w:rsidR="002123E1" w:rsidRPr="004F1EA4" w14:paraId="0DF00A5F" w14:textId="4B190BA4" w:rsidTr="002123E1">
        <w:tc>
          <w:tcPr>
            <w:tcW w:w="5000" w:type="pct"/>
          </w:tcPr>
          <w:p w14:paraId="0AEAEC8C" w14:textId="053DD763" w:rsidR="002123E1" w:rsidRPr="004F1EA4" w:rsidRDefault="002123E1" w:rsidP="003852E7">
            <w:pPr>
              <w:pStyle w:val="Descriptiveinformation"/>
              <w:spacing w:line="480" w:lineRule="auto"/>
              <w:jc w:val="both"/>
              <w:rPr>
                <w:rFonts w:cs="Arial"/>
                <w:sz w:val="20"/>
                <w:lang w:val="en-GB"/>
              </w:rPr>
            </w:pPr>
            <w:r w:rsidRPr="004F1EA4">
              <w:rPr>
                <w:rFonts w:cs="Arial"/>
                <w:sz w:val="20"/>
                <w:lang w:val="en-GB"/>
              </w:rPr>
              <w:lastRenderedPageBreak/>
              <w:t>Biotransformation and elimination</w:t>
            </w:r>
          </w:p>
        </w:tc>
      </w:tr>
      <w:tr w:rsidR="002123E1" w:rsidRPr="004F1EA4" w14:paraId="255E6D2A" w14:textId="2FBD2A42" w:rsidTr="002123E1">
        <w:tc>
          <w:tcPr>
            <w:tcW w:w="5000" w:type="pct"/>
          </w:tcPr>
          <w:p w14:paraId="020326CC" w14:textId="41D2BFC4" w:rsidR="002123E1" w:rsidRPr="004F1EA4" w:rsidRDefault="002123E1" w:rsidP="003852E7">
            <w:pPr>
              <w:spacing w:line="480" w:lineRule="auto"/>
              <w:jc w:val="both"/>
              <w:rPr>
                <w:rFonts w:ascii="Arial" w:hAnsi="Arial" w:cs="Arial"/>
                <w:sz w:val="20"/>
                <w:szCs w:val="20"/>
                <w:lang w:val="en-GB"/>
              </w:rPr>
            </w:pPr>
            <w:r w:rsidRPr="004F1EA4">
              <w:rPr>
                <w:rFonts w:ascii="Arial" w:hAnsi="Arial" w:cs="Arial"/>
                <w:sz w:val="20"/>
                <w:szCs w:val="20"/>
                <w:lang w:val="en-GB"/>
              </w:rPr>
              <w:t xml:space="preserve">Clearance mechanisms for tofacitinib are approximately 70 % hepatic metabolism and 30 % renal excretion of the parent drug. The metabolism of tofacitinib is primarily mediated by CYP3A4 with minor contribution from CYP2C19. In a human radio-labelled study, more than 65 % of the total circulating radioactivity was accounted for by unchanged active substance, with the remaining 35 % attributed to 8 metabolites, each accounting for less than 8 % of total radioactivity. All metabolites have been observed in animal species and are predicted to have less than 10-fold potency than tofacitinib for JAK1/3 inhibition. No evidence of stereo conversion in human samples was detected. The pharmacologic activity of tofacitinib is attributed to the parent molecule. Tofacitinib is not an inhibitor or inducer of CYPs (CYP1A2, CYP2B6, CYP2C8, CYP2C9, CYP2C19, CYP2D6, and CYP3A4) and is not an inhibitor of UGTs (UGT1A1, UGT1A4, UGT1A6, UGT1A9, and UGT2B7). </w:t>
            </w:r>
            <w:r w:rsidRPr="004F1EA4">
              <w:rPr>
                <w:rFonts w:ascii="Arial" w:hAnsi="Arial" w:cs="Arial"/>
                <w:i/>
                <w:sz w:val="20"/>
                <w:szCs w:val="20"/>
                <w:lang w:val="en-GB"/>
              </w:rPr>
              <w:t>In vitro</w:t>
            </w:r>
            <w:r w:rsidRPr="004F1EA4">
              <w:rPr>
                <w:rFonts w:ascii="Arial" w:hAnsi="Arial" w:cs="Arial"/>
                <w:sz w:val="20"/>
                <w:szCs w:val="20"/>
                <w:lang w:val="en-GB"/>
              </w:rPr>
              <w:t xml:space="preserve">, tofacitinib is a substrate for MDR1, but not for breast cancer resistance protein (BCRP), OATP1B1/1B3, or OCT1/2, and is not an inhibitor of MDR1, OATP1B1/1B3, OCT2, OAT1/3, or MRP at clinically meaningful concentrations.  </w:t>
            </w:r>
          </w:p>
        </w:tc>
      </w:tr>
      <w:tr w:rsidR="002123E1" w:rsidRPr="004F1EA4" w14:paraId="526A8FAE" w14:textId="4AC5B4F4" w:rsidTr="002123E1">
        <w:tc>
          <w:tcPr>
            <w:tcW w:w="5000" w:type="pct"/>
          </w:tcPr>
          <w:p w14:paraId="3D93AD02" w14:textId="77777777" w:rsidR="002123E1" w:rsidRPr="004F1EA4" w:rsidRDefault="002123E1" w:rsidP="003852E7">
            <w:pPr>
              <w:pStyle w:val="Descriptiveinformation"/>
              <w:spacing w:line="480" w:lineRule="auto"/>
              <w:jc w:val="both"/>
              <w:rPr>
                <w:rFonts w:cs="Arial"/>
                <w:i w:val="0"/>
                <w:sz w:val="20"/>
                <w:lang w:val="en-GB"/>
              </w:rPr>
            </w:pPr>
          </w:p>
        </w:tc>
      </w:tr>
      <w:tr w:rsidR="002123E1" w:rsidRPr="004F1EA4" w14:paraId="09ADBDE0" w14:textId="486BBC2D" w:rsidTr="002123E1">
        <w:tc>
          <w:tcPr>
            <w:tcW w:w="5000" w:type="pct"/>
          </w:tcPr>
          <w:p w14:paraId="27E2AA20" w14:textId="0B67426A" w:rsidR="002123E1" w:rsidRPr="004F1EA4" w:rsidRDefault="002123E1" w:rsidP="003852E7">
            <w:pPr>
              <w:pStyle w:val="Descriptiveinformation"/>
              <w:spacing w:line="480" w:lineRule="auto"/>
              <w:jc w:val="both"/>
              <w:rPr>
                <w:rFonts w:cs="Arial"/>
                <w:sz w:val="20"/>
                <w:lang w:val="en-GB"/>
              </w:rPr>
            </w:pPr>
            <w:r w:rsidRPr="004F1EA4">
              <w:rPr>
                <w:rFonts w:cs="Arial"/>
                <w:sz w:val="20"/>
                <w:lang w:val="en-GB"/>
              </w:rPr>
              <w:t>Pharmacokinetics in patients</w:t>
            </w:r>
          </w:p>
        </w:tc>
      </w:tr>
      <w:tr w:rsidR="002123E1" w:rsidRPr="004F1EA4" w14:paraId="6C8DD60D" w14:textId="031F42E2" w:rsidTr="002123E1">
        <w:trPr>
          <w:trHeight w:val="1682"/>
        </w:trPr>
        <w:tc>
          <w:tcPr>
            <w:tcW w:w="5000" w:type="pct"/>
          </w:tcPr>
          <w:p w14:paraId="19E062B2" w14:textId="2401D440" w:rsidR="002123E1" w:rsidRPr="004F1EA4" w:rsidRDefault="002123E1" w:rsidP="003852E7">
            <w:pPr>
              <w:pStyle w:val="Descriptiveinformation"/>
              <w:spacing w:line="480" w:lineRule="auto"/>
              <w:jc w:val="both"/>
              <w:rPr>
                <w:rFonts w:cs="Arial"/>
                <w:i w:val="0"/>
                <w:sz w:val="20"/>
                <w:lang w:val="en-GB"/>
              </w:rPr>
            </w:pPr>
            <w:r w:rsidRPr="004F1EA4">
              <w:rPr>
                <w:rFonts w:cs="Arial"/>
                <w:i w:val="0"/>
                <w:sz w:val="20"/>
                <w:lang w:val="en-GB"/>
              </w:rPr>
              <w:t>The enzymatic activity of CYP enzymes is reduced in RA patients due to chronic inflammation. In RA patients, the oral clearance of tofacitinib does not vary with time, indicating that treatment with tofacitinib does not normalise CYP enzyme activity.</w:t>
            </w:r>
          </w:p>
        </w:tc>
      </w:tr>
      <w:tr w:rsidR="002123E1" w:rsidRPr="004F1EA4" w14:paraId="198A6658" w14:textId="287CAE17" w:rsidTr="002123E1">
        <w:tc>
          <w:tcPr>
            <w:tcW w:w="5000" w:type="pct"/>
          </w:tcPr>
          <w:p w14:paraId="46BAD56A" w14:textId="77777777" w:rsidR="002123E1" w:rsidRPr="004F1EA4" w:rsidRDefault="002123E1" w:rsidP="003852E7">
            <w:pPr>
              <w:pStyle w:val="Descriptiveinformation"/>
              <w:spacing w:line="480" w:lineRule="auto"/>
              <w:jc w:val="both"/>
              <w:rPr>
                <w:rFonts w:cs="Arial"/>
                <w:i w:val="0"/>
                <w:sz w:val="20"/>
                <w:lang w:val="en-GB"/>
              </w:rPr>
            </w:pPr>
          </w:p>
        </w:tc>
      </w:tr>
      <w:tr w:rsidR="002123E1" w:rsidRPr="004F1EA4" w14:paraId="67528126" w14:textId="01412542" w:rsidTr="002123E1">
        <w:tc>
          <w:tcPr>
            <w:tcW w:w="5000" w:type="pct"/>
          </w:tcPr>
          <w:p w14:paraId="11379431" w14:textId="14705A8C" w:rsidR="002123E1" w:rsidRPr="004F1EA4" w:rsidRDefault="002123E1" w:rsidP="003852E7">
            <w:pPr>
              <w:pStyle w:val="Descriptiveinformation"/>
              <w:spacing w:line="480" w:lineRule="auto"/>
              <w:jc w:val="both"/>
              <w:rPr>
                <w:rFonts w:cs="Arial"/>
                <w:i w:val="0"/>
                <w:sz w:val="20"/>
                <w:lang w:val="en-GB"/>
              </w:rPr>
            </w:pPr>
            <w:r w:rsidRPr="004F1EA4">
              <w:rPr>
                <w:rFonts w:cs="Arial"/>
                <w:i w:val="0"/>
                <w:sz w:val="20"/>
                <w:lang w:val="en-GB"/>
              </w:rPr>
              <w:t>Population PK analysis in RA patients indicated that systemic exposure (AUC) of tofacitinib in the extremes of body weight (40 kg, 140 kg) were similar (within 5 %) to that of a 70 kg patient. Elderly patients 80 years of age were estimated to have less than 5 % higher AUC relative to the mean age of 55 years. Women were estimated to have 7 % lower AUC compared to men. The available data have also shown that there are no major differences in tofacitinib AUC between White</w:t>
            </w:r>
            <w:r>
              <w:rPr>
                <w:rFonts w:cs="Arial"/>
                <w:i w:val="0"/>
                <w:sz w:val="20"/>
                <w:lang w:val="en-GB"/>
              </w:rPr>
              <w:t xml:space="preserve"> and</w:t>
            </w:r>
            <w:r w:rsidRPr="004F1EA4">
              <w:rPr>
                <w:rFonts w:cs="Arial"/>
                <w:i w:val="0"/>
                <w:sz w:val="20"/>
                <w:lang w:val="en-GB"/>
              </w:rPr>
              <w:t xml:space="preserve"> Black patients. An approximate linear relationship between body weight and volume of distribution was observed, resulting in higher peak (</w:t>
            </w:r>
            <w:proofErr w:type="spellStart"/>
            <w:r w:rsidRPr="004F1EA4">
              <w:rPr>
                <w:rFonts w:cs="Arial"/>
                <w:i w:val="0"/>
                <w:sz w:val="20"/>
                <w:lang w:val="en-GB"/>
              </w:rPr>
              <w:t>Cmax</w:t>
            </w:r>
            <w:proofErr w:type="spellEnd"/>
            <w:r w:rsidRPr="004F1EA4">
              <w:rPr>
                <w:rFonts w:cs="Arial"/>
                <w:i w:val="0"/>
                <w:sz w:val="20"/>
                <w:lang w:val="en-GB"/>
              </w:rPr>
              <w:t>) and lower trough (</w:t>
            </w:r>
            <w:proofErr w:type="spellStart"/>
            <w:r w:rsidRPr="004F1EA4">
              <w:rPr>
                <w:rFonts w:cs="Arial"/>
                <w:i w:val="0"/>
                <w:sz w:val="20"/>
                <w:lang w:val="en-GB"/>
              </w:rPr>
              <w:t>Cmin</w:t>
            </w:r>
            <w:proofErr w:type="spellEnd"/>
            <w:r w:rsidRPr="004F1EA4">
              <w:rPr>
                <w:rFonts w:cs="Arial"/>
                <w:i w:val="0"/>
                <w:sz w:val="20"/>
                <w:lang w:val="en-GB"/>
              </w:rPr>
              <w:t>) concentrations in lighter patients. However, this difference is not considered to be clinically relevant. The between-subject variability (percentage coefficient of variation) in AUC of tofacitinib is estimated to be approximately 27 %.</w:t>
            </w:r>
          </w:p>
        </w:tc>
      </w:tr>
      <w:tr w:rsidR="002123E1" w:rsidRPr="004F1EA4" w14:paraId="17143140" w14:textId="7AD56B97" w:rsidTr="002123E1">
        <w:tc>
          <w:tcPr>
            <w:tcW w:w="5000" w:type="pct"/>
          </w:tcPr>
          <w:p w14:paraId="22967642" w14:textId="77777777" w:rsidR="002123E1" w:rsidRPr="004F1EA4" w:rsidRDefault="002123E1" w:rsidP="003852E7">
            <w:pPr>
              <w:pStyle w:val="Descriptiveinformation"/>
              <w:spacing w:line="480" w:lineRule="auto"/>
              <w:jc w:val="both"/>
              <w:rPr>
                <w:rFonts w:cs="Arial"/>
                <w:i w:val="0"/>
                <w:sz w:val="20"/>
                <w:lang w:val="en-GB"/>
              </w:rPr>
            </w:pPr>
          </w:p>
        </w:tc>
      </w:tr>
      <w:tr w:rsidR="002123E1" w:rsidRPr="004F1EA4" w14:paraId="19793AD2" w14:textId="13F89958" w:rsidTr="002123E1">
        <w:tc>
          <w:tcPr>
            <w:tcW w:w="5000" w:type="pct"/>
          </w:tcPr>
          <w:p w14:paraId="42B70501" w14:textId="5D8B26B5" w:rsidR="002123E1" w:rsidRPr="00103AB7" w:rsidRDefault="002123E1" w:rsidP="003852E7">
            <w:pPr>
              <w:pStyle w:val="Descriptiveinformation"/>
              <w:spacing w:line="480" w:lineRule="auto"/>
              <w:jc w:val="both"/>
              <w:rPr>
                <w:rFonts w:cs="Arial"/>
                <w:i w:val="0"/>
                <w:sz w:val="20"/>
                <w:lang w:val="en-GB"/>
              </w:rPr>
            </w:pPr>
            <w:r w:rsidRPr="00103AB7">
              <w:rPr>
                <w:rFonts w:cs="Arial"/>
                <w:i w:val="0"/>
                <w:sz w:val="20"/>
                <w:lang w:val="en-GB"/>
              </w:rPr>
              <w:t xml:space="preserve">Results from population PK analysis in patients with active </w:t>
            </w:r>
            <w:proofErr w:type="spellStart"/>
            <w:r w:rsidRPr="00103AB7">
              <w:rPr>
                <w:rFonts w:cs="Arial"/>
                <w:i w:val="0"/>
                <w:sz w:val="20"/>
                <w:lang w:val="en-GB"/>
              </w:rPr>
              <w:t>PsA</w:t>
            </w:r>
            <w:proofErr w:type="spellEnd"/>
            <w:r w:rsidRPr="00103AB7">
              <w:rPr>
                <w:rFonts w:cs="Arial"/>
                <w:i w:val="0"/>
                <w:sz w:val="20"/>
                <w:lang w:val="en-GB"/>
              </w:rPr>
              <w:t xml:space="preserve"> or moderate to severe UC were consistent with those in patients with RA.</w:t>
            </w:r>
          </w:p>
        </w:tc>
      </w:tr>
      <w:tr w:rsidR="002123E1" w:rsidRPr="004F1EA4" w14:paraId="115C7204" w14:textId="2BA404D6" w:rsidTr="002123E1">
        <w:tc>
          <w:tcPr>
            <w:tcW w:w="5000" w:type="pct"/>
          </w:tcPr>
          <w:p w14:paraId="7930C851" w14:textId="77777777" w:rsidR="002123E1" w:rsidRPr="004F1EA4" w:rsidRDefault="002123E1" w:rsidP="003852E7">
            <w:pPr>
              <w:pStyle w:val="Descriptiveinformation"/>
              <w:spacing w:line="480" w:lineRule="auto"/>
              <w:jc w:val="both"/>
              <w:rPr>
                <w:rFonts w:cs="Arial"/>
                <w:i w:val="0"/>
                <w:sz w:val="20"/>
                <w:lang w:val="en-GB"/>
              </w:rPr>
            </w:pPr>
          </w:p>
        </w:tc>
      </w:tr>
      <w:tr w:rsidR="002123E1" w:rsidRPr="004F1EA4" w14:paraId="0D6DF05D" w14:textId="775D3EFC" w:rsidTr="002123E1">
        <w:tc>
          <w:tcPr>
            <w:tcW w:w="5000" w:type="pct"/>
          </w:tcPr>
          <w:p w14:paraId="176A088A" w14:textId="74E7E373" w:rsidR="002123E1" w:rsidRPr="004F1EA4" w:rsidRDefault="002123E1" w:rsidP="003852E7">
            <w:pPr>
              <w:pStyle w:val="Descriptiveinformation"/>
              <w:spacing w:line="480" w:lineRule="auto"/>
              <w:jc w:val="both"/>
              <w:rPr>
                <w:rFonts w:cs="Arial"/>
                <w:sz w:val="20"/>
                <w:lang w:val="en-GB"/>
              </w:rPr>
            </w:pPr>
            <w:r w:rsidRPr="004F1EA4">
              <w:rPr>
                <w:rFonts w:cs="Arial"/>
                <w:sz w:val="20"/>
                <w:lang w:val="en-GB"/>
              </w:rPr>
              <w:t>Renal impairment</w:t>
            </w:r>
          </w:p>
        </w:tc>
      </w:tr>
      <w:tr w:rsidR="002123E1" w:rsidRPr="004F1EA4" w14:paraId="0924FE8A" w14:textId="56853CB3" w:rsidTr="002123E1">
        <w:tc>
          <w:tcPr>
            <w:tcW w:w="5000" w:type="pct"/>
          </w:tcPr>
          <w:p w14:paraId="2BBDB722" w14:textId="03FD07AE" w:rsidR="002123E1" w:rsidRPr="004F1EA4" w:rsidRDefault="002123E1" w:rsidP="003852E7">
            <w:pPr>
              <w:pStyle w:val="Descriptiveinformation"/>
              <w:spacing w:line="480" w:lineRule="auto"/>
              <w:jc w:val="both"/>
              <w:rPr>
                <w:rFonts w:cs="Arial"/>
                <w:i w:val="0"/>
                <w:sz w:val="20"/>
                <w:lang w:val="en-GB"/>
              </w:rPr>
            </w:pPr>
            <w:r w:rsidRPr="004F1EA4">
              <w:rPr>
                <w:rFonts w:cs="Arial"/>
                <w:i w:val="0"/>
                <w:sz w:val="20"/>
                <w:lang w:val="en-GB"/>
              </w:rPr>
              <w:t xml:space="preserve">Subjects with mild (creatinine clearance 50 - 80 mL/min), moderate (creatinine clearance 30 - 49 mL/min), and severe (creatinine clearance &lt; 30 mL/min) renal impairment had 37 %, 43 % and 123 % higher AUC, respectively, compared to subjects with normal renal function (see section 4.2). In subjects with end stage renal disease (ESRD), contribution of dialysis to the total clearance of tofacitinib was relatively small. Following a single dose of 10 mg, mean AUC in subjects with ESRD based on concentrations measured on a non-dialysis day was approximately 40 % (90 % confidence intervals: 1,5 - 95 %) higher compared to subjects with normal renal function. In clinical trials, tofacitinib was not evaluated in patients with baseline creatinine clearance values (estimated by </w:t>
            </w:r>
            <w:proofErr w:type="spellStart"/>
            <w:r w:rsidRPr="004F1EA4">
              <w:rPr>
                <w:rFonts w:cs="Arial"/>
                <w:i w:val="0"/>
                <w:sz w:val="20"/>
                <w:lang w:val="en-GB"/>
              </w:rPr>
              <w:t>Cockroft</w:t>
            </w:r>
            <w:proofErr w:type="spellEnd"/>
            <w:r w:rsidRPr="004F1EA4">
              <w:rPr>
                <w:rFonts w:cs="Arial"/>
                <w:i w:val="0"/>
                <w:sz w:val="20"/>
                <w:lang w:val="en-GB"/>
              </w:rPr>
              <w:t>-Gault equation) less than 40 mL/min (see section 4.2).</w:t>
            </w:r>
          </w:p>
        </w:tc>
      </w:tr>
      <w:tr w:rsidR="002123E1" w:rsidRPr="004F1EA4" w14:paraId="0F738D64" w14:textId="6EAB2FED" w:rsidTr="002123E1">
        <w:tc>
          <w:tcPr>
            <w:tcW w:w="5000" w:type="pct"/>
          </w:tcPr>
          <w:p w14:paraId="03FB8CB0" w14:textId="77777777" w:rsidR="002123E1" w:rsidRPr="004F1EA4" w:rsidRDefault="002123E1" w:rsidP="003852E7">
            <w:pPr>
              <w:pStyle w:val="Descriptiveinformation"/>
              <w:spacing w:line="480" w:lineRule="auto"/>
              <w:jc w:val="both"/>
              <w:rPr>
                <w:rFonts w:cs="Arial"/>
                <w:i w:val="0"/>
                <w:sz w:val="20"/>
                <w:lang w:val="en-GB"/>
              </w:rPr>
            </w:pPr>
          </w:p>
        </w:tc>
      </w:tr>
      <w:tr w:rsidR="002123E1" w:rsidRPr="004F1EA4" w14:paraId="64E51B66" w14:textId="04F2A797" w:rsidTr="002123E1">
        <w:tc>
          <w:tcPr>
            <w:tcW w:w="5000" w:type="pct"/>
          </w:tcPr>
          <w:p w14:paraId="05203CC8" w14:textId="11F09327" w:rsidR="002123E1" w:rsidRPr="004F1EA4" w:rsidRDefault="002123E1" w:rsidP="003852E7">
            <w:pPr>
              <w:pStyle w:val="Descriptiveinformation"/>
              <w:spacing w:line="480" w:lineRule="auto"/>
              <w:jc w:val="both"/>
              <w:rPr>
                <w:rFonts w:cs="Arial"/>
                <w:sz w:val="20"/>
                <w:lang w:val="en-GB"/>
              </w:rPr>
            </w:pPr>
            <w:r w:rsidRPr="004F1EA4">
              <w:rPr>
                <w:rFonts w:cs="Arial"/>
                <w:sz w:val="20"/>
                <w:lang w:val="en-GB"/>
              </w:rPr>
              <w:t>Hepatic impairment</w:t>
            </w:r>
          </w:p>
        </w:tc>
      </w:tr>
      <w:tr w:rsidR="002123E1" w:rsidRPr="004F1EA4" w14:paraId="3E2A7804" w14:textId="56904D8A" w:rsidTr="002123E1">
        <w:tc>
          <w:tcPr>
            <w:tcW w:w="5000" w:type="pct"/>
          </w:tcPr>
          <w:p w14:paraId="6209B3D2" w14:textId="3E9123BA" w:rsidR="002123E1" w:rsidRPr="004F1EA4" w:rsidRDefault="002123E1" w:rsidP="003852E7">
            <w:pPr>
              <w:pStyle w:val="Descriptiveinformation"/>
              <w:spacing w:line="480" w:lineRule="auto"/>
              <w:jc w:val="both"/>
              <w:rPr>
                <w:rFonts w:cs="Arial"/>
                <w:i w:val="0"/>
                <w:sz w:val="20"/>
                <w:lang w:val="en-GB"/>
              </w:rPr>
            </w:pPr>
            <w:r w:rsidRPr="004F1EA4">
              <w:rPr>
                <w:rFonts w:cs="Arial"/>
                <w:i w:val="0"/>
                <w:sz w:val="20"/>
                <w:lang w:val="en-GB"/>
              </w:rPr>
              <w:t>Subjects with mild (Child Pugh A) and moderate (Child Pugh B) hepatic impairment had 3 %, and 65 % higher AUC, respectively, compared to subjects with normal hepatic function. In clinical trials, tofacitinib was not evaluated in subjects with severe (Child Pugh C) hepatic impairment (see sections 4.2 and 4.4), or in patients screened positive for hepatitis B or C.</w:t>
            </w:r>
          </w:p>
        </w:tc>
      </w:tr>
      <w:tr w:rsidR="002123E1" w:rsidRPr="004F1EA4" w14:paraId="2EE37C5F" w14:textId="675B366A" w:rsidTr="002123E1">
        <w:tc>
          <w:tcPr>
            <w:tcW w:w="5000" w:type="pct"/>
          </w:tcPr>
          <w:p w14:paraId="765B7104" w14:textId="77777777" w:rsidR="002123E1" w:rsidRPr="004F1EA4" w:rsidRDefault="002123E1" w:rsidP="003852E7">
            <w:pPr>
              <w:pStyle w:val="Descriptiveinformation"/>
              <w:spacing w:line="480" w:lineRule="auto"/>
              <w:jc w:val="both"/>
              <w:rPr>
                <w:rFonts w:cs="Arial"/>
                <w:i w:val="0"/>
                <w:sz w:val="20"/>
                <w:lang w:val="en-GB"/>
              </w:rPr>
            </w:pPr>
          </w:p>
        </w:tc>
      </w:tr>
      <w:tr w:rsidR="002123E1" w:rsidRPr="004F1EA4" w14:paraId="354D6361" w14:textId="03D62D01" w:rsidTr="002123E1">
        <w:tc>
          <w:tcPr>
            <w:tcW w:w="5000" w:type="pct"/>
          </w:tcPr>
          <w:p w14:paraId="5E215729" w14:textId="4D618671" w:rsidR="002123E1" w:rsidRPr="004F1EA4" w:rsidRDefault="002123E1" w:rsidP="003852E7">
            <w:pPr>
              <w:pStyle w:val="Descriptiveinformation"/>
              <w:tabs>
                <w:tab w:val="left" w:pos="1155"/>
              </w:tabs>
              <w:spacing w:line="480" w:lineRule="auto"/>
              <w:jc w:val="both"/>
              <w:rPr>
                <w:rFonts w:cs="Arial"/>
                <w:b/>
                <w:i w:val="0"/>
                <w:sz w:val="20"/>
                <w:lang w:val="en-GB"/>
              </w:rPr>
            </w:pPr>
            <w:r w:rsidRPr="004F1EA4">
              <w:rPr>
                <w:rFonts w:cs="Arial"/>
                <w:b/>
                <w:i w:val="0"/>
                <w:sz w:val="20"/>
                <w:lang w:val="en-GB"/>
              </w:rPr>
              <w:t>5.3 Preclinical safety data</w:t>
            </w:r>
          </w:p>
        </w:tc>
      </w:tr>
      <w:tr w:rsidR="002123E1" w:rsidRPr="004F1EA4" w14:paraId="704E3D0A" w14:textId="0A2B8DE8" w:rsidTr="002123E1">
        <w:tc>
          <w:tcPr>
            <w:tcW w:w="5000" w:type="pct"/>
          </w:tcPr>
          <w:p w14:paraId="57BC0498" w14:textId="140956B6" w:rsidR="002123E1" w:rsidRPr="004F1EA4" w:rsidRDefault="002123E1" w:rsidP="003852E7">
            <w:pPr>
              <w:pStyle w:val="Descriptiveinformation"/>
              <w:spacing w:line="480" w:lineRule="auto"/>
              <w:jc w:val="both"/>
              <w:rPr>
                <w:rFonts w:cs="Arial"/>
                <w:i w:val="0"/>
                <w:sz w:val="20"/>
                <w:lang w:val="en-GB"/>
              </w:rPr>
            </w:pPr>
            <w:r w:rsidRPr="004F1EA4">
              <w:rPr>
                <w:rFonts w:cs="Arial"/>
                <w:i w:val="0"/>
                <w:sz w:val="20"/>
                <w:lang w:val="en-GB"/>
              </w:rPr>
              <w:t xml:space="preserve">In non-clinical studies, effects were observed on the immune and haematopoietic systems that were attributed to the pharmacological properties (JAK inhibition) of tofacitinib. Secondary effects from immunosuppression, such as bacterial and viral infections and lymphoma were observed at clinically relevant doses. Lymphoma was observed in 3 of 8 adult monkeys at 6 or 3 times the clinical tofacitinib exposure level (unbound AUC in humans at a dose of 5 mg or 10 mg twice daily), and 0 of 14 juvenile monkeys at 5 or 2,5 times the clinical exposure level of 5 mg or 10 mg twice daily. Exposure in monkeys at the no observed adverse effect level (NOAEL) for the lymphomas was approximately 1 or 0,5 times the clinical exposure level of 5 mg or 10 mg twice daily. Other findings at doses exceeding human exposures </w:t>
            </w:r>
            <w:r w:rsidRPr="004F1EA4">
              <w:rPr>
                <w:rFonts w:cs="Arial"/>
                <w:i w:val="0"/>
                <w:sz w:val="20"/>
                <w:lang w:val="en-GB"/>
              </w:rPr>
              <w:lastRenderedPageBreak/>
              <w:t>included effects on the hepatic and gastrointestinal systems.</w:t>
            </w:r>
          </w:p>
        </w:tc>
      </w:tr>
      <w:tr w:rsidR="002123E1" w:rsidRPr="004F1EA4" w14:paraId="133020C3" w14:textId="5B90E8D7" w:rsidTr="002123E1">
        <w:tc>
          <w:tcPr>
            <w:tcW w:w="5000" w:type="pct"/>
          </w:tcPr>
          <w:p w14:paraId="5938D8CB" w14:textId="77777777" w:rsidR="002123E1" w:rsidRPr="004F1EA4" w:rsidRDefault="002123E1" w:rsidP="003852E7">
            <w:pPr>
              <w:pStyle w:val="Descriptiveinformation"/>
              <w:spacing w:line="480" w:lineRule="auto"/>
              <w:jc w:val="both"/>
              <w:rPr>
                <w:rFonts w:cs="Arial"/>
                <w:i w:val="0"/>
                <w:sz w:val="20"/>
                <w:lang w:val="en-GB"/>
              </w:rPr>
            </w:pPr>
          </w:p>
        </w:tc>
      </w:tr>
      <w:tr w:rsidR="002123E1" w:rsidRPr="004F1EA4" w14:paraId="29758F94" w14:textId="24271EF3" w:rsidTr="002123E1">
        <w:tc>
          <w:tcPr>
            <w:tcW w:w="5000" w:type="pct"/>
          </w:tcPr>
          <w:p w14:paraId="008BEA5B" w14:textId="0B5AC6E9" w:rsidR="002123E1" w:rsidRPr="004F1EA4" w:rsidRDefault="002123E1" w:rsidP="003852E7">
            <w:pPr>
              <w:pStyle w:val="Descriptiveinformation"/>
              <w:spacing w:line="480" w:lineRule="auto"/>
              <w:jc w:val="both"/>
              <w:rPr>
                <w:rFonts w:cs="Arial"/>
                <w:i w:val="0"/>
                <w:sz w:val="20"/>
                <w:lang w:val="en-GB"/>
              </w:rPr>
            </w:pPr>
            <w:r w:rsidRPr="004F1EA4">
              <w:rPr>
                <w:rFonts w:cs="Arial"/>
                <w:i w:val="0"/>
                <w:sz w:val="20"/>
                <w:lang w:val="en-GB"/>
              </w:rPr>
              <w:t xml:space="preserve">Tofacitinib is not mutagenic or genotoxic based on the results of a series of </w:t>
            </w:r>
            <w:r w:rsidRPr="004F1EA4">
              <w:rPr>
                <w:rFonts w:cs="Arial"/>
                <w:sz w:val="20"/>
                <w:lang w:val="en-GB"/>
              </w:rPr>
              <w:t xml:space="preserve">in vitro and in vivo </w:t>
            </w:r>
            <w:r w:rsidRPr="004F1EA4">
              <w:rPr>
                <w:rFonts w:cs="Arial"/>
                <w:i w:val="0"/>
                <w:sz w:val="20"/>
                <w:lang w:val="en-GB"/>
              </w:rPr>
              <w:t>tests for gene mutations and chromosomal aberrations.</w:t>
            </w:r>
          </w:p>
        </w:tc>
      </w:tr>
      <w:tr w:rsidR="002123E1" w:rsidRPr="004F1EA4" w14:paraId="31842EC0" w14:textId="6E033F93" w:rsidTr="002123E1">
        <w:tc>
          <w:tcPr>
            <w:tcW w:w="5000" w:type="pct"/>
          </w:tcPr>
          <w:p w14:paraId="239B19A7" w14:textId="77777777" w:rsidR="002123E1" w:rsidRPr="004F1EA4" w:rsidRDefault="002123E1" w:rsidP="003852E7">
            <w:pPr>
              <w:pStyle w:val="Descriptiveinformation"/>
              <w:spacing w:line="480" w:lineRule="auto"/>
              <w:jc w:val="both"/>
              <w:rPr>
                <w:rFonts w:cs="Arial"/>
                <w:i w:val="0"/>
                <w:sz w:val="20"/>
                <w:lang w:val="en-GB"/>
              </w:rPr>
            </w:pPr>
          </w:p>
        </w:tc>
      </w:tr>
      <w:tr w:rsidR="002123E1" w:rsidRPr="004F1EA4" w14:paraId="025966AA" w14:textId="6D5977B2" w:rsidTr="002123E1">
        <w:tc>
          <w:tcPr>
            <w:tcW w:w="5000" w:type="pct"/>
          </w:tcPr>
          <w:p w14:paraId="5B169A03" w14:textId="2F7F246F" w:rsidR="002123E1" w:rsidRPr="004F1EA4" w:rsidRDefault="002123E1" w:rsidP="003852E7">
            <w:pPr>
              <w:pStyle w:val="Descriptiveinformation"/>
              <w:spacing w:line="480" w:lineRule="auto"/>
              <w:jc w:val="both"/>
              <w:rPr>
                <w:rFonts w:cs="Arial"/>
                <w:i w:val="0"/>
                <w:sz w:val="20"/>
                <w:lang w:val="en-GB"/>
              </w:rPr>
            </w:pPr>
            <w:r w:rsidRPr="004F1EA4">
              <w:rPr>
                <w:rFonts w:cs="Arial"/>
                <w:i w:val="0"/>
                <w:sz w:val="20"/>
                <w:lang w:val="en-GB"/>
              </w:rPr>
              <w:t>The carcinogenic potential of tofacitinib was assessed in 6-month rasH2 transgenic mouse carcinogenicity and 2-year rat carcinogenicity studies. Tofacitinib was not carcinogenic in mice at exposures up to 38 or 19 times the clinical exposure level at 5 mg or 10 mg twice daily. Benign testicular interstitial (Leydig) cell tumours were observed in rats: benign Leydig cell tumours in rats are not associated with a risk of Leydig cell tumours in humans. Hibernomas (malignancy of brown adipose tissue) were observed in female rats at exposures greater than or equal to 83 or 41 times the clinical exposure level at 5 mg or 10 mg twice daily. Benign thymomas were observed in female rats at 187 or 94 times the clinical exposure level at 5 mg or 10 mg twice daily.</w:t>
            </w:r>
          </w:p>
        </w:tc>
      </w:tr>
      <w:tr w:rsidR="002123E1" w:rsidRPr="004F1EA4" w14:paraId="5CB70376" w14:textId="0BD7713B" w:rsidTr="002123E1">
        <w:tc>
          <w:tcPr>
            <w:tcW w:w="5000" w:type="pct"/>
          </w:tcPr>
          <w:p w14:paraId="1B424485" w14:textId="77777777" w:rsidR="002123E1" w:rsidRPr="004F1EA4" w:rsidRDefault="002123E1" w:rsidP="003852E7">
            <w:pPr>
              <w:pStyle w:val="Descriptiveinformation"/>
              <w:spacing w:line="480" w:lineRule="auto"/>
              <w:jc w:val="both"/>
              <w:rPr>
                <w:rFonts w:cs="Arial"/>
                <w:i w:val="0"/>
                <w:sz w:val="20"/>
                <w:lang w:val="en-GB"/>
              </w:rPr>
            </w:pPr>
          </w:p>
        </w:tc>
      </w:tr>
      <w:tr w:rsidR="002123E1" w:rsidRPr="004F1EA4" w14:paraId="0C003011" w14:textId="4F3BA9FF" w:rsidTr="002123E1">
        <w:tc>
          <w:tcPr>
            <w:tcW w:w="5000" w:type="pct"/>
          </w:tcPr>
          <w:p w14:paraId="5E1A7385" w14:textId="14E4BCAF" w:rsidR="002123E1" w:rsidRPr="004F1EA4" w:rsidRDefault="002123E1" w:rsidP="003852E7">
            <w:pPr>
              <w:pStyle w:val="Descriptiveinformation"/>
              <w:spacing w:line="480" w:lineRule="auto"/>
              <w:jc w:val="both"/>
              <w:rPr>
                <w:rFonts w:cs="Arial"/>
                <w:i w:val="0"/>
                <w:sz w:val="20"/>
                <w:lang w:val="en-GB"/>
              </w:rPr>
            </w:pPr>
            <w:r w:rsidRPr="004F1EA4">
              <w:rPr>
                <w:rFonts w:cs="Arial"/>
                <w:i w:val="0"/>
                <w:sz w:val="20"/>
                <w:lang w:val="en-GB"/>
              </w:rPr>
              <w:t>Tofacitinib was shown to be teratogenic in rats and rabbits and have effects in rats on female fertility (decreased pregnancy rate; decreases in the numbers of corpora lutea, implantation sites, and viable foetuses; and an increase in early resorptions), parturition, and peri/postnatal development. Tofacitinib had no effects on male fertility, sperm motility or sperm concentration. Tofacitinib was secreted in milk of lactating rats at concentrations approximately 2-fold those in serum from 1 to 8 hours post-dose.</w:t>
            </w:r>
          </w:p>
        </w:tc>
      </w:tr>
      <w:tr w:rsidR="002123E1" w:rsidRPr="004F1EA4" w14:paraId="6E26297D" w14:textId="69388009" w:rsidTr="002123E1">
        <w:tc>
          <w:tcPr>
            <w:tcW w:w="5000" w:type="pct"/>
          </w:tcPr>
          <w:p w14:paraId="2B563633" w14:textId="77777777" w:rsidR="002123E1" w:rsidRPr="004F1EA4" w:rsidRDefault="002123E1" w:rsidP="003852E7">
            <w:pPr>
              <w:pStyle w:val="Descriptiveinformation"/>
              <w:spacing w:line="480" w:lineRule="auto"/>
              <w:jc w:val="both"/>
              <w:rPr>
                <w:rFonts w:cs="Arial"/>
                <w:i w:val="0"/>
                <w:sz w:val="20"/>
                <w:lang w:val="en-GB"/>
              </w:rPr>
            </w:pPr>
          </w:p>
        </w:tc>
      </w:tr>
      <w:tr w:rsidR="002123E1" w:rsidRPr="004F1EA4" w14:paraId="5F53391A" w14:textId="5FAD9F13" w:rsidTr="002123E1">
        <w:tc>
          <w:tcPr>
            <w:tcW w:w="5000" w:type="pct"/>
          </w:tcPr>
          <w:p w14:paraId="7160BADD" w14:textId="750B5B86" w:rsidR="002123E1" w:rsidRPr="004F1EA4" w:rsidRDefault="002123E1" w:rsidP="003852E7">
            <w:pPr>
              <w:keepNext/>
              <w:rPr>
                <w:rFonts w:ascii="Arial" w:hAnsi="Arial" w:cs="Arial"/>
                <w:b/>
                <w:noProof/>
                <w:sz w:val="20"/>
                <w:szCs w:val="20"/>
              </w:rPr>
            </w:pPr>
            <w:r w:rsidRPr="004F1EA4">
              <w:rPr>
                <w:rFonts w:ascii="Arial" w:hAnsi="Arial" w:cs="Arial"/>
                <w:b/>
                <w:noProof/>
                <w:sz w:val="20"/>
                <w:szCs w:val="20"/>
              </w:rPr>
              <w:t>6. PHARMACEUTICAL PARTICULARS</w:t>
            </w:r>
          </w:p>
          <w:p w14:paraId="55A3BE33" w14:textId="61AB780F" w:rsidR="002123E1" w:rsidRPr="004F1EA4" w:rsidRDefault="002123E1" w:rsidP="003852E7">
            <w:pPr>
              <w:keepNext/>
              <w:outlineLvl w:val="0"/>
              <w:rPr>
                <w:rFonts w:ascii="Arial" w:hAnsi="Arial" w:cs="Arial"/>
                <w:b/>
                <w:sz w:val="20"/>
                <w:szCs w:val="20"/>
                <w:lang w:val="en-GB"/>
              </w:rPr>
            </w:pPr>
          </w:p>
        </w:tc>
      </w:tr>
      <w:tr w:rsidR="002123E1" w:rsidRPr="004F1EA4" w14:paraId="4BC70510" w14:textId="34371D9A" w:rsidTr="002123E1">
        <w:tc>
          <w:tcPr>
            <w:tcW w:w="5000" w:type="pct"/>
          </w:tcPr>
          <w:p w14:paraId="34B44DB3" w14:textId="77777777" w:rsidR="002123E1" w:rsidRDefault="002123E1" w:rsidP="003852E7">
            <w:pPr>
              <w:keepNext/>
              <w:ind w:left="316" w:hanging="360"/>
              <w:outlineLvl w:val="0"/>
              <w:rPr>
                <w:rFonts w:ascii="Arial" w:hAnsi="Arial" w:cs="Arial"/>
                <w:b/>
                <w:noProof/>
                <w:sz w:val="20"/>
                <w:szCs w:val="20"/>
              </w:rPr>
            </w:pPr>
            <w:r w:rsidRPr="004F1EA4">
              <w:rPr>
                <w:rFonts w:ascii="Arial" w:hAnsi="Arial" w:cs="Arial"/>
                <w:b/>
                <w:noProof/>
                <w:sz w:val="20"/>
                <w:szCs w:val="20"/>
              </w:rPr>
              <w:t>6.1</w:t>
            </w:r>
            <w:r w:rsidRPr="004F1EA4">
              <w:rPr>
                <w:rFonts w:ascii="Arial" w:hAnsi="Arial" w:cs="Arial"/>
                <w:b/>
                <w:noProof/>
                <w:sz w:val="20"/>
                <w:szCs w:val="20"/>
              </w:rPr>
              <w:tab/>
              <w:t>List of excipients</w:t>
            </w:r>
          </w:p>
          <w:p w14:paraId="4129D5B2" w14:textId="14E873EF" w:rsidR="00FA76B4" w:rsidRPr="004F1EA4" w:rsidRDefault="00FA76B4" w:rsidP="003852E7">
            <w:pPr>
              <w:keepNext/>
              <w:ind w:left="316" w:hanging="360"/>
              <w:outlineLvl w:val="0"/>
              <w:rPr>
                <w:rFonts w:ascii="Arial" w:hAnsi="Arial" w:cs="Arial"/>
                <w:noProof/>
                <w:sz w:val="20"/>
                <w:szCs w:val="20"/>
              </w:rPr>
            </w:pPr>
          </w:p>
        </w:tc>
      </w:tr>
      <w:tr w:rsidR="002123E1" w:rsidRPr="004F1EA4" w14:paraId="18251882" w14:textId="1AF01E6A" w:rsidTr="002123E1">
        <w:tc>
          <w:tcPr>
            <w:tcW w:w="5000" w:type="pct"/>
          </w:tcPr>
          <w:p w14:paraId="6586A265" w14:textId="45BB0E2B" w:rsidR="002123E1" w:rsidRPr="004F1EA4" w:rsidRDefault="002123E1" w:rsidP="003852E7">
            <w:pPr>
              <w:pStyle w:val="BodyText3"/>
              <w:spacing w:line="480" w:lineRule="auto"/>
              <w:jc w:val="both"/>
              <w:rPr>
                <w:rFonts w:cs="Arial"/>
                <w:i/>
                <w:sz w:val="20"/>
                <w:lang w:val="en-GB"/>
              </w:rPr>
            </w:pPr>
            <w:r w:rsidRPr="004F1EA4">
              <w:rPr>
                <w:rFonts w:cs="Arial"/>
                <w:i/>
                <w:sz w:val="20"/>
                <w:lang w:val="en-GB"/>
              </w:rPr>
              <w:t>XELJANZ 5 mg and 10 mg film-coated tablets</w:t>
            </w:r>
          </w:p>
        </w:tc>
      </w:tr>
      <w:tr w:rsidR="002123E1" w:rsidRPr="004F1EA4" w14:paraId="1F3970D4" w14:textId="04FAFAB6" w:rsidTr="002123E1">
        <w:tc>
          <w:tcPr>
            <w:tcW w:w="5000" w:type="pct"/>
          </w:tcPr>
          <w:p w14:paraId="709DB25E" w14:textId="246D2C5B" w:rsidR="002123E1" w:rsidRPr="004F1EA4" w:rsidRDefault="002123E1" w:rsidP="003852E7">
            <w:pPr>
              <w:pStyle w:val="BodyText3"/>
              <w:spacing w:line="480" w:lineRule="auto"/>
              <w:jc w:val="both"/>
              <w:rPr>
                <w:rFonts w:cs="Arial"/>
                <w:i/>
                <w:sz w:val="20"/>
                <w:lang w:val="en-GB"/>
              </w:rPr>
            </w:pPr>
            <w:r w:rsidRPr="004F1EA4">
              <w:rPr>
                <w:rFonts w:cs="Arial"/>
                <w:i/>
                <w:sz w:val="20"/>
                <w:lang w:val="en-GB"/>
              </w:rPr>
              <w:t>Tablet core</w:t>
            </w:r>
          </w:p>
        </w:tc>
      </w:tr>
      <w:tr w:rsidR="002123E1" w:rsidRPr="004F1EA4" w14:paraId="0688DCC4" w14:textId="1E68189D" w:rsidTr="002123E1">
        <w:tc>
          <w:tcPr>
            <w:tcW w:w="5000" w:type="pct"/>
          </w:tcPr>
          <w:p w14:paraId="44C8010C" w14:textId="52CA760B" w:rsidR="002123E1" w:rsidRPr="004F1EA4" w:rsidRDefault="002123E1" w:rsidP="003852E7">
            <w:pPr>
              <w:pStyle w:val="BodyText3"/>
              <w:spacing w:line="480" w:lineRule="auto"/>
              <w:jc w:val="both"/>
              <w:rPr>
                <w:rFonts w:cs="Arial"/>
                <w:sz w:val="20"/>
                <w:lang w:val="en-GB"/>
              </w:rPr>
            </w:pPr>
            <w:r w:rsidRPr="004F1EA4">
              <w:rPr>
                <w:rFonts w:cs="Arial"/>
                <w:sz w:val="20"/>
                <w:lang w:val="en-GB"/>
              </w:rPr>
              <w:t>Croscarmellose sodium</w:t>
            </w:r>
          </w:p>
          <w:p w14:paraId="42E69641" w14:textId="3BE70956" w:rsidR="002123E1" w:rsidRPr="004F1EA4" w:rsidRDefault="002123E1" w:rsidP="003852E7">
            <w:pPr>
              <w:pStyle w:val="BodyText3"/>
              <w:spacing w:line="480" w:lineRule="auto"/>
              <w:jc w:val="both"/>
              <w:rPr>
                <w:rFonts w:cs="Arial"/>
                <w:sz w:val="20"/>
                <w:lang w:val="en-GB"/>
              </w:rPr>
            </w:pPr>
            <w:r w:rsidRPr="004F1EA4">
              <w:rPr>
                <w:rFonts w:cs="Arial"/>
                <w:sz w:val="20"/>
                <w:lang w:val="en-GB"/>
              </w:rPr>
              <w:t xml:space="preserve">Lactose monohydrate </w:t>
            </w:r>
          </w:p>
          <w:p w14:paraId="4ABE1E16" w14:textId="24BAAA83" w:rsidR="002123E1" w:rsidRPr="004F1EA4" w:rsidRDefault="002123E1" w:rsidP="003852E7">
            <w:pPr>
              <w:pStyle w:val="BodyText3"/>
              <w:spacing w:line="480" w:lineRule="auto"/>
              <w:jc w:val="both"/>
              <w:rPr>
                <w:rFonts w:cs="Arial"/>
                <w:sz w:val="20"/>
                <w:lang w:val="en-GB"/>
              </w:rPr>
            </w:pPr>
            <w:r w:rsidRPr="004F1EA4">
              <w:rPr>
                <w:rFonts w:cs="Arial"/>
                <w:sz w:val="20"/>
                <w:lang w:val="en-GB"/>
              </w:rPr>
              <w:t>Magnesium stearate</w:t>
            </w:r>
          </w:p>
          <w:p w14:paraId="5D341A5F" w14:textId="741D33E1" w:rsidR="002123E1" w:rsidRPr="004F1EA4" w:rsidRDefault="002123E1" w:rsidP="003852E7">
            <w:pPr>
              <w:pStyle w:val="BodyText3"/>
              <w:spacing w:line="480" w:lineRule="auto"/>
              <w:jc w:val="both"/>
              <w:rPr>
                <w:rFonts w:cs="Arial"/>
                <w:sz w:val="20"/>
                <w:lang w:val="en-GB"/>
              </w:rPr>
            </w:pPr>
            <w:r w:rsidRPr="004F1EA4">
              <w:rPr>
                <w:rFonts w:cs="Arial"/>
                <w:sz w:val="20"/>
                <w:lang w:val="en-GB"/>
              </w:rPr>
              <w:t>Microcrystalline cellulose</w:t>
            </w:r>
          </w:p>
        </w:tc>
      </w:tr>
      <w:tr w:rsidR="002123E1" w:rsidRPr="004F1EA4" w14:paraId="555407CD" w14:textId="7A4CB244" w:rsidTr="002123E1">
        <w:tc>
          <w:tcPr>
            <w:tcW w:w="5000" w:type="pct"/>
          </w:tcPr>
          <w:p w14:paraId="065E3D82" w14:textId="69E968C3" w:rsidR="002123E1" w:rsidRPr="004F1EA4" w:rsidRDefault="002123E1" w:rsidP="003852E7">
            <w:pPr>
              <w:pStyle w:val="BodyText3"/>
              <w:spacing w:line="480" w:lineRule="auto"/>
              <w:jc w:val="both"/>
              <w:rPr>
                <w:rFonts w:cs="Arial"/>
                <w:b/>
                <w:sz w:val="20"/>
                <w:lang w:val="en-GB"/>
              </w:rPr>
            </w:pPr>
          </w:p>
        </w:tc>
      </w:tr>
      <w:tr w:rsidR="002123E1" w:rsidRPr="004F1EA4" w14:paraId="1C6F5851" w14:textId="568BF18B" w:rsidTr="002123E1">
        <w:tc>
          <w:tcPr>
            <w:tcW w:w="5000" w:type="pct"/>
          </w:tcPr>
          <w:p w14:paraId="06E94055" w14:textId="26D89BAD" w:rsidR="002123E1" w:rsidRPr="004F1EA4" w:rsidRDefault="002123E1" w:rsidP="003852E7">
            <w:pPr>
              <w:spacing w:line="480" w:lineRule="auto"/>
              <w:jc w:val="both"/>
              <w:rPr>
                <w:rFonts w:ascii="Arial" w:hAnsi="Arial" w:cs="Arial"/>
                <w:bCs/>
                <w:i/>
                <w:sz w:val="20"/>
                <w:szCs w:val="20"/>
                <w:lang w:val="en-GB"/>
              </w:rPr>
            </w:pPr>
            <w:r w:rsidRPr="004F1EA4">
              <w:rPr>
                <w:rFonts w:ascii="Arial" w:hAnsi="Arial" w:cs="Arial"/>
                <w:bCs/>
                <w:i/>
                <w:sz w:val="20"/>
                <w:szCs w:val="20"/>
                <w:lang w:val="en-GB"/>
              </w:rPr>
              <w:lastRenderedPageBreak/>
              <w:t>Film coat:</w:t>
            </w:r>
          </w:p>
        </w:tc>
      </w:tr>
      <w:tr w:rsidR="002123E1" w:rsidRPr="004F1EA4" w14:paraId="1E087EC1" w14:textId="0B1696FC" w:rsidTr="002123E1">
        <w:tc>
          <w:tcPr>
            <w:tcW w:w="5000" w:type="pct"/>
          </w:tcPr>
          <w:p w14:paraId="732DD6F2" w14:textId="54DCB40F" w:rsidR="002123E1" w:rsidRPr="004F1EA4" w:rsidRDefault="002123E1" w:rsidP="003852E7">
            <w:pPr>
              <w:spacing w:line="480" w:lineRule="auto"/>
              <w:jc w:val="both"/>
              <w:rPr>
                <w:rFonts w:ascii="Arial" w:hAnsi="Arial" w:cs="Arial"/>
                <w:bCs/>
                <w:sz w:val="20"/>
                <w:szCs w:val="20"/>
                <w:lang w:val="en-GB"/>
              </w:rPr>
            </w:pPr>
            <w:r w:rsidRPr="004F1EA4">
              <w:rPr>
                <w:rFonts w:ascii="Arial" w:hAnsi="Arial" w:cs="Arial"/>
                <w:bCs/>
                <w:sz w:val="20"/>
                <w:szCs w:val="20"/>
                <w:lang w:val="en-GB"/>
              </w:rPr>
              <w:t>Hypromellose 6cP (E464)</w:t>
            </w:r>
          </w:p>
          <w:p w14:paraId="7820E0D6" w14:textId="4243A20E" w:rsidR="002123E1" w:rsidRPr="004F1EA4" w:rsidRDefault="002123E1" w:rsidP="003852E7">
            <w:pPr>
              <w:spacing w:line="480" w:lineRule="auto"/>
              <w:jc w:val="both"/>
              <w:rPr>
                <w:rFonts w:ascii="Arial" w:hAnsi="Arial" w:cs="Arial"/>
                <w:bCs/>
                <w:sz w:val="20"/>
                <w:szCs w:val="20"/>
                <w:lang w:val="en-GB"/>
              </w:rPr>
            </w:pPr>
            <w:r w:rsidRPr="004F1EA4">
              <w:rPr>
                <w:rFonts w:ascii="Arial" w:hAnsi="Arial" w:cs="Arial"/>
                <w:bCs/>
                <w:sz w:val="20"/>
                <w:szCs w:val="20"/>
                <w:lang w:val="en-GB"/>
              </w:rPr>
              <w:t>Lactose monohydrate</w:t>
            </w:r>
          </w:p>
          <w:p w14:paraId="6F9F73CF" w14:textId="723A7095" w:rsidR="002123E1" w:rsidRPr="004F1EA4" w:rsidRDefault="002123E1" w:rsidP="003852E7">
            <w:pPr>
              <w:spacing w:line="480" w:lineRule="auto"/>
              <w:jc w:val="both"/>
              <w:rPr>
                <w:rFonts w:ascii="Arial" w:hAnsi="Arial" w:cs="Arial"/>
                <w:bCs/>
                <w:sz w:val="20"/>
                <w:szCs w:val="20"/>
                <w:lang w:val="en-GB"/>
              </w:rPr>
            </w:pPr>
            <w:r w:rsidRPr="004F1EA4">
              <w:rPr>
                <w:rFonts w:ascii="Arial" w:hAnsi="Arial" w:cs="Arial"/>
                <w:bCs/>
                <w:sz w:val="20"/>
                <w:szCs w:val="20"/>
                <w:lang w:val="en-GB"/>
              </w:rPr>
              <w:t>Macrogol 3350</w:t>
            </w:r>
          </w:p>
          <w:p w14:paraId="409BEF4F" w14:textId="1CBE3073" w:rsidR="002123E1" w:rsidRPr="004F1EA4" w:rsidRDefault="002123E1" w:rsidP="003852E7">
            <w:pPr>
              <w:spacing w:line="480" w:lineRule="auto"/>
              <w:jc w:val="both"/>
              <w:rPr>
                <w:rFonts w:ascii="Arial" w:hAnsi="Arial" w:cs="Arial"/>
                <w:bCs/>
                <w:sz w:val="20"/>
                <w:szCs w:val="20"/>
                <w:lang w:val="en-GB"/>
              </w:rPr>
            </w:pPr>
            <w:r w:rsidRPr="004F1EA4">
              <w:rPr>
                <w:rFonts w:ascii="Arial" w:hAnsi="Arial" w:cs="Arial"/>
                <w:bCs/>
                <w:sz w:val="20"/>
                <w:szCs w:val="20"/>
                <w:lang w:val="en-GB"/>
              </w:rPr>
              <w:t>Titanium dioxide (E171)</w:t>
            </w:r>
          </w:p>
          <w:p w14:paraId="65C8134A" w14:textId="64C912B9" w:rsidR="002123E1" w:rsidRPr="004F1EA4" w:rsidRDefault="002123E1" w:rsidP="003852E7">
            <w:pPr>
              <w:spacing w:line="480" w:lineRule="auto"/>
              <w:jc w:val="both"/>
              <w:rPr>
                <w:rFonts w:ascii="Arial" w:hAnsi="Arial" w:cs="Arial"/>
                <w:bCs/>
                <w:sz w:val="20"/>
                <w:szCs w:val="20"/>
                <w:lang w:val="en-GB"/>
              </w:rPr>
            </w:pPr>
            <w:r w:rsidRPr="004F1EA4">
              <w:rPr>
                <w:rFonts w:ascii="Arial" w:hAnsi="Arial" w:cs="Arial"/>
                <w:bCs/>
                <w:sz w:val="20"/>
                <w:szCs w:val="20"/>
                <w:lang w:val="en-GB"/>
              </w:rPr>
              <w:t>Triacetin (E1518)</w:t>
            </w:r>
          </w:p>
          <w:p w14:paraId="4798F192" w14:textId="236B36D7" w:rsidR="002123E1" w:rsidRPr="004F1EA4" w:rsidRDefault="002123E1" w:rsidP="003852E7">
            <w:pPr>
              <w:spacing w:line="480" w:lineRule="auto"/>
              <w:jc w:val="both"/>
              <w:rPr>
                <w:rFonts w:ascii="Arial" w:hAnsi="Arial" w:cs="Arial"/>
                <w:bCs/>
                <w:sz w:val="20"/>
                <w:szCs w:val="20"/>
                <w:lang w:val="en-GB"/>
              </w:rPr>
            </w:pPr>
            <w:r w:rsidRPr="004F1EA4">
              <w:rPr>
                <w:rFonts w:ascii="Arial" w:hAnsi="Arial" w:cs="Arial"/>
                <w:bCs/>
                <w:sz w:val="20"/>
                <w:szCs w:val="20"/>
                <w:lang w:val="en-GB"/>
              </w:rPr>
              <w:t xml:space="preserve">FD&amp;C Blue #2/Indigo Carmine Aluminium Lake (E132) (10 mg strength only) </w:t>
            </w:r>
          </w:p>
          <w:p w14:paraId="31E2E190" w14:textId="4533B599" w:rsidR="002123E1" w:rsidRPr="004F1EA4" w:rsidRDefault="002123E1" w:rsidP="003852E7">
            <w:pPr>
              <w:spacing w:line="480" w:lineRule="auto"/>
              <w:jc w:val="both"/>
              <w:rPr>
                <w:rFonts w:ascii="Arial" w:hAnsi="Arial" w:cs="Arial"/>
                <w:bCs/>
                <w:sz w:val="20"/>
                <w:szCs w:val="20"/>
                <w:lang w:val="en-GB"/>
              </w:rPr>
            </w:pPr>
            <w:r w:rsidRPr="004F1EA4">
              <w:rPr>
                <w:rFonts w:ascii="Arial" w:hAnsi="Arial" w:cs="Arial"/>
                <w:bCs/>
                <w:sz w:val="20"/>
                <w:szCs w:val="20"/>
                <w:lang w:val="en-GB"/>
              </w:rPr>
              <w:t>FD&amp;C Blue #1/Brilliant Blue FCF Aluminium Lake (E133) (10 mg strength only)</w:t>
            </w:r>
          </w:p>
        </w:tc>
      </w:tr>
      <w:tr w:rsidR="002123E1" w:rsidRPr="004F1EA4" w14:paraId="34C2EED0" w14:textId="46F0E88E" w:rsidTr="002123E1">
        <w:tc>
          <w:tcPr>
            <w:tcW w:w="5000" w:type="pct"/>
          </w:tcPr>
          <w:p w14:paraId="060DFB2E" w14:textId="77777777" w:rsidR="002123E1" w:rsidRPr="004F1EA4" w:rsidRDefault="002123E1" w:rsidP="003852E7">
            <w:pPr>
              <w:pStyle w:val="BodyText3"/>
              <w:spacing w:line="480" w:lineRule="auto"/>
              <w:jc w:val="both"/>
              <w:rPr>
                <w:rFonts w:cs="Arial"/>
                <w:b/>
                <w:sz w:val="20"/>
                <w:lang w:val="en-GB"/>
              </w:rPr>
            </w:pPr>
          </w:p>
        </w:tc>
      </w:tr>
      <w:tr w:rsidR="002123E1" w:rsidRPr="004F1EA4" w14:paraId="73BBCC2B" w14:textId="30722E44" w:rsidTr="002123E1">
        <w:tc>
          <w:tcPr>
            <w:tcW w:w="5000" w:type="pct"/>
          </w:tcPr>
          <w:p w14:paraId="7D6E4EDE" w14:textId="7EE78824" w:rsidR="002123E1" w:rsidRPr="004F1EA4" w:rsidRDefault="002123E1" w:rsidP="003852E7">
            <w:pPr>
              <w:pStyle w:val="Heading1"/>
              <w:rPr>
                <w:rFonts w:ascii="Arial" w:hAnsi="Arial" w:cs="Arial"/>
              </w:rPr>
            </w:pPr>
            <w:r w:rsidRPr="004F1EA4">
              <w:rPr>
                <w:rFonts w:ascii="Arial" w:hAnsi="Arial" w:cs="Arial"/>
              </w:rPr>
              <w:t>6.2 Incompatibilities</w:t>
            </w:r>
          </w:p>
        </w:tc>
      </w:tr>
      <w:tr w:rsidR="002123E1" w:rsidRPr="004F1EA4" w14:paraId="296D2F57" w14:textId="05FA21C6" w:rsidTr="002123E1">
        <w:tc>
          <w:tcPr>
            <w:tcW w:w="5000" w:type="pct"/>
          </w:tcPr>
          <w:p w14:paraId="08E42DED" w14:textId="5F2F2B71" w:rsidR="002123E1" w:rsidRPr="004F1EA4" w:rsidRDefault="002123E1" w:rsidP="003852E7">
            <w:pPr>
              <w:pStyle w:val="Heading1"/>
              <w:keepNext w:val="0"/>
              <w:rPr>
                <w:rFonts w:ascii="Arial" w:hAnsi="Arial" w:cs="Arial"/>
                <w:b w:val="0"/>
              </w:rPr>
            </w:pPr>
            <w:r w:rsidRPr="004F1EA4">
              <w:rPr>
                <w:rFonts w:ascii="Arial" w:hAnsi="Arial" w:cs="Arial"/>
                <w:b w:val="0"/>
              </w:rPr>
              <w:t>Not applicable.</w:t>
            </w:r>
          </w:p>
        </w:tc>
      </w:tr>
      <w:tr w:rsidR="002123E1" w:rsidRPr="004F1EA4" w14:paraId="3E823A51" w14:textId="404A3D36" w:rsidTr="002123E1">
        <w:tc>
          <w:tcPr>
            <w:tcW w:w="5000" w:type="pct"/>
          </w:tcPr>
          <w:p w14:paraId="372D4508" w14:textId="77777777" w:rsidR="002123E1" w:rsidRPr="004F1EA4" w:rsidRDefault="002123E1" w:rsidP="003852E7">
            <w:pPr>
              <w:spacing w:line="480" w:lineRule="auto"/>
              <w:jc w:val="both"/>
              <w:rPr>
                <w:rFonts w:ascii="Arial" w:hAnsi="Arial" w:cs="Arial"/>
                <w:b/>
                <w:sz w:val="20"/>
                <w:szCs w:val="20"/>
                <w:lang w:val="en-GB"/>
              </w:rPr>
            </w:pPr>
          </w:p>
        </w:tc>
      </w:tr>
      <w:tr w:rsidR="002123E1" w:rsidRPr="004F1EA4" w14:paraId="573B3D04" w14:textId="57042C82" w:rsidTr="002123E1">
        <w:tc>
          <w:tcPr>
            <w:tcW w:w="5000" w:type="pct"/>
          </w:tcPr>
          <w:p w14:paraId="01124F4E" w14:textId="246509AB" w:rsidR="002123E1" w:rsidRPr="004F1EA4" w:rsidRDefault="002123E1" w:rsidP="003852E7">
            <w:pPr>
              <w:keepNext/>
              <w:keepLines/>
              <w:widowControl w:val="0"/>
              <w:ind w:left="567" w:hanging="567"/>
              <w:outlineLvl w:val="0"/>
              <w:rPr>
                <w:rFonts w:ascii="Arial" w:hAnsi="Arial" w:cs="Arial"/>
                <w:noProof/>
                <w:sz w:val="20"/>
                <w:szCs w:val="20"/>
              </w:rPr>
            </w:pPr>
            <w:r w:rsidRPr="004F1EA4">
              <w:rPr>
                <w:rFonts w:ascii="Arial" w:hAnsi="Arial" w:cs="Arial"/>
                <w:b/>
                <w:noProof/>
                <w:sz w:val="20"/>
                <w:szCs w:val="20"/>
              </w:rPr>
              <w:t>6.3 Shelf life</w:t>
            </w:r>
          </w:p>
          <w:p w14:paraId="28F567ED" w14:textId="448DAD67" w:rsidR="002123E1" w:rsidRPr="004F1EA4" w:rsidRDefault="002123E1" w:rsidP="003852E7">
            <w:pPr>
              <w:keepNext/>
              <w:keepLines/>
              <w:widowControl w:val="0"/>
              <w:rPr>
                <w:rFonts w:ascii="Arial" w:hAnsi="Arial" w:cs="Arial"/>
                <w:i/>
                <w:color w:val="FF0000"/>
                <w:sz w:val="20"/>
                <w:szCs w:val="20"/>
                <w:vertAlign w:val="superscript"/>
                <w:lang w:val="en-GB"/>
              </w:rPr>
            </w:pPr>
          </w:p>
        </w:tc>
      </w:tr>
      <w:tr w:rsidR="002123E1" w:rsidRPr="004F1EA4" w14:paraId="34781A9A" w14:textId="7C48D531" w:rsidTr="002123E1">
        <w:tc>
          <w:tcPr>
            <w:tcW w:w="5000" w:type="pct"/>
          </w:tcPr>
          <w:p w14:paraId="34AE6CB9" w14:textId="0176183D" w:rsidR="002123E1" w:rsidRPr="004F1EA4" w:rsidRDefault="002123E1" w:rsidP="003852E7">
            <w:pPr>
              <w:keepNext/>
              <w:keepLines/>
              <w:widowControl w:val="0"/>
              <w:rPr>
                <w:rFonts w:ascii="Arial" w:hAnsi="Arial" w:cs="Arial"/>
                <w:noProof/>
                <w:sz w:val="20"/>
                <w:szCs w:val="20"/>
              </w:rPr>
            </w:pPr>
            <w:r w:rsidRPr="004F1EA4">
              <w:rPr>
                <w:rFonts w:ascii="Arial" w:hAnsi="Arial" w:cs="Arial"/>
                <w:noProof/>
                <w:sz w:val="20"/>
                <w:szCs w:val="20"/>
              </w:rPr>
              <w:t>3 years</w:t>
            </w:r>
            <w:r>
              <w:rPr>
                <w:rFonts w:ascii="Arial" w:hAnsi="Arial" w:cs="Arial"/>
                <w:noProof/>
                <w:sz w:val="20"/>
                <w:szCs w:val="20"/>
              </w:rPr>
              <w:t>.</w:t>
            </w:r>
          </w:p>
        </w:tc>
      </w:tr>
      <w:tr w:rsidR="002123E1" w:rsidRPr="004F1EA4" w14:paraId="5E5F5D3F" w14:textId="398A08C9" w:rsidTr="002123E1">
        <w:tc>
          <w:tcPr>
            <w:tcW w:w="5000" w:type="pct"/>
          </w:tcPr>
          <w:p w14:paraId="1884075D" w14:textId="77777777" w:rsidR="002123E1" w:rsidRPr="004F1EA4" w:rsidRDefault="002123E1" w:rsidP="003852E7">
            <w:pPr>
              <w:spacing w:line="480" w:lineRule="auto"/>
              <w:jc w:val="both"/>
              <w:rPr>
                <w:rFonts w:ascii="Arial" w:hAnsi="Arial" w:cs="Arial"/>
                <w:sz w:val="20"/>
                <w:szCs w:val="20"/>
                <w:lang w:val="en-GB"/>
              </w:rPr>
            </w:pPr>
          </w:p>
        </w:tc>
      </w:tr>
      <w:tr w:rsidR="002123E1" w:rsidRPr="004F1EA4" w14:paraId="707872A0" w14:textId="68CAFF1E" w:rsidTr="002123E1">
        <w:tc>
          <w:tcPr>
            <w:tcW w:w="5000" w:type="pct"/>
          </w:tcPr>
          <w:p w14:paraId="0750B7D4" w14:textId="49400D6F" w:rsidR="002123E1" w:rsidRPr="004F1EA4" w:rsidRDefault="002123E1" w:rsidP="003852E7">
            <w:pPr>
              <w:keepNext/>
              <w:spacing w:line="480" w:lineRule="auto"/>
              <w:ind w:left="567" w:hanging="567"/>
              <w:outlineLvl w:val="0"/>
              <w:rPr>
                <w:rFonts w:ascii="Arial" w:hAnsi="Arial" w:cs="Arial"/>
                <w:noProof/>
                <w:sz w:val="20"/>
                <w:szCs w:val="20"/>
              </w:rPr>
            </w:pPr>
            <w:r w:rsidRPr="004F1EA4">
              <w:rPr>
                <w:rFonts w:ascii="Arial" w:hAnsi="Arial" w:cs="Arial"/>
                <w:b/>
                <w:noProof/>
                <w:sz w:val="20"/>
                <w:szCs w:val="20"/>
              </w:rPr>
              <w:t>6.4 Special precautions for storage</w:t>
            </w:r>
          </w:p>
        </w:tc>
      </w:tr>
      <w:tr w:rsidR="002123E1" w:rsidRPr="004F1EA4" w14:paraId="58B39372" w14:textId="6BD4C030" w:rsidTr="002123E1">
        <w:tc>
          <w:tcPr>
            <w:tcW w:w="5000" w:type="pct"/>
          </w:tcPr>
          <w:p w14:paraId="7594557A" w14:textId="172BF7D2" w:rsidR="002123E1" w:rsidRPr="004F1EA4" w:rsidRDefault="002123E1" w:rsidP="003852E7">
            <w:pPr>
              <w:keepNext/>
              <w:spacing w:line="480" w:lineRule="auto"/>
              <w:jc w:val="both"/>
              <w:rPr>
                <w:rFonts w:ascii="Arial" w:hAnsi="Arial" w:cs="Arial"/>
                <w:bCs/>
                <w:sz w:val="20"/>
                <w:szCs w:val="20"/>
              </w:rPr>
            </w:pPr>
            <w:r w:rsidRPr="004F1EA4">
              <w:rPr>
                <w:rFonts w:ascii="Arial" w:hAnsi="Arial" w:cs="Arial"/>
                <w:sz w:val="20"/>
                <w:szCs w:val="20"/>
              </w:rPr>
              <w:t xml:space="preserve">XELJANZ does not require any special </w:t>
            </w:r>
            <w:r w:rsidRPr="004F1EA4">
              <w:rPr>
                <w:rFonts w:ascii="Arial" w:hAnsi="Arial" w:cs="Arial"/>
                <w:bCs/>
                <w:sz w:val="20"/>
                <w:szCs w:val="20"/>
              </w:rPr>
              <w:t xml:space="preserve">temperature </w:t>
            </w:r>
            <w:r w:rsidRPr="004F1EA4">
              <w:rPr>
                <w:rFonts w:ascii="Arial" w:hAnsi="Arial" w:cs="Arial"/>
                <w:sz w:val="20"/>
                <w:szCs w:val="20"/>
              </w:rPr>
              <w:t>storage conditions</w:t>
            </w:r>
            <w:r w:rsidRPr="004F1EA4">
              <w:rPr>
                <w:rFonts w:ascii="Arial" w:hAnsi="Arial" w:cs="Arial"/>
                <w:bCs/>
                <w:sz w:val="20"/>
                <w:szCs w:val="20"/>
              </w:rPr>
              <w:t>.</w:t>
            </w:r>
          </w:p>
        </w:tc>
      </w:tr>
      <w:tr w:rsidR="002123E1" w:rsidRPr="004F1EA4" w14:paraId="0578198E" w14:textId="6D102C60" w:rsidTr="002123E1">
        <w:tc>
          <w:tcPr>
            <w:tcW w:w="5000" w:type="pct"/>
          </w:tcPr>
          <w:p w14:paraId="35E3467F" w14:textId="47BC0054" w:rsidR="002123E1" w:rsidRPr="004F1EA4" w:rsidRDefault="002123E1" w:rsidP="003852E7">
            <w:pPr>
              <w:spacing w:line="480" w:lineRule="auto"/>
              <w:jc w:val="both"/>
              <w:rPr>
                <w:rFonts w:ascii="Arial" w:hAnsi="Arial" w:cs="Arial"/>
                <w:bCs/>
                <w:sz w:val="20"/>
                <w:szCs w:val="20"/>
              </w:rPr>
            </w:pPr>
            <w:r w:rsidRPr="004F1EA4">
              <w:rPr>
                <w:rFonts w:ascii="Arial" w:hAnsi="Arial" w:cs="Arial"/>
                <w:bCs/>
                <w:sz w:val="20"/>
                <w:szCs w:val="20"/>
              </w:rPr>
              <w:t>Store in the original, bottle and/or blister, in order to protect from moisture.</w:t>
            </w:r>
          </w:p>
        </w:tc>
      </w:tr>
      <w:tr w:rsidR="002123E1" w:rsidRPr="004F1EA4" w14:paraId="45758A0A" w14:textId="6673E705" w:rsidTr="002123E1">
        <w:tc>
          <w:tcPr>
            <w:tcW w:w="5000" w:type="pct"/>
          </w:tcPr>
          <w:p w14:paraId="0BBD4170" w14:textId="77777777" w:rsidR="002123E1" w:rsidRPr="004F1EA4" w:rsidRDefault="002123E1" w:rsidP="003852E7">
            <w:pPr>
              <w:pStyle w:val="Heading7"/>
              <w:keepNext w:val="0"/>
              <w:spacing w:line="480" w:lineRule="auto"/>
              <w:jc w:val="both"/>
              <w:rPr>
                <w:rFonts w:ascii="Arial" w:hAnsi="Arial" w:cs="Arial"/>
                <w:bCs/>
                <w:iCs/>
                <w:u w:val="none"/>
                <w:lang w:val="en-GB"/>
              </w:rPr>
            </w:pPr>
          </w:p>
        </w:tc>
      </w:tr>
      <w:tr w:rsidR="002123E1" w:rsidRPr="004F1EA4" w14:paraId="5ACF12C8" w14:textId="51C1F6E6" w:rsidTr="002123E1">
        <w:tc>
          <w:tcPr>
            <w:tcW w:w="5000" w:type="pct"/>
          </w:tcPr>
          <w:p w14:paraId="2F6A4FAC" w14:textId="14B0E91B" w:rsidR="002123E1" w:rsidRPr="004F1EA4" w:rsidRDefault="002123E1" w:rsidP="003852E7">
            <w:pPr>
              <w:pStyle w:val="Subtitle"/>
              <w:jc w:val="both"/>
              <w:rPr>
                <w:bCs/>
                <w:sz w:val="20"/>
                <w:szCs w:val="20"/>
              </w:rPr>
            </w:pPr>
            <w:r w:rsidRPr="004F1EA4">
              <w:rPr>
                <w:bCs/>
                <w:sz w:val="20"/>
                <w:szCs w:val="20"/>
              </w:rPr>
              <w:t>6.5 Nature and contents of container</w:t>
            </w:r>
          </w:p>
        </w:tc>
      </w:tr>
      <w:tr w:rsidR="002123E1" w:rsidRPr="004F1EA4" w14:paraId="2F14ED33" w14:textId="6E9C6E79" w:rsidTr="002123E1">
        <w:tc>
          <w:tcPr>
            <w:tcW w:w="5000" w:type="pct"/>
          </w:tcPr>
          <w:p w14:paraId="7137949B" w14:textId="6B823CE1" w:rsidR="002123E1" w:rsidRPr="004F1EA4" w:rsidRDefault="002123E1" w:rsidP="003852E7">
            <w:pPr>
              <w:pStyle w:val="Subtitle"/>
              <w:jc w:val="both"/>
              <w:rPr>
                <w:b w:val="0"/>
                <w:bCs/>
                <w:i/>
                <w:sz w:val="20"/>
                <w:szCs w:val="20"/>
              </w:rPr>
            </w:pPr>
            <w:r w:rsidRPr="004F1EA4">
              <w:rPr>
                <w:b w:val="0"/>
                <w:bCs/>
                <w:i/>
                <w:sz w:val="20"/>
                <w:szCs w:val="20"/>
              </w:rPr>
              <w:t>XELJANZ 5 mg film coated tablets</w:t>
            </w:r>
          </w:p>
        </w:tc>
      </w:tr>
      <w:tr w:rsidR="002123E1" w:rsidRPr="004F1EA4" w14:paraId="0705CA8B" w14:textId="7BDE5591" w:rsidTr="002123E1">
        <w:tc>
          <w:tcPr>
            <w:tcW w:w="5000" w:type="pct"/>
          </w:tcPr>
          <w:p w14:paraId="387150CA" w14:textId="6F118730" w:rsidR="002123E1" w:rsidRPr="004F1EA4" w:rsidRDefault="002123E1" w:rsidP="003852E7">
            <w:pPr>
              <w:pStyle w:val="Subtitle"/>
              <w:jc w:val="both"/>
              <w:rPr>
                <w:b w:val="0"/>
                <w:bCs/>
                <w:sz w:val="20"/>
                <w:szCs w:val="20"/>
              </w:rPr>
            </w:pPr>
            <w:r w:rsidRPr="004F1EA4">
              <w:rPr>
                <w:b w:val="0"/>
                <w:bCs/>
                <w:sz w:val="20"/>
                <w:szCs w:val="20"/>
              </w:rPr>
              <w:t>HDPE bottles with silica gel desiccant and child-resistant caps containing 60 or 180 film-coated tablets.</w:t>
            </w:r>
          </w:p>
        </w:tc>
      </w:tr>
      <w:tr w:rsidR="002123E1" w:rsidRPr="004F1EA4" w14:paraId="2121A680" w14:textId="6FFC0C83" w:rsidTr="002123E1">
        <w:tc>
          <w:tcPr>
            <w:tcW w:w="5000" w:type="pct"/>
          </w:tcPr>
          <w:p w14:paraId="6D7CE521" w14:textId="2A0D218A" w:rsidR="002123E1" w:rsidRPr="004F1EA4" w:rsidRDefault="002123E1" w:rsidP="003852E7">
            <w:pPr>
              <w:pStyle w:val="BodyText"/>
              <w:jc w:val="both"/>
              <w:rPr>
                <w:sz w:val="20"/>
                <w:szCs w:val="20"/>
              </w:rPr>
            </w:pPr>
            <w:r w:rsidRPr="004F1EA4">
              <w:rPr>
                <w:b w:val="0"/>
                <w:bCs/>
                <w:sz w:val="20"/>
                <w:szCs w:val="20"/>
              </w:rPr>
              <w:t>Aluminium foil/PVC backed aluminium foil blisters containing 14 film-coated tablets. Each pack contains 56, 112, or 182 film-coated tablets.</w:t>
            </w:r>
          </w:p>
        </w:tc>
      </w:tr>
      <w:tr w:rsidR="002123E1" w:rsidRPr="004F1EA4" w14:paraId="1F1870BC" w14:textId="4096A9FC" w:rsidTr="002123E1">
        <w:tc>
          <w:tcPr>
            <w:tcW w:w="5000" w:type="pct"/>
          </w:tcPr>
          <w:p w14:paraId="08B6F0EE" w14:textId="77777777" w:rsidR="002123E1" w:rsidRPr="004F1EA4" w:rsidRDefault="002123E1" w:rsidP="003852E7">
            <w:pPr>
              <w:pStyle w:val="Heading2"/>
              <w:keepNext w:val="0"/>
              <w:spacing w:line="480" w:lineRule="auto"/>
              <w:jc w:val="both"/>
              <w:rPr>
                <w:bCs w:val="0"/>
                <w:i/>
                <w:sz w:val="20"/>
                <w:szCs w:val="20"/>
              </w:rPr>
            </w:pPr>
          </w:p>
        </w:tc>
      </w:tr>
      <w:tr w:rsidR="002123E1" w:rsidRPr="004F1EA4" w14:paraId="0178DE29" w14:textId="0527A0CF" w:rsidTr="002123E1">
        <w:tc>
          <w:tcPr>
            <w:tcW w:w="5000" w:type="pct"/>
          </w:tcPr>
          <w:p w14:paraId="10F759D8" w14:textId="3B4B640B" w:rsidR="002123E1" w:rsidRPr="004F1EA4" w:rsidRDefault="002123E1" w:rsidP="003852E7">
            <w:pPr>
              <w:keepNext/>
              <w:spacing w:line="480" w:lineRule="auto"/>
              <w:rPr>
                <w:rFonts w:ascii="Arial" w:hAnsi="Arial" w:cs="Arial"/>
                <w:bCs/>
                <w:i/>
                <w:iCs/>
                <w:sz w:val="20"/>
                <w:szCs w:val="20"/>
              </w:rPr>
            </w:pPr>
            <w:r w:rsidRPr="004F1EA4">
              <w:rPr>
                <w:rFonts w:ascii="Arial" w:hAnsi="Arial" w:cs="Arial"/>
                <w:bCs/>
                <w:i/>
                <w:iCs/>
                <w:sz w:val="20"/>
                <w:szCs w:val="20"/>
              </w:rPr>
              <w:lastRenderedPageBreak/>
              <w:t>XELJANZ 10 mg film</w:t>
            </w:r>
            <w:r w:rsidRPr="004F1EA4">
              <w:rPr>
                <w:rFonts w:ascii="Arial" w:hAnsi="Arial" w:cs="Arial"/>
                <w:bCs/>
                <w:i/>
                <w:iCs/>
                <w:sz w:val="20"/>
                <w:szCs w:val="20"/>
              </w:rPr>
              <w:noBreakHyphen/>
              <w:t>coated tablets</w:t>
            </w:r>
          </w:p>
        </w:tc>
      </w:tr>
      <w:tr w:rsidR="002123E1" w:rsidRPr="004F1EA4" w14:paraId="7B62DBD5" w14:textId="23E2FE8A" w:rsidTr="002123E1">
        <w:tc>
          <w:tcPr>
            <w:tcW w:w="5000" w:type="pct"/>
          </w:tcPr>
          <w:p w14:paraId="61FB7017" w14:textId="283AE2EC" w:rsidR="002123E1" w:rsidRPr="004F1EA4" w:rsidRDefault="002123E1" w:rsidP="003852E7">
            <w:pPr>
              <w:keepNext/>
              <w:spacing w:line="480" w:lineRule="auto"/>
              <w:jc w:val="both"/>
              <w:rPr>
                <w:rFonts w:ascii="Arial" w:hAnsi="Arial" w:cs="Arial"/>
                <w:sz w:val="20"/>
                <w:szCs w:val="20"/>
              </w:rPr>
            </w:pPr>
            <w:r w:rsidRPr="004F1EA4">
              <w:rPr>
                <w:rFonts w:ascii="Arial" w:hAnsi="Arial" w:cs="Arial"/>
                <w:sz w:val="20"/>
                <w:szCs w:val="20"/>
              </w:rPr>
              <w:t>HDPE bottles with silica gel desiccant and child-resistant caps containing 60 or 180 film</w:t>
            </w:r>
            <w:r w:rsidRPr="004F1EA4">
              <w:rPr>
                <w:rFonts w:ascii="Arial" w:hAnsi="Arial" w:cs="Arial"/>
                <w:sz w:val="20"/>
                <w:szCs w:val="20"/>
              </w:rPr>
              <w:noBreakHyphen/>
              <w:t>coated tablets.</w:t>
            </w:r>
          </w:p>
        </w:tc>
      </w:tr>
      <w:tr w:rsidR="002123E1" w:rsidRPr="004F1EA4" w14:paraId="73F20126" w14:textId="33243269" w:rsidTr="002123E1">
        <w:tc>
          <w:tcPr>
            <w:tcW w:w="5000" w:type="pct"/>
          </w:tcPr>
          <w:p w14:paraId="310CDE58" w14:textId="4D42EFFA" w:rsidR="002123E1" w:rsidRPr="004F1EA4" w:rsidRDefault="002123E1" w:rsidP="003852E7">
            <w:pPr>
              <w:keepNext/>
              <w:spacing w:line="480" w:lineRule="auto"/>
              <w:jc w:val="both"/>
              <w:rPr>
                <w:rFonts w:ascii="Arial" w:hAnsi="Arial" w:cs="Arial"/>
                <w:sz w:val="20"/>
                <w:szCs w:val="20"/>
              </w:rPr>
            </w:pPr>
            <w:proofErr w:type="spellStart"/>
            <w:r w:rsidRPr="004F1EA4">
              <w:rPr>
                <w:rFonts w:ascii="Arial" w:hAnsi="Arial" w:cs="Arial"/>
                <w:sz w:val="20"/>
                <w:szCs w:val="20"/>
              </w:rPr>
              <w:t>Aluminium</w:t>
            </w:r>
            <w:proofErr w:type="spellEnd"/>
            <w:r w:rsidRPr="004F1EA4">
              <w:rPr>
                <w:rFonts w:ascii="Arial" w:hAnsi="Arial" w:cs="Arial"/>
                <w:sz w:val="20"/>
                <w:szCs w:val="20"/>
              </w:rPr>
              <w:t xml:space="preserve"> foil/PVC backed </w:t>
            </w:r>
            <w:proofErr w:type="spellStart"/>
            <w:r w:rsidRPr="004F1EA4">
              <w:rPr>
                <w:rFonts w:ascii="Arial" w:hAnsi="Arial" w:cs="Arial"/>
                <w:sz w:val="20"/>
                <w:szCs w:val="20"/>
              </w:rPr>
              <w:t>aluminium</w:t>
            </w:r>
            <w:proofErr w:type="spellEnd"/>
            <w:r w:rsidRPr="004F1EA4">
              <w:rPr>
                <w:rFonts w:ascii="Arial" w:hAnsi="Arial" w:cs="Arial"/>
                <w:sz w:val="20"/>
                <w:szCs w:val="20"/>
              </w:rPr>
              <w:t xml:space="preserve"> foil blisters containing 14 film</w:t>
            </w:r>
            <w:r w:rsidRPr="004F1EA4">
              <w:rPr>
                <w:rFonts w:ascii="Arial" w:hAnsi="Arial" w:cs="Arial"/>
                <w:sz w:val="20"/>
                <w:szCs w:val="20"/>
              </w:rPr>
              <w:noBreakHyphen/>
              <w:t>coated tablets. Each pack contains 56, 112, or 182 film</w:t>
            </w:r>
            <w:r w:rsidRPr="004F1EA4">
              <w:rPr>
                <w:rFonts w:ascii="Arial" w:hAnsi="Arial" w:cs="Arial"/>
                <w:sz w:val="20"/>
                <w:szCs w:val="20"/>
              </w:rPr>
              <w:noBreakHyphen/>
              <w:t>coated tablets.</w:t>
            </w:r>
          </w:p>
        </w:tc>
      </w:tr>
      <w:tr w:rsidR="002123E1" w:rsidRPr="004F1EA4" w14:paraId="43A397AB" w14:textId="5D2564F7" w:rsidTr="002123E1">
        <w:tc>
          <w:tcPr>
            <w:tcW w:w="5000" w:type="pct"/>
          </w:tcPr>
          <w:p w14:paraId="5BDEC3AB" w14:textId="77777777" w:rsidR="002123E1" w:rsidRPr="004F1EA4" w:rsidRDefault="002123E1" w:rsidP="003852E7">
            <w:pPr>
              <w:keepNext/>
              <w:spacing w:line="480" w:lineRule="auto"/>
              <w:jc w:val="both"/>
              <w:rPr>
                <w:rFonts w:ascii="Arial" w:hAnsi="Arial" w:cs="Arial"/>
                <w:sz w:val="20"/>
                <w:szCs w:val="20"/>
              </w:rPr>
            </w:pPr>
          </w:p>
        </w:tc>
      </w:tr>
      <w:tr w:rsidR="002123E1" w:rsidRPr="004F1EA4" w14:paraId="685E1A5F" w14:textId="3D23755E" w:rsidTr="002123E1">
        <w:tc>
          <w:tcPr>
            <w:tcW w:w="5000" w:type="pct"/>
          </w:tcPr>
          <w:p w14:paraId="2620FE39" w14:textId="5822E984" w:rsidR="002123E1" w:rsidRPr="004F1EA4" w:rsidRDefault="002123E1" w:rsidP="003852E7">
            <w:pPr>
              <w:spacing w:line="480" w:lineRule="auto"/>
              <w:rPr>
                <w:rFonts w:ascii="Arial" w:hAnsi="Arial" w:cs="Arial"/>
                <w:noProof/>
                <w:sz w:val="20"/>
                <w:szCs w:val="20"/>
              </w:rPr>
            </w:pPr>
            <w:r w:rsidRPr="004F1EA4">
              <w:rPr>
                <w:rFonts w:ascii="Arial" w:hAnsi="Arial" w:cs="Arial"/>
                <w:noProof/>
                <w:sz w:val="20"/>
                <w:szCs w:val="20"/>
              </w:rPr>
              <w:t>Not all pack sizes may be marketed.</w:t>
            </w:r>
          </w:p>
        </w:tc>
      </w:tr>
      <w:tr w:rsidR="002123E1" w:rsidRPr="004F1EA4" w14:paraId="24733ADB" w14:textId="6938136A" w:rsidTr="002123E1">
        <w:tc>
          <w:tcPr>
            <w:tcW w:w="5000" w:type="pct"/>
          </w:tcPr>
          <w:p w14:paraId="288BEF10" w14:textId="77777777" w:rsidR="002123E1" w:rsidRPr="004F1EA4" w:rsidRDefault="002123E1" w:rsidP="003852E7">
            <w:pPr>
              <w:spacing w:line="480" w:lineRule="auto"/>
              <w:jc w:val="both"/>
              <w:rPr>
                <w:rFonts w:ascii="Arial" w:hAnsi="Arial" w:cs="Arial"/>
                <w:bCs/>
                <w:sz w:val="20"/>
                <w:szCs w:val="20"/>
                <w:lang w:val="en-GB"/>
              </w:rPr>
            </w:pPr>
          </w:p>
        </w:tc>
      </w:tr>
      <w:tr w:rsidR="002123E1" w:rsidRPr="004F1EA4" w14:paraId="1ECB6EB6" w14:textId="68ED9A16" w:rsidTr="002123E1">
        <w:tc>
          <w:tcPr>
            <w:tcW w:w="5000" w:type="pct"/>
          </w:tcPr>
          <w:p w14:paraId="58652EC2" w14:textId="376E68B4" w:rsidR="002123E1" w:rsidRPr="004F1EA4" w:rsidRDefault="002123E1" w:rsidP="003852E7">
            <w:pPr>
              <w:spacing w:line="480" w:lineRule="auto"/>
              <w:jc w:val="both"/>
              <w:rPr>
                <w:rFonts w:ascii="Arial" w:hAnsi="Arial" w:cs="Arial"/>
                <w:b/>
                <w:bCs/>
                <w:sz w:val="20"/>
                <w:szCs w:val="20"/>
                <w:lang w:val="en-GB"/>
              </w:rPr>
            </w:pPr>
            <w:r w:rsidRPr="004F1EA4">
              <w:rPr>
                <w:rFonts w:ascii="Arial" w:hAnsi="Arial" w:cs="Arial"/>
                <w:b/>
                <w:bCs/>
                <w:sz w:val="20"/>
                <w:szCs w:val="20"/>
                <w:lang w:val="en-GB"/>
              </w:rPr>
              <w:t>6.6 Special precautions for disposal</w:t>
            </w:r>
            <w:r w:rsidRPr="004F1EA4">
              <w:rPr>
                <w:sz w:val="20"/>
                <w:szCs w:val="20"/>
              </w:rPr>
              <w:t xml:space="preserve"> </w:t>
            </w:r>
          </w:p>
        </w:tc>
      </w:tr>
      <w:tr w:rsidR="002123E1" w:rsidRPr="004F1EA4" w14:paraId="735B1AD7" w14:textId="0DFDDC0C" w:rsidTr="002123E1">
        <w:tc>
          <w:tcPr>
            <w:tcW w:w="5000" w:type="pct"/>
          </w:tcPr>
          <w:p w14:paraId="3CF18DE9" w14:textId="0BDBDEC2" w:rsidR="002123E1" w:rsidRPr="004F1EA4" w:rsidRDefault="002123E1" w:rsidP="003852E7">
            <w:pPr>
              <w:spacing w:line="480" w:lineRule="auto"/>
              <w:jc w:val="both"/>
              <w:rPr>
                <w:rFonts w:ascii="Arial" w:hAnsi="Arial" w:cs="Arial"/>
                <w:sz w:val="20"/>
                <w:szCs w:val="20"/>
                <w:lang w:val="en-GB"/>
              </w:rPr>
            </w:pPr>
            <w:r w:rsidRPr="004F1EA4">
              <w:rPr>
                <w:rFonts w:ascii="Arial" w:hAnsi="Arial" w:cs="Arial"/>
                <w:sz w:val="20"/>
                <w:szCs w:val="20"/>
                <w:lang w:val="en-GB"/>
              </w:rPr>
              <w:t>No special requirements for disposal.</w:t>
            </w:r>
          </w:p>
        </w:tc>
      </w:tr>
      <w:tr w:rsidR="002123E1" w:rsidRPr="004F1EA4" w14:paraId="2323F7B1" w14:textId="22E33896" w:rsidTr="002123E1">
        <w:tc>
          <w:tcPr>
            <w:tcW w:w="5000" w:type="pct"/>
          </w:tcPr>
          <w:p w14:paraId="01CB996D" w14:textId="77777777" w:rsidR="002123E1" w:rsidRPr="004F1EA4" w:rsidRDefault="002123E1" w:rsidP="003852E7">
            <w:pPr>
              <w:pStyle w:val="Heading2"/>
              <w:keepNext w:val="0"/>
              <w:spacing w:line="480" w:lineRule="auto"/>
              <w:jc w:val="both"/>
              <w:rPr>
                <w:i/>
                <w:sz w:val="20"/>
                <w:szCs w:val="20"/>
              </w:rPr>
            </w:pPr>
          </w:p>
        </w:tc>
      </w:tr>
      <w:tr w:rsidR="002123E1" w:rsidRPr="004F1EA4" w14:paraId="448F0EFD" w14:textId="21235631" w:rsidTr="002123E1">
        <w:tc>
          <w:tcPr>
            <w:tcW w:w="5000" w:type="pct"/>
          </w:tcPr>
          <w:p w14:paraId="3B52671E" w14:textId="7EB5547B" w:rsidR="002123E1" w:rsidRPr="000575D2" w:rsidRDefault="002123E1" w:rsidP="003852E7">
            <w:pPr>
              <w:pStyle w:val="Heading2"/>
              <w:keepNext w:val="0"/>
              <w:spacing w:line="480" w:lineRule="auto"/>
              <w:ind w:left="72"/>
              <w:jc w:val="both"/>
              <w:rPr>
                <w:sz w:val="20"/>
                <w:szCs w:val="20"/>
              </w:rPr>
            </w:pPr>
            <w:r w:rsidRPr="000575D2">
              <w:rPr>
                <w:sz w:val="20"/>
                <w:szCs w:val="20"/>
              </w:rPr>
              <w:t>7. HOLDER OF CERTIFICATE OF REGISTRATION</w:t>
            </w:r>
          </w:p>
        </w:tc>
      </w:tr>
      <w:tr w:rsidR="002123E1" w:rsidRPr="004F1EA4" w14:paraId="277CB793" w14:textId="3403E604" w:rsidTr="002123E1">
        <w:tc>
          <w:tcPr>
            <w:tcW w:w="5000" w:type="pct"/>
          </w:tcPr>
          <w:p w14:paraId="7887AC77" w14:textId="5FD963EC" w:rsidR="002123E1" w:rsidRPr="004F1EA4" w:rsidRDefault="002123E1" w:rsidP="003852E7">
            <w:pPr>
              <w:spacing w:line="480" w:lineRule="auto"/>
              <w:jc w:val="both"/>
              <w:rPr>
                <w:rFonts w:ascii="Arial" w:hAnsi="Arial" w:cs="Arial"/>
                <w:sz w:val="20"/>
                <w:szCs w:val="20"/>
                <w:lang w:val="en-GB"/>
              </w:rPr>
            </w:pPr>
            <w:r w:rsidRPr="004F1EA4">
              <w:rPr>
                <w:rFonts w:ascii="Arial" w:hAnsi="Arial" w:cs="Arial"/>
                <w:sz w:val="20"/>
                <w:szCs w:val="20"/>
                <w:lang w:val="en-GB"/>
              </w:rPr>
              <w:t>Pfizer Laboratories (Pty) Ltd</w:t>
            </w:r>
          </w:p>
        </w:tc>
      </w:tr>
      <w:tr w:rsidR="002123E1" w:rsidRPr="004F1EA4" w14:paraId="2303261F" w14:textId="3DF3628D" w:rsidTr="002123E1">
        <w:tc>
          <w:tcPr>
            <w:tcW w:w="5000" w:type="pct"/>
          </w:tcPr>
          <w:p w14:paraId="0A332DDD" w14:textId="46E1BEEF" w:rsidR="002123E1" w:rsidRPr="004F1EA4" w:rsidRDefault="002123E1" w:rsidP="003852E7">
            <w:pPr>
              <w:spacing w:line="480" w:lineRule="auto"/>
              <w:jc w:val="both"/>
              <w:rPr>
                <w:rFonts w:ascii="Arial" w:hAnsi="Arial" w:cs="Arial"/>
                <w:sz w:val="20"/>
                <w:szCs w:val="20"/>
                <w:lang w:val="en-GB"/>
              </w:rPr>
            </w:pPr>
            <w:r w:rsidRPr="004F1EA4">
              <w:rPr>
                <w:rFonts w:ascii="Arial" w:hAnsi="Arial" w:cs="Arial"/>
                <w:sz w:val="20"/>
                <w:szCs w:val="20"/>
                <w:lang w:val="en-GB"/>
              </w:rPr>
              <w:t>85 Bute Lane</w:t>
            </w:r>
          </w:p>
        </w:tc>
      </w:tr>
      <w:tr w:rsidR="002123E1" w:rsidRPr="004F1EA4" w14:paraId="3653C710" w14:textId="71E20694" w:rsidTr="002123E1">
        <w:tc>
          <w:tcPr>
            <w:tcW w:w="5000" w:type="pct"/>
          </w:tcPr>
          <w:p w14:paraId="69A60EC3" w14:textId="745E9BF3" w:rsidR="002123E1" w:rsidRPr="004F1EA4" w:rsidRDefault="002123E1" w:rsidP="003852E7">
            <w:pPr>
              <w:spacing w:line="480" w:lineRule="auto"/>
              <w:jc w:val="both"/>
              <w:rPr>
                <w:rFonts w:ascii="Arial" w:hAnsi="Arial" w:cs="Arial"/>
                <w:sz w:val="20"/>
                <w:szCs w:val="20"/>
                <w:lang w:val="en-GB"/>
              </w:rPr>
            </w:pPr>
            <w:r w:rsidRPr="004F1EA4">
              <w:rPr>
                <w:rFonts w:ascii="Arial" w:hAnsi="Arial" w:cs="Arial"/>
                <w:sz w:val="20"/>
                <w:szCs w:val="20"/>
                <w:lang w:val="en-GB"/>
              </w:rPr>
              <w:t>Sandton, 2196</w:t>
            </w:r>
          </w:p>
        </w:tc>
      </w:tr>
      <w:tr w:rsidR="002123E1" w:rsidRPr="004F1EA4" w14:paraId="740D6E0B" w14:textId="70CE7ECF" w:rsidTr="002123E1">
        <w:tc>
          <w:tcPr>
            <w:tcW w:w="5000" w:type="pct"/>
          </w:tcPr>
          <w:p w14:paraId="5EEE598E" w14:textId="3C55CE96" w:rsidR="002123E1" w:rsidRPr="004F1EA4" w:rsidRDefault="002123E1" w:rsidP="003852E7">
            <w:pPr>
              <w:pStyle w:val="Heading2"/>
              <w:keepNext w:val="0"/>
              <w:spacing w:line="480" w:lineRule="auto"/>
              <w:jc w:val="both"/>
              <w:rPr>
                <w:b w:val="0"/>
                <w:sz w:val="20"/>
                <w:szCs w:val="20"/>
              </w:rPr>
            </w:pPr>
            <w:r w:rsidRPr="004F1EA4">
              <w:rPr>
                <w:b w:val="0"/>
                <w:sz w:val="20"/>
                <w:szCs w:val="20"/>
              </w:rPr>
              <w:t>South Africa</w:t>
            </w:r>
          </w:p>
        </w:tc>
      </w:tr>
      <w:tr w:rsidR="002123E1" w:rsidRPr="004F1EA4" w14:paraId="4A4A062C" w14:textId="07EB382B" w:rsidTr="002123E1">
        <w:tc>
          <w:tcPr>
            <w:tcW w:w="5000" w:type="pct"/>
          </w:tcPr>
          <w:p w14:paraId="13D6F6FC" w14:textId="20D2B435" w:rsidR="002123E1" w:rsidRPr="004F1EA4" w:rsidRDefault="002123E1" w:rsidP="003852E7">
            <w:pPr>
              <w:spacing w:line="480" w:lineRule="auto"/>
              <w:jc w:val="both"/>
              <w:rPr>
                <w:rFonts w:ascii="Arial" w:hAnsi="Arial" w:cs="Arial"/>
                <w:sz w:val="20"/>
                <w:szCs w:val="20"/>
                <w:lang w:val="en-GB"/>
              </w:rPr>
            </w:pPr>
            <w:bookmarkStart w:id="9" w:name="_Hlk13646425"/>
            <w:r w:rsidRPr="004F1EA4">
              <w:rPr>
                <w:rFonts w:ascii="Arial" w:hAnsi="Arial" w:cs="Arial"/>
                <w:sz w:val="20"/>
                <w:szCs w:val="20"/>
                <w:lang w:val="en-GB"/>
              </w:rPr>
              <w:t xml:space="preserve">Tel: +27(0)11 320 6000 / 0860 734 937 (toll free South Africa)  </w:t>
            </w:r>
          </w:p>
        </w:tc>
      </w:tr>
      <w:bookmarkEnd w:id="9"/>
      <w:tr w:rsidR="002123E1" w:rsidRPr="004F1EA4" w14:paraId="70B98D31" w14:textId="71D48AE1" w:rsidTr="002123E1">
        <w:tc>
          <w:tcPr>
            <w:tcW w:w="5000" w:type="pct"/>
          </w:tcPr>
          <w:p w14:paraId="43C037B0" w14:textId="77777777" w:rsidR="002123E1" w:rsidRPr="004F1EA4" w:rsidRDefault="002123E1" w:rsidP="003852E7">
            <w:pPr>
              <w:pStyle w:val="Heading5"/>
              <w:keepNext w:val="0"/>
              <w:spacing w:line="480" w:lineRule="auto"/>
              <w:jc w:val="both"/>
              <w:rPr>
                <w:rFonts w:cs="Arial"/>
                <w:strike/>
                <w:sz w:val="20"/>
                <w:lang w:val="en-GB"/>
              </w:rPr>
            </w:pPr>
          </w:p>
        </w:tc>
      </w:tr>
      <w:tr w:rsidR="002123E1" w:rsidRPr="004F1EA4" w14:paraId="10668CB2" w14:textId="27FC3C69" w:rsidTr="002123E1">
        <w:tc>
          <w:tcPr>
            <w:tcW w:w="5000" w:type="pct"/>
          </w:tcPr>
          <w:p w14:paraId="4272E875" w14:textId="300532FE" w:rsidR="002123E1" w:rsidRPr="004F1EA4" w:rsidRDefault="002123E1" w:rsidP="00B538A4">
            <w:pPr>
              <w:pStyle w:val="ListParagraph"/>
              <w:numPr>
                <w:ilvl w:val="0"/>
                <w:numId w:val="7"/>
              </w:numPr>
              <w:spacing w:line="480" w:lineRule="auto"/>
              <w:ind w:left="316" w:hanging="270"/>
              <w:jc w:val="both"/>
              <w:rPr>
                <w:rFonts w:ascii="Arial" w:hAnsi="Arial" w:cs="Arial"/>
                <w:b/>
                <w:sz w:val="20"/>
                <w:szCs w:val="20"/>
                <w:lang w:val="en-GB"/>
              </w:rPr>
            </w:pPr>
            <w:r w:rsidRPr="004F1EA4">
              <w:rPr>
                <w:rFonts w:ascii="Arial" w:hAnsi="Arial" w:cs="Arial"/>
                <w:b/>
                <w:sz w:val="20"/>
                <w:szCs w:val="20"/>
                <w:lang w:val="en-GB"/>
              </w:rPr>
              <w:t>REGISTRATION NUMBER</w:t>
            </w:r>
            <w:r>
              <w:rPr>
                <w:rFonts w:ascii="Arial" w:hAnsi="Arial" w:cs="Arial"/>
                <w:b/>
                <w:sz w:val="20"/>
                <w:szCs w:val="20"/>
                <w:lang w:val="en-GB"/>
              </w:rPr>
              <w:t>S</w:t>
            </w:r>
          </w:p>
        </w:tc>
      </w:tr>
      <w:tr w:rsidR="002123E1" w:rsidRPr="004F1EA4" w14:paraId="2A34E5C5" w14:textId="0EBA4665" w:rsidTr="002123E1">
        <w:tc>
          <w:tcPr>
            <w:tcW w:w="5000" w:type="pct"/>
          </w:tcPr>
          <w:p w14:paraId="60C71B6A" w14:textId="7E261D9C" w:rsidR="002123E1" w:rsidRDefault="0026137D" w:rsidP="008809D2">
            <w:pPr>
              <w:spacing w:line="480" w:lineRule="auto"/>
              <w:jc w:val="both"/>
              <w:rPr>
                <w:rFonts w:ascii="Arial" w:hAnsi="Arial" w:cs="Arial"/>
                <w:sz w:val="20"/>
                <w:szCs w:val="20"/>
                <w:lang w:val="en-GB"/>
              </w:rPr>
            </w:pPr>
            <w:r w:rsidRPr="004F1EA4">
              <w:rPr>
                <w:rFonts w:ascii="Arial" w:hAnsi="Arial" w:cs="Arial"/>
                <w:sz w:val="20"/>
                <w:szCs w:val="20"/>
                <w:lang w:val="en-GB"/>
              </w:rPr>
              <w:t>XELJANZ</w:t>
            </w:r>
            <w:r w:rsidRPr="004F1EA4">
              <w:rPr>
                <w:rFonts w:ascii="Arial" w:hAnsi="Arial" w:cs="Arial"/>
                <w:sz w:val="20"/>
                <w:szCs w:val="20"/>
                <w:vertAlign w:val="superscript"/>
                <w:lang w:val="en-GB"/>
              </w:rPr>
              <w:t xml:space="preserve">® </w:t>
            </w:r>
            <w:r w:rsidRPr="004F1EA4">
              <w:rPr>
                <w:rFonts w:ascii="Arial" w:hAnsi="Arial" w:cs="Arial"/>
                <w:sz w:val="20"/>
                <w:szCs w:val="20"/>
                <w:lang w:val="en-GB"/>
              </w:rPr>
              <w:t>5 mg film-coated tablets</w:t>
            </w:r>
            <w:r>
              <w:rPr>
                <w:rFonts w:ascii="Arial" w:hAnsi="Arial" w:cs="Arial"/>
                <w:sz w:val="20"/>
                <w:szCs w:val="20"/>
                <w:lang w:val="en-GB"/>
              </w:rPr>
              <w:t>: 47/3.1/1156</w:t>
            </w:r>
          </w:p>
          <w:p w14:paraId="0086568A" w14:textId="7A94F87D" w:rsidR="0026137D" w:rsidRPr="004F1EA4" w:rsidRDefault="0026137D" w:rsidP="008809D2">
            <w:pPr>
              <w:spacing w:line="480" w:lineRule="auto"/>
              <w:jc w:val="both"/>
              <w:rPr>
                <w:rFonts w:ascii="Arial" w:hAnsi="Arial" w:cs="Arial"/>
                <w:b/>
                <w:sz w:val="20"/>
                <w:szCs w:val="20"/>
                <w:lang w:val="en-GB"/>
              </w:rPr>
            </w:pPr>
            <w:r w:rsidRPr="004F1EA4">
              <w:rPr>
                <w:rFonts w:ascii="Arial" w:hAnsi="Arial" w:cs="Arial"/>
                <w:sz w:val="20"/>
                <w:szCs w:val="20"/>
                <w:lang w:val="en-GB"/>
              </w:rPr>
              <w:t>XELJANZ</w:t>
            </w:r>
            <w:r w:rsidRPr="004F1EA4">
              <w:rPr>
                <w:rFonts w:ascii="Arial" w:hAnsi="Arial" w:cs="Arial"/>
                <w:sz w:val="20"/>
                <w:szCs w:val="20"/>
                <w:vertAlign w:val="superscript"/>
                <w:lang w:val="en-GB"/>
              </w:rPr>
              <w:t xml:space="preserve">® </w:t>
            </w:r>
            <w:r>
              <w:rPr>
                <w:rFonts w:ascii="Arial" w:hAnsi="Arial" w:cs="Arial"/>
                <w:sz w:val="20"/>
                <w:szCs w:val="20"/>
                <w:lang w:val="en-GB"/>
              </w:rPr>
              <w:t xml:space="preserve">10 </w:t>
            </w:r>
            <w:r w:rsidRPr="004F1EA4">
              <w:rPr>
                <w:rFonts w:ascii="Arial" w:hAnsi="Arial" w:cs="Arial"/>
                <w:sz w:val="20"/>
                <w:szCs w:val="20"/>
                <w:lang w:val="en-GB"/>
              </w:rPr>
              <w:t>mg film-coated tablets</w:t>
            </w:r>
            <w:r>
              <w:rPr>
                <w:rFonts w:ascii="Arial" w:hAnsi="Arial" w:cs="Arial"/>
                <w:sz w:val="20"/>
                <w:szCs w:val="20"/>
                <w:lang w:val="en-GB"/>
              </w:rPr>
              <w:t>: 47/3.1/1157</w:t>
            </w:r>
          </w:p>
        </w:tc>
      </w:tr>
      <w:tr w:rsidR="002123E1" w:rsidRPr="004F1EA4" w14:paraId="2B999CD8" w14:textId="691ED20B" w:rsidTr="002123E1">
        <w:tc>
          <w:tcPr>
            <w:tcW w:w="5000" w:type="pct"/>
          </w:tcPr>
          <w:p w14:paraId="5DD4C252" w14:textId="7DC52032" w:rsidR="008F5A67" w:rsidRPr="004F1EA4" w:rsidRDefault="008F5A67" w:rsidP="003852E7">
            <w:pPr>
              <w:pStyle w:val="ListParagraph"/>
              <w:spacing w:line="480" w:lineRule="auto"/>
              <w:ind w:left="316"/>
              <w:jc w:val="both"/>
              <w:rPr>
                <w:rFonts w:ascii="Arial" w:hAnsi="Arial" w:cs="Arial"/>
                <w:b/>
                <w:sz w:val="20"/>
                <w:szCs w:val="20"/>
                <w:lang w:val="en-GB"/>
              </w:rPr>
            </w:pPr>
          </w:p>
        </w:tc>
      </w:tr>
      <w:tr w:rsidR="002123E1" w:rsidRPr="004F1EA4" w14:paraId="2224488D" w14:textId="149262D7" w:rsidTr="002123E1">
        <w:tc>
          <w:tcPr>
            <w:tcW w:w="5000" w:type="pct"/>
          </w:tcPr>
          <w:p w14:paraId="7C7EF0D3" w14:textId="3DC74444" w:rsidR="002123E1" w:rsidRPr="004F1EA4" w:rsidRDefault="002123E1" w:rsidP="00B538A4">
            <w:pPr>
              <w:pStyle w:val="ListParagraph"/>
              <w:numPr>
                <w:ilvl w:val="0"/>
                <w:numId w:val="7"/>
              </w:numPr>
              <w:spacing w:line="480" w:lineRule="auto"/>
              <w:ind w:left="316" w:hanging="270"/>
              <w:jc w:val="both"/>
              <w:rPr>
                <w:rFonts w:ascii="Arial" w:hAnsi="Arial" w:cs="Arial"/>
                <w:b/>
                <w:sz w:val="20"/>
                <w:szCs w:val="20"/>
                <w:lang w:val="en-GB"/>
              </w:rPr>
            </w:pPr>
            <w:r w:rsidRPr="004F1EA4">
              <w:rPr>
                <w:rFonts w:ascii="Arial" w:hAnsi="Arial" w:cs="Arial"/>
                <w:b/>
                <w:sz w:val="20"/>
                <w:szCs w:val="20"/>
              </w:rPr>
              <w:t>DATE OF FIRST AUTHORISATION</w:t>
            </w:r>
          </w:p>
        </w:tc>
      </w:tr>
      <w:tr w:rsidR="002123E1" w:rsidRPr="004F1EA4" w14:paraId="4E3E134E" w14:textId="7DBEE9DD" w:rsidTr="002123E1">
        <w:tc>
          <w:tcPr>
            <w:tcW w:w="5000" w:type="pct"/>
          </w:tcPr>
          <w:p w14:paraId="27237AF6" w14:textId="6A88A86F" w:rsidR="002123E1" w:rsidRPr="004F1EA4" w:rsidRDefault="0026137D" w:rsidP="003852E7">
            <w:pPr>
              <w:spacing w:line="480" w:lineRule="auto"/>
              <w:jc w:val="both"/>
              <w:rPr>
                <w:rFonts w:ascii="Arial" w:hAnsi="Arial" w:cs="Arial"/>
                <w:sz w:val="20"/>
                <w:szCs w:val="20"/>
                <w:lang w:val="en-GB"/>
              </w:rPr>
            </w:pPr>
            <w:r>
              <w:rPr>
                <w:rFonts w:ascii="Arial" w:hAnsi="Arial" w:cs="Arial"/>
                <w:sz w:val="20"/>
                <w:szCs w:val="20"/>
              </w:rPr>
              <w:t>27 October 2020</w:t>
            </w:r>
          </w:p>
        </w:tc>
      </w:tr>
      <w:tr w:rsidR="002123E1" w:rsidRPr="004F1EA4" w14:paraId="0369B72C" w14:textId="58A893DC" w:rsidTr="002123E1">
        <w:tc>
          <w:tcPr>
            <w:tcW w:w="5000" w:type="pct"/>
          </w:tcPr>
          <w:p w14:paraId="73C7FB25" w14:textId="77777777" w:rsidR="002123E1" w:rsidRPr="004F1EA4" w:rsidRDefault="002123E1" w:rsidP="003852E7">
            <w:pPr>
              <w:spacing w:line="480" w:lineRule="auto"/>
              <w:jc w:val="both"/>
              <w:rPr>
                <w:rFonts w:ascii="Arial" w:hAnsi="Arial" w:cs="Arial"/>
                <w:sz w:val="20"/>
                <w:szCs w:val="20"/>
              </w:rPr>
            </w:pPr>
          </w:p>
        </w:tc>
      </w:tr>
      <w:tr w:rsidR="002123E1" w:rsidRPr="004F1EA4" w14:paraId="4F79E99F" w14:textId="095D987C" w:rsidTr="002123E1">
        <w:tc>
          <w:tcPr>
            <w:tcW w:w="5000" w:type="pct"/>
          </w:tcPr>
          <w:p w14:paraId="369D2020" w14:textId="5075DAB3" w:rsidR="002123E1" w:rsidRPr="004F1EA4" w:rsidRDefault="002123E1" w:rsidP="003852E7">
            <w:pPr>
              <w:spacing w:line="480" w:lineRule="auto"/>
              <w:jc w:val="both"/>
              <w:rPr>
                <w:rFonts w:ascii="Arial" w:hAnsi="Arial" w:cs="Arial"/>
                <w:b/>
                <w:sz w:val="20"/>
                <w:szCs w:val="20"/>
              </w:rPr>
            </w:pPr>
            <w:r w:rsidRPr="004F1EA4">
              <w:rPr>
                <w:rFonts w:ascii="Arial" w:hAnsi="Arial" w:cs="Arial"/>
                <w:b/>
                <w:sz w:val="20"/>
                <w:szCs w:val="20"/>
              </w:rPr>
              <w:t>10.  DATE OF REVISION OF THE TEXT</w:t>
            </w:r>
          </w:p>
        </w:tc>
      </w:tr>
      <w:tr w:rsidR="002123E1" w:rsidRPr="004F1EA4" w14:paraId="26550C4D" w14:textId="7652814E" w:rsidTr="002123E1">
        <w:tc>
          <w:tcPr>
            <w:tcW w:w="5000" w:type="pct"/>
          </w:tcPr>
          <w:tbl>
            <w:tblPr>
              <w:tblW w:w="5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5"/>
            </w:tblGrid>
            <w:tr w:rsidR="002123E1" w:rsidRPr="009156C3" w14:paraId="65536719" w14:textId="77777777" w:rsidTr="008809D2">
              <w:trPr>
                <w:trHeight w:val="566"/>
              </w:trPr>
              <w:tc>
                <w:tcPr>
                  <w:tcW w:w="5005" w:type="dxa"/>
                  <w:shd w:val="clear" w:color="auto" w:fill="auto"/>
                </w:tcPr>
                <w:p w14:paraId="24CB0423" w14:textId="77777777" w:rsidR="002123E1" w:rsidRPr="009156C3" w:rsidRDefault="002123E1" w:rsidP="009156C3">
                  <w:pPr>
                    <w:widowControl w:val="0"/>
                    <w:tabs>
                      <w:tab w:val="left" w:pos="-1440"/>
                      <w:tab w:val="left" w:pos="-720"/>
                    </w:tabs>
                    <w:spacing w:line="480" w:lineRule="auto"/>
                    <w:rPr>
                      <w:rFonts w:ascii="Arial" w:hAnsi="Arial" w:cs="Arial"/>
                      <w:b/>
                      <w:color w:val="000000" w:themeColor="text1"/>
                      <w:sz w:val="20"/>
                      <w:szCs w:val="20"/>
                    </w:rPr>
                  </w:pPr>
                  <w:r w:rsidRPr="009156C3">
                    <w:rPr>
                      <w:rFonts w:ascii="Arial" w:hAnsi="Arial" w:cs="Arial"/>
                      <w:b/>
                      <w:color w:val="000000" w:themeColor="text1"/>
                      <w:sz w:val="20"/>
                      <w:szCs w:val="20"/>
                    </w:rPr>
                    <w:t>BOTSWANA: S2</w:t>
                  </w:r>
                </w:p>
                <w:p w14:paraId="21A9EFAF" w14:textId="77777777" w:rsidR="002123E1" w:rsidRPr="00385CAD" w:rsidRDefault="002123E1" w:rsidP="009156C3">
                  <w:pPr>
                    <w:widowControl w:val="0"/>
                    <w:spacing w:line="480" w:lineRule="auto"/>
                    <w:rPr>
                      <w:rFonts w:ascii="Arial" w:hAnsi="Arial" w:cs="Arial"/>
                      <w:b/>
                      <w:color w:val="000000" w:themeColor="text1"/>
                      <w:sz w:val="20"/>
                      <w:szCs w:val="20"/>
                    </w:rPr>
                  </w:pPr>
                  <w:r w:rsidRPr="00385CAD">
                    <w:rPr>
                      <w:rFonts w:ascii="Arial" w:hAnsi="Arial" w:cs="Arial"/>
                      <w:b/>
                      <w:color w:val="000000" w:themeColor="text1"/>
                      <w:sz w:val="20"/>
                      <w:szCs w:val="20"/>
                    </w:rPr>
                    <w:t>Xeljanz 5 mg:</w:t>
                  </w:r>
                </w:p>
                <w:p w14:paraId="1B6A8AAF" w14:textId="0F5CD39C" w:rsidR="002123E1" w:rsidRDefault="002123E1" w:rsidP="009156C3">
                  <w:pPr>
                    <w:widowControl w:val="0"/>
                    <w:spacing w:line="480" w:lineRule="auto"/>
                    <w:rPr>
                      <w:rFonts w:ascii="Arial" w:hAnsi="Arial" w:cs="Arial"/>
                      <w:bCs/>
                      <w:color w:val="000000" w:themeColor="text1"/>
                      <w:sz w:val="20"/>
                      <w:szCs w:val="20"/>
                    </w:rPr>
                  </w:pPr>
                  <w:r>
                    <w:rPr>
                      <w:rFonts w:ascii="Arial" w:hAnsi="Arial" w:cs="Arial"/>
                      <w:bCs/>
                      <w:color w:val="000000" w:themeColor="text1"/>
                      <w:sz w:val="20"/>
                      <w:szCs w:val="20"/>
                    </w:rPr>
                    <w:t xml:space="preserve">60 tablets in HDPE bottle- </w:t>
                  </w:r>
                  <w:r w:rsidRPr="009156C3">
                    <w:rPr>
                      <w:rFonts w:ascii="Arial" w:hAnsi="Arial" w:cs="Arial"/>
                      <w:bCs/>
                      <w:color w:val="000000" w:themeColor="text1"/>
                      <w:sz w:val="20"/>
                      <w:szCs w:val="20"/>
                    </w:rPr>
                    <w:t>Reg. No.: BOT</w:t>
                  </w:r>
                  <w:r>
                    <w:rPr>
                      <w:rFonts w:ascii="Arial" w:hAnsi="Arial" w:cs="Arial"/>
                      <w:bCs/>
                      <w:color w:val="000000" w:themeColor="text1"/>
                      <w:sz w:val="20"/>
                      <w:szCs w:val="20"/>
                    </w:rPr>
                    <w:t>1502686</w:t>
                  </w:r>
                </w:p>
                <w:p w14:paraId="772EC2A3" w14:textId="3FDE51CE" w:rsidR="002123E1" w:rsidRDefault="002123E1" w:rsidP="009156C3">
                  <w:pPr>
                    <w:widowControl w:val="0"/>
                    <w:spacing w:line="480" w:lineRule="auto"/>
                    <w:rPr>
                      <w:rFonts w:ascii="Arial" w:hAnsi="Arial" w:cs="Arial"/>
                      <w:bCs/>
                      <w:color w:val="000000" w:themeColor="text1"/>
                      <w:sz w:val="20"/>
                      <w:szCs w:val="20"/>
                    </w:rPr>
                  </w:pPr>
                  <w:r>
                    <w:rPr>
                      <w:rFonts w:ascii="Arial" w:hAnsi="Arial" w:cs="Arial"/>
                      <w:bCs/>
                      <w:color w:val="000000" w:themeColor="text1"/>
                      <w:sz w:val="20"/>
                      <w:szCs w:val="20"/>
                    </w:rPr>
                    <w:t>180 tablets in HDPE bottle- Reg. No.: BOT1502686A</w:t>
                  </w:r>
                </w:p>
                <w:p w14:paraId="6157187D" w14:textId="3969954B" w:rsidR="002123E1" w:rsidRPr="009156C3" w:rsidRDefault="002123E1" w:rsidP="009156C3">
                  <w:pPr>
                    <w:widowControl w:val="0"/>
                    <w:spacing w:line="480" w:lineRule="auto"/>
                    <w:rPr>
                      <w:rFonts w:ascii="Arial" w:hAnsi="Arial" w:cs="Arial"/>
                      <w:bCs/>
                      <w:color w:val="000000" w:themeColor="text1"/>
                      <w:sz w:val="20"/>
                      <w:szCs w:val="20"/>
                    </w:rPr>
                  </w:pPr>
                  <w:r>
                    <w:rPr>
                      <w:rFonts w:ascii="Arial" w:hAnsi="Arial" w:cs="Arial"/>
                      <w:bCs/>
                      <w:color w:val="000000" w:themeColor="text1"/>
                      <w:sz w:val="20"/>
                      <w:szCs w:val="20"/>
                    </w:rPr>
                    <w:lastRenderedPageBreak/>
                    <w:t>56 (4x14) in blisters- Reg. No.: BOT1502686B</w:t>
                  </w:r>
                </w:p>
              </w:tc>
            </w:tr>
            <w:tr w:rsidR="002123E1" w:rsidRPr="009156C3" w14:paraId="614FF106" w14:textId="77777777" w:rsidTr="00DC3D9B">
              <w:trPr>
                <w:trHeight w:val="1943"/>
              </w:trPr>
              <w:tc>
                <w:tcPr>
                  <w:tcW w:w="5005" w:type="dxa"/>
                  <w:shd w:val="clear" w:color="auto" w:fill="auto"/>
                </w:tcPr>
                <w:p w14:paraId="2111D552" w14:textId="77777777" w:rsidR="002123E1" w:rsidRPr="00385CAD" w:rsidRDefault="002123E1" w:rsidP="009156C3">
                  <w:pPr>
                    <w:widowControl w:val="0"/>
                    <w:tabs>
                      <w:tab w:val="left" w:pos="-1440"/>
                      <w:tab w:val="left" w:pos="-720"/>
                    </w:tabs>
                    <w:spacing w:line="480" w:lineRule="auto"/>
                    <w:rPr>
                      <w:rFonts w:ascii="Arial" w:hAnsi="Arial" w:cs="Arial"/>
                      <w:b/>
                      <w:color w:val="000000" w:themeColor="text1"/>
                      <w:sz w:val="20"/>
                      <w:szCs w:val="20"/>
                    </w:rPr>
                  </w:pPr>
                  <w:r w:rsidRPr="00385CAD">
                    <w:rPr>
                      <w:rFonts w:ascii="Arial" w:hAnsi="Arial" w:cs="Arial"/>
                      <w:b/>
                      <w:color w:val="000000" w:themeColor="text1"/>
                      <w:sz w:val="20"/>
                      <w:szCs w:val="20"/>
                    </w:rPr>
                    <w:lastRenderedPageBreak/>
                    <w:t>Xeljanz 10 mg:</w:t>
                  </w:r>
                </w:p>
                <w:p w14:paraId="119AFF56" w14:textId="445985DE" w:rsidR="002123E1" w:rsidRDefault="002123E1" w:rsidP="009156C3">
                  <w:pPr>
                    <w:widowControl w:val="0"/>
                    <w:tabs>
                      <w:tab w:val="left" w:pos="-1440"/>
                      <w:tab w:val="left" w:pos="-720"/>
                    </w:tabs>
                    <w:spacing w:line="480" w:lineRule="auto"/>
                    <w:rPr>
                      <w:rFonts w:ascii="Arial" w:hAnsi="Arial" w:cs="Arial"/>
                      <w:bCs/>
                      <w:color w:val="000000" w:themeColor="text1"/>
                      <w:sz w:val="20"/>
                      <w:szCs w:val="20"/>
                    </w:rPr>
                  </w:pPr>
                  <w:r>
                    <w:rPr>
                      <w:rFonts w:ascii="Arial" w:hAnsi="Arial" w:cs="Arial"/>
                      <w:bCs/>
                      <w:color w:val="000000" w:themeColor="text1"/>
                      <w:sz w:val="20"/>
                      <w:szCs w:val="20"/>
                    </w:rPr>
                    <w:t xml:space="preserve">60 tablets in HDPE bottle- </w:t>
                  </w:r>
                  <w:r w:rsidRPr="009156C3">
                    <w:rPr>
                      <w:rFonts w:ascii="Arial" w:hAnsi="Arial" w:cs="Arial"/>
                      <w:bCs/>
                      <w:color w:val="000000" w:themeColor="text1"/>
                      <w:sz w:val="20"/>
                      <w:szCs w:val="20"/>
                    </w:rPr>
                    <w:t>Reg. No.: BOT</w:t>
                  </w:r>
                  <w:r>
                    <w:rPr>
                      <w:rFonts w:ascii="Arial" w:hAnsi="Arial" w:cs="Arial"/>
                      <w:bCs/>
                      <w:color w:val="000000" w:themeColor="text1"/>
                      <w:sz w:val="20"/>
                      <w:szCs w:val="20"/>
                    </w:rPr>
                    <w:t>1502687</w:t>
                  </w:r>
                </w:p>
                <w:p w14:paraId="39716526" w14:textId="20F3E7B5" w:rsidR="002123E1" w:rsidRDefault="002123E1" w:rsidP="009156C3">
                  <w:pPr>
                    <w:widowControl w:val="0"/>
                    <w:tabs>
                      <w:tab w:val="left" w:pos="-1440"/>
                      <w:tab w:val="left" w:pos="-720"/>
                    </w:tabs>
                    <w:spacing w:line="480" w:lineRule="auto"/>
                    <w:rPr>
                      <w:rFonts w:ascii="Arial" w:hAnsi="Arial" w:cs="Arial"/>
                      <w:bCs/>
                      <w:color w:val="000000" w:themeColor="text1"/>
                      <w:sz w:val="20"/>
                      <w:szCs w:val="20"/>
                    </w:rPr>
                  </w:pPr>
                  <w:r>
                    <w:rPr>
                      <w:rFonts w:ascii="Arial" w:hAnsi="Arial" w:cs="Arial"/>
                      <w:bCs/>
                      <w:color w:val="000000" w:themeColor="text1"/>
                      <w:sz w:val="20"/>
                      <w:szCs w:val="20"/>
                    </w:rPr>
                    <w:t>180 tablets in HDPE bottle- Reg. No.: BOT1502687A</w:t>
                  </w:r>
                </w:p>
                <w:p w14:paraId="501C1B4B" w14:textId="70BE1B1D" w:rsidR="002123E1" w:rsidRPr="009156C3" w:rsidRDefault="002123E1" w:rsidP="009156C3">
                  <w:pPr>
                    <w:widowControl w:val="0"/>
                    <w:tabs>
                      <w:tab w:val="left" w:pos="-1440"/>
                      <w:tab w:val="left" w:pos="-720"/>
                    </w:tabs>
                    <w:spacing w:line="480" w:lineRule="auto"/>
                    <w:rPr>
                      <w:rFonts w:ascii="Arial" w:hAnsi="Arial" w:cs="Arial"/>
                      <w:bCs/>
                      <w:color w:val="000000" w:themeColor="text1"/>
                      <w:sz w:val="20"/>
                      <w:szCs w:val="20"/>
                    </w:rPr>
                  </w:pPr>
                  <w:r>
                    <w:rPr>
                      <w:rFonts w:ascii="Arial" w:hAnsi="Arial" w:cs="Arial"/>
                      <w:bCs/>
                      <w:color w:val="000000" w:themeColor="text1"/>
                      <w:sz w:val="20"/>
                      <w:szCs w:val="20"/>
                    </w:rPr>
                    <w:t>56 (4x14) in blisters- Reg. No.: BOT1502687B</w:t>
                  </w:r>
                </w:p>
              </w:tc>
            </w:tr>
          </w:tbl>
          <w:p w14:paraId="631CCDBE" w14:textId="528214DC" w:rsidR="002123E1" w:rsidRPr="009156C3" w:rsidRDefault="002123E1" w:rsidP="009156C3">
            <w:pPr>
              <w:spacing w:line="480" w:lineRule="auto"/>
              <w:jc w:val="both"/>
              <w:rPr>
                <w:rFonts w:ascii="Arial" w:hAnsi="Arial" w:cs="Arial"/>
                <w:sz w:val="20"/>
                <w:szCs w:val="20"/>
              </w:rPr>
            </w:pPr>
          </w:p>
        </w:tc>
      </w:tr>
      <w:tr w:rsidR="002123E1" w:rsidRPr="004F1EA4" w14:paraId="5ED2B574" w14:textId="2B15A620" w:rsidTr="002123E1">
        <w:tc>
          <w:tcPr>
            <w:tcW w:w="5000" w:type="pct"/>
          </w:tcPr>
          <w:p w14:paraId="4EBAD4CD" w14:textId="77777777" w:rsidR="002123E1" w:rsidRPr="009156C3" w:rsidRDefault="002123E1" w:rsidP="009156C3">
            <w:pPr>
              <w:spacing w:line="480" w:lineRule="auto"/>
              <w:jc w:val="both"/>
              <w:rPr>
                <w:rFonts w:ascii="Arial" w:hAnsi="Arial" w:cs="Arial"/>
                <w:sz w:val="20"/>
                <w:szCs w:val="20"/>
              </w:rPr>
            </w:pPr>
          </w:p>
        </w:tc>
      </w:tr>
      <w:tr w:rsidR="002123E1" w:rsidRPr="004F1EA4" w14:paraId="670478A2" w14:textId="38E08A69" w:rsidTr="002123E1">
        <w:tc>
          <w:tcPr>
            <w:tcW w:w="5000" w:type="pct"/>
          </w:tcPr>
          <w:tbl>
            <w:tblPr>
              <w:tblW w:w="5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5"/>
            </w:tblGrid>
            <w:tr w:rsidR="002123E1" w:rsidRPr="009156C3" w14:paraId="40F09FC9" w14:textId="77777777" w:rsidTr="00DC3D9B">
              <w:tc>
                <w:tcPr>
                  <w:tcW w:w="5005" w:type="dxa"/>
                  <w:shd w:val="clear" w:color="auto" w:fill="auto"/>
                </w:tcPr>
                <w:p w14:paraId="29F263D7" w14:textId="77777777" w:rsidR="002123E1" w:rsidRDefault="002123E1" w:rsidP="009156C3">
                  <w:pPr>
                    <w:widowControl w:val="0"/>
                    <w:spacing w:line="480" w:lineRule="auto"/>
                    <w:rPr>
                      <w:rFonts w:ascii="Arial" w:hAnsi="Arial" w:cs="Arial"/>
                      <w:b/>
                      <w:color w:val="000000" w:themeColor="text1"/>
                      <w:sz w:val="20"/>
                      <w:szCs w:val="20"/>
                    </w:rPr>
                  </w:pPr>
                  <w:r>
                    <w:rPr>
                      <w:rFonts w:ascii="Arial" w:hAnsi="Arial" w:cs="Arial"/>
                      <w:b/>
                      <w:color w:val="000000" w:themeColor="text1"/>
                      <w:sz w:val="20"/>
                      <w:szCs w:val="20"/>
                    </w:rPr>
                    <w:t>ZIMBABWE: PP</w:t>
                  </w:r>
                </w:p>
                <w:p w14:paraId="2B85A3FB" w14:textId="332DE889" w:rsidR="002123E1" w:rsidRPr="009156C3" w:rsidRDefault="002123E1" w:rsidP="009156C3">
                  <w:pPr>
                    <w:widowControl w:val="0"/>
                    <w:spacing w:line="480" w:lineRule="auto"/>
                    <w:rPr>
                      <w:rFonts w:ascii="Arial" w:hAnsi="Arial" w:cs="Arial"/>
                      <w:bCs/>
                      <w:color w:val="000000" w:themeColor="text1"/>
                      <w:sz w:val="20"/>
                      <w:szCs w:val="20"/>
                    </w:rPr>
                  </w:pPr>
                  <w:r w:rsidRPr="00385CAD">
                    <w:rPr>
                      <w:rFonts w:ascii="Arial" w:hAnsi="Arial" w:cs="Arial"/>
                      <w:b/>
                      <w:color w:val="000000" w:themeColor="text1"/>
                      <w:sz w:val="20"/>
                      <w:szCs w:val="20"/>
                    </w:rPr>
                    <w:t>Xeljanz 5 mg:</w:t>
                  </w:r>
                  <w:r>
                    <w:rPr>
                      <w:rFonts w:ascii="Arial" w:hAnsi="Arial" w:cs="Arial"/>
                      <w:bCs/>
                      <w:color w:val="000000" w:themeColor="text1"/>
                      <w:sz w:val="20"/>
                      <w:szCs w:val="20"/>
                    </w:rPr>
                    <w:t xml:space="preserve"> 2014/3.3/4956</w:t>
                  </w:r>
                </w:p>
              </w:tc>
            </w:tr>
          </w:tbl>
          <w:p w14:paraId="1B2235DE" w14:textId="77777777" w:rsidR="002123E1" w:rsidRPr="009156C3" w:rsidRDefault="002123E1" w:rsidP="009156C3">
            <w:pPr>
              <w:spacing w:line="480" w:lineRule="auto"/>
              <w:jc w:val="both"/>
              <w:rPr>
                <w:rFonts w:ascii="Arial" w:hAnsi="Arial" w:cs="Arial"/>
                <w:sz w:val="20"/>
                <w:szCs w:val="20"/>
              </w:rPr>
            </w:pPr>
          </w:p>
        </w:tc>
      </w:tr>
    </w:tbl>
    <w:p w14:paraId="21E11D97" w14:textId="77777777" w:rsidR="00601836" w:rsidRDefault="00601836">
      <w:pPr>
        <w:rPr>
          <w:rFonts w:ascii="Arial" w:hAnsi="Arial" w:cs="Arial"/>
          <w:sz w:val="20"/>
        </w:rPr>
      </w:pPr>
    </w:p>
    <w:p w14:paraId="26DFFCE9" w14:textId="06C73732" w:rsidR="00601836" w:rsidRDefault="00601836">
      <w:pPr>
        <w:rPr>
          <w:rFonts w:ascii="Arial" w:hAnsi="Arial" w:cs="Arial"/>
          <w:sz w:val="20"/>
        </w:rPr>
      </w:pPr>
    </w:p>
    <w:sectPr w:rsidR="00601836" w:rsidSect="00651F60">
      <w:headerReference w:type="default" r:id="rId13"/>
      <w:footerReference w:type="even" r:id="rId14"/>
      <w:footerReference w:type="default" r:id="rId15"/>
      <w:headerReference w:type="first" r:id="rId16"/>
      <w:pgSz w:w="11909" w:h="16834" w:code="9"/>
      <w:pgMar w:top="1440" w:right="1440" w:bottom="1440" w:left="1440" w:header="86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6F8DD" w14:textId="77777777" w:rsidR="002123E1" w:rsidRDefault="002123E1">
      <w:r>
        <w:separator/>
      </w:r>
    </w:p>
  </w:endnote>
  <w:endnote w:type="continuationSeparator" w:id="0">
    <w:p w14:paraId="57271E7F" w14:textId="77777777" w:rsidR="002123E1" w:rsidRDefault="0021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93063" w14:textId="77777777" w:rsidR="002123E1" w:rsidRDefault="00212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5FC22173" w14:textId="77777777" w:rsidR="002123E1" w:rsidRDefault="002123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E4F4D" w14:textId="176849C3" w:rsidR="002123E1" w:rsidRPr="001E6059" w:rsidRDefault="002123E1" w:rsidP="004E06C4">
    <w:pPr>
      <w:pStyle w:val="Footer"/>
      <w:tabs>
        <w:tab w:val="clear" w:pos="8640"/>
        <w:tab w:val="right" w:pos="9029"/>
      </w:tabs>
      <w:ind w:firstLine="72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23249" w14:textId="77777777" w:rsidR="002123E1" w:rsidRDefault="002123E1">
      <w:r>
        <w:separator/>
      </w:r>
    </w:p>
  </w:footnote>
  <w:footnote w:type="continuationSeparator" w:id="0">
    <w:p w14:paraId="19226EBF" w14:textId="77777777" w:rsidR="002123E1" w:rsidRDefault="00212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42A8A" w14:textId="3A4F5E9B" w:rsidR="002123E1" w:rsidRPr="00EA3FCE" w:rsidRDefault="002123E1" w:rsidP="00075182">
    <w:pPr>
      <w:rPr>
        <w:rFonts w:ascii="Arial" w:hAnsi="Arial" w:cs="Arial"/>
        <w:sz w:val="20"/>
        <w:szCs w:val="20"/>
      </w:rPr>
    </w:pPr>
    <w:r w:rsidRPr="00EA3FCE">
      <w:rPr>
        <w:rFonts w:ascii="Arial" w:hAnsi="Arial" w:cs="Arial"/>
        <w:sz w:val="20"/>
        <w:szCs w:val="20"/>
      </w:rPr>
      <w:t>Pfizer Laboratories (Pty) Ltd</w:t>
    </w:r>
    <w:r w:rsidRPr="00EA3FCE">
      <w:rPr>
        <w:rFonts w:ascii="Arial" w:hAnsi="Arial" w:cs="Arial"/>
        <w:sz w:val="20"/>
        <w:szCs w:val="20"/>
      </w:rPr>
      <w:tab/>
    </w:r>
    <w:r w:rsidRPr="00EA3FCE">
      <w:rPr>
        <w:rFonts w:ascii="Arial" w:hAnsi="Arial" w:cs="Arial"/>
        <w:sz w:val="20"/>
        <w:szCs w:val="20"/>
      </w:rPr>
      <w:tab/>
    </w:r>
    <w:r w:rsidRPr="00EA3FCE">
      <w:rPr>
        <w:rFonts w:ascii="Arial" w:hAnsi="Arial" w:cs="Arial"/>
        <w:sz w:val="20"/>
        <w:szCs w:val="20"/>
      </w:rPr>
      <w:tab/>
    </w:r>
    <w:r w:rsidRPr="00EA3FCE">
      <w:rPr>
        <w:rFonts w:ascii="Arial" w:hAnsi="Arial" w:cs="Arial"/>
        <w:sz w:val="20"/>
        <w:szCs w:val="20"/>
      </w:rPr>
      <w:tab/>
    </w:r>
    <w:r w:rsidRPr="00EA3FCE">
      <w:rPr>
        <w:rFonts w:ascii="Arial" w:hAnsi="Arial" w:cs="Arial"/>
        <w:sz w:val="20"/>
        <w:szCs w:val="20"/>
      </w:rPr>
      <w:tab/>
    </w:r>
    <w:r w:rsidRPr="00EA3FCE">
      <w:rPr>
        <w:rFonts w:ascii="Arial" w:hAnsi="Arial" w:cs="Arial"/>
        <w:sz w:val="20"/>
        <w:szCs w:val="20"/>
      </w:rPr>
      <w:tab/>
    </w:r>
    <w:r>
      <w:rPr>
        <w:rFonts w:ascii="Arial" w:hAnsi="Arial" w:cs="Arial"/>
        <w:sz w:val="20"/>
        <w:szCs w:val="20"/>
      </w:rPr>
      <w:tab/>
    </w:r>
    <w:r w:rsidRPr="00EA3FCE">
      <w:rPr>
        <w:rFonts w:ascii="Arial" w:hAnsi="Arial" w:cs="Arial"/>
        <w:sz w:val="20"/>
        <w:szCs w:val="20"/>
      </w:rPr>
      <w:t xml:space="preserve">Page </w:t>
    </w:r>
    <w:r w:rsidRPr="00EA3FCE">
      <w:rPr>
        <w:rFonts w:ascii="Arial" w:hAnsi="Arial" w:cs="Arial"/>
        <w:sz w:val="20"/>
        <w:szCs w:val="20"/>
      </w:rPr>
      <w:fldChar w:fldCharType="begin"/>
    </w:r>
    <w:r w:rsidRPr="00EA3FCE">
      <w:rPr>
        <w:rFonts w:ascii="Arial" w:hAnsi="Arial" w:cs="Arial"/>
        <w:sz w:val="20"/>
        <w:szCs w:val="20"/>
      </w:rPr>
      <w:instrText xml:space="preserve"> PAGE </w:instrText>
    </w:r>
    <w:r w:rsidRPr="00EA3FCE">
      <w:rPr>
        <w:rFonts w:ascii="Arial" w:hAnsi="Arial" w:cs="Arial"/>
        <w:sz w:val="20"/>
        <w:szCs w:val="20"/>
      </w:rPr>
      <w:fldChar w:fldCharType="separate"/>
    </w:r>
    <w:r w:rsidRPr="00EA3FCE">
      <w:rPr>
        <w:rFonts w:ascii="Arial" w:hAnsi="Arial" w:cs="Arial"/>
        <w:noProof/>
        <w:sz w:val="20"/>
        <w:szCs w:val="20"/>
      </w:rPr>
      <w:t>43</w:t>
    </w:r>
    <w:r w:rsidRPr="00EA3FCE">
      <w:rPr>
        <w:rFonts w:ascii="Arial" w:hAnsi="Arial" w:cs="Arial"/>
        <w:sz w:val="20"/>
        <w:szCs w:val="20"/>
      </w:rPr>
      <w:fldChar w:fldCharType="end"/>
    </w:r>
    <w:r w:rsidRPr="00EA3FCE">
      <w:rPr>
        <w:rFonts w:ascii="Arial" w:hAnsi="Arial" w:cs="Arial"/>
        <w:sz w:val="20"/>
        <w:szCs w:val="20"/>
      </w:rPr>
      <w:t xml:space="preserve"> of </w:t>
    </w:r>
    <w:r w:rsidRPr="00EA3FCE">
      <w:rPr>
        <w:rFonts w:ascii="Arial" w:hAnsi="Arial" w:cs="Arial"/>
        <w:sz w:val="20"/>
        <w:szCs w:val="20"/>
      </w:rPr>
      <w:fldChar w:fldCharType="begin"/>
    </w:r>
    <w:r w:rsidRPr="00EA3FCE">
      <w:rPr>
        <w:rFonts w:ascii="Arial" w:hAnsi="Arial" w:cs="Arial"/>
        <w:sz w:val="20"/>
        <w:szCs w:val="20"/>
      </w:rPr>
      <w:instrText xml:space="preserve"> NUMPAGES  </w:instrText>
    </w:r>
    <w:r w:rsidRPr="00EA3FCE">
      <w:rPr>
        <w:rFonts w:ascii="Arial" w:hAnsi="Arial" w:cs="Arial"/>
        <w:sz w:val="20"/>
        <w:szCs w:val="20"/>
      </w:rPr>
      <w:fldChar w:fldCharType="separate"/>
    </w:r>
    <w:r w:rsidRPr="00EA3FCE">
      <w:rPr>
        <w:rFonts w:ascii="Arial" w:hAnsi="Arial" w:cs="Arial"/>
        <w:noProof/>
        <w:sz w:val="20"/>
        <w:szCs w:val="20"/>
      </w:rPr>
      <w:t>43</w:t>
    </w:r>
    <w:r w:rsidRPr="00EA3FCE">
      <w:rPr>
        <w:rFonts w:ascii="Arial" w:hAnsi="Arial" w:cs="Arial"/>
        <w:sz w:val="20"/>
        <w:szCs w:val="20"/>
      </w:rPr>
      <w:fldChar w:fldCharType="end"/>
    </w:r>
  </w:p>
  <w:p w14:paraId="3CF0BA03" w14:textId="2E8FE108" w:rsidR="002123E1" w:rsidRPr="00EA3FCE" w:rsidRDefault="002123E1" w:rsidP="00075182">
    <w:pPr>
      <w:pStyle w:val="Header"/>
      <w:rPr>
        <w:rFonts w:ascii="Arial" w:hAnsi="Arial" w:cs="Arial"/>
        <w:lang w:val="en-US"/>
      </w:rPr>
    </w:pPr>
    <w:r w:rsidRPr="004916D3">
      <w:rPr>
        <w:rFonts w:ascii="Arial" w:hAnsi="Arial" w:cs="Arial"/>
      </w:rPr>
      <w:t>Xeljanz 5 mg and 10 mg film-coated</w:t>
    </w:r>
    <w:r w:rsidRPr="00EA3FCE">
      <w:rPr>
        <w:rFonts w:ascii="Arial" w:hAnsi="Arial" w:cs="Arial"/>
      </w:rPr>
      <w:t xml:space="preserve"> tablets</w:t>
    </w:r>
  </w:p>
  <w:p w14:paraId="7A1CE2AC" w14:textId="278109C5" w:rsidR="002123E1" w:rsidRPr="00EA3FCE" w:rsidRDefault="008809D2" w:rsidP="00075182">
    <w:pPr>
      <w:pStyle w:val="Header"/>
      <w:rPr>
        <w:rFonts w:ascii="Arial" w:hAnsi="Arial" w:cs="Arial"/>
        <w:lang w:val="en-US"/>
      </w:rPr>
    </w:pPr>
    <w:r>
      <w:rPr>
        <w:rFonts w:ascii="Arial" w:hAnsi="Arial" w:cs="Arial"/>
        <w:lang w:val="en-US"/>
      </w:rPr>
      <w:t>Final approved</w:t>
    </w:r>
    <w:r w:rsidR="002123E1" w:rsidRPr="00EA3FCE">
      <w:rPr>
        <w:rFonts w:ascii="Arial" w:hAnsi="Arial" w:cs="Arial"/>
        <w:lang w:val="en-US"/>
      </w:rPr>
      <w:t xml:space="preserve"> professional information – </w:t>
    </w:r>
    <w:r>
      <w:rPr>
        <w:rFonts w:ascii="Arial" w:hAnsi="Arial" w:cs="Arial"/>
        <w:lang w:val="en-US"/>
      </w:rPr>
      <w:t>27 October</w:t>
    </w:r>
    <w:r w:rsidR="002123E1">
      <w:rPr>
        <w:rFonts w:ascii="Arial" w:hAnsi="Arial" w:cs="Arial"/>
        <w:lang w:val="en-US"/>
      </w:rPr>
      <w:t xml:space="preserve"> 2020</w:t>
    </w:r>
  </w:p>
  <w:p w14:paraId="4130DBAB" w14:textId="77777777" w:rsidR="002123E1" w:rsidRPr="005918F6" w:rsidRDefault="002123E1" w:rsidP="00075182">
    <w:pPr>
      <w:pStyle w:val="Header"/>
      <w:rPr>
        <w:rFonts w:ascii="Arial" w:hAnsi="Arial" w:cs="Arial"/>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E06C4" w14:textId="77777777" w:rsidR="002123E1" w:rsidRDefault="002123E1">
    <w:pPr>
      <w:pStyle w:val="Header"/>
      <w:jc w:val="right"/>
      <w:rPr>
        <w:lang w:val="en-US"/>
      </w:rPr>
    </w:pPr>
    <w:r>
      <w:rPr>
        <w:lang w:val="en-US"/>
      </w:rPr>
      <w:t>Response to Clinical Committee Recommendation dated 31 March 2006</w:t>
    </w:r>
  </w:p>
  <w:p w14:paraId="7506379C" w14:textId="77777777" w:rsidR="002123E1" w:rsidRDefault="002123E1">
    <w:pPr>
      <w:pStyle w:val="Header"/>
      <w:jc w:val="right"/>
      <w:rPr>
        <w:lang w:val="en-US"/>
      </w:rPr>
    </w:pPr>
    <w:r>
      <w:rPr>
        <w:lang w:val="en-US"/>
      </w:rPr>
      <w:tab/>
    </w:r>
    <w:r>
      <w:rPr>
        <w:lang w:val="en-US"/>
      </w:rPr>
      <w:tab/>
      <w:t xml:space="preserve">Incorporates submissions of 17 Sep 04, 15 Oct 04, 26 Nov 04, 20 Sep 05 &amp; 26 Oct 05. </w:t>
    </w:r>
  </w:p>
  <w:p w14:paraId="0A905489" w14:textId="77777777" w:rsidR="002123E1" w:rsidRDefault="002123E1">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0CD"/>
    <w:multiLevelType w:val="hybridMultilevel"/>
    <w:tmpl w:val="3912D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37676"/>
    <w:multiLevelType w:val="hybridMultilevel"/>
    <w:tmpl w:val="B0CE47D6"/>
    <w:lvl w:ilvl="0" w:tplc="31226B98">
      <w:numFmt w:val="bullet"/>
      <w:lvlText w:val="•"/>
      <w:lvlJc w:val="left"/>
      <w:pPr>
        <w:ind w:left="360" w:hanging="360"/>
      </w:pPr>
      <w:rPr>
        <w:rFonts w:ascii="Arial" w:eastAsia="Times New Roman" w:hAnsi="Arial" w:cs="Aria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087359"/>
    <w:multiLevelType w:val="hybridMultilevel"/>
    <w:tmpl w:val="5992A944"/>
    <w:lvl w:ilvl="0" w:tplc="6C94FB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F1D34"/>
    <w:multiLevelType w:val="hybridMultilevel"/>
    <w:tmpl w:val="0222525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00B92"/>
    <w:multiLevelType w:val="multilevel"/>
    <w:tmpl w:val="C7D24C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5" w15:restartNumberingAfterBreak="0">
    <w:nsid w:val="176523DE"/>
    <w:multiLevelType w:val="hybridMultilevel"/>
    <w:tmpl w:val="80525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B72AB"/>
    <w:multiLevelType w:val="hybridMultilevel"/>
    <w:tmpl w:val="F7A86A82"/>
    <w:lvl w:ilvl="0" w:tplc="31226B98">
      <w:numFmt w:val="bullet"/>
      <w:lvlText w:val="•"/>
      <w:lvlJc w:val="left"/>
      <w:pPr>
        <w:ind w:left="360" w:hanging="360"/>
      </w:pPr>
      <w:rPr>
        <w:rFonts w:ascii="Arial" w:eastAsia="Times New Roman" w:hAnsi="Arial" w:cs="Aria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51152B"/>
    <w:multiLevelType w:val="hybridMultilevel"/>
    <w:tmpl w:val="685E66E8"/>
    <w:lvl w:ilvl="0" w:tplc="6C94FB7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852F3C"/>
    <w:multiLevelType w:val="hybridMultilevel"/>
    <w:tmpl w:val="BA34D8B6"/>
    <w:lvl w:ilvl="0" w:tplc="6C94FB7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FB1D37"/>
    <w:multiLevelType w:val="multilevel"/>
    <w:tmpl w:val="14AA10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53A4F"/>
    <w:multiLevelType w:val="hybridMultilevel"/>
    <w:tmpl w:val="61B84624"/>
    <w:lvl w:ilvl="0" w:tplc="6C94FB7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6800C5"/>
    <w:multiLevelType w:val="hybridMultilevel"/>
    <w:tmpl w:val="69C29D88"/>
    <w:lvl w:ilvl="0" w:tplc="31226B98">
      <w:numFmt w:val="bullet"/>
      <w:lvlText w:val="•"/>
      <w:lvlJc w:val="left"/>
      <w:pPr>
        <w:ind w:left="360" w:hanging="360"/>
      </w:pPr>
      <w:rPr>
        <w:rFonts w:ascii="Arial" w:eastAsia="Times New Roman" w:hAnsi="Arial" w:cs="Aria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DEB66A7"/>
    <w:multiLevelType w:val="hybridMultilevel"/>
    <w:tmpl w:val="B91C1E54"/>
    <w:lvl w:ilvl="0" w:tplc="6C94FB7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0E67EA"/>
    <w:multiLevelType w:val="hybridMultilevel"/>
    <w:tmpl w:val="76109EFC"/>
    <w:lvl w:ilvl="0" w:tplc="31226B98">
      <w:numFmt w:val="bullet"/>
      <w:lvlText w:val="•"/>
      <w:lvlJc w:val="left"/>
      <w:pPr>
        <w:ind w:left="360" w:hanging="360"/>
      </w:pPr>
      <w:rPr>
        <w:rFonts w:ascii="Arial" w:eastAsia="Times New Roman" w:hAnsi="Arial" w:cs="Aria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CF82710"/>
    <w:multiLevelType w:val="hybridMultilevel"/>
    <w:tmpl w:val="C3D673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F96A08"/>
    <w:multiLevelType w:val="singleLevel"/>
    <w:tmpl w:val="8618B5E2"/>
    <w:lvl w:ilvl="0">
      <w:start w:val="1"/>
      <w:numFmt w:val="bullet"/>
      <w:pStyle w:val="BulletedSubTitle"/>
      <w:lvlText w:val=""/>
      <w:lvlJc w:val="left"/>
      <w:pPr>
        <w:tabs>
          <w:tab w:val="num" w:pos="567"/>
        </w:tabs>
        <w:ind w:left="567" w:hanging="567"/>
      </w:pPr>
      <w:rPr>
        <w:rFonts w:ascii="Symbol" w:hAnsi="Symbol" w:hint="default"/>
        <w:sz w:val="20"/>
      </w:rPr>
    </w:lvl>
  </w:abstractNum>
  <w:num w:numId="1">
    <w:abstractNumId w:val="15"/>
  </w:num>
  <w:num w:numId="2">
    <w:abstractNumId w:val="4"/>
  </w:num>
  <w:num w:numId="3">
    <w:abstractNumId w:val="14"/>
  </w:num>
  <w:num w:numId="4">
    <w:abstractNumId w:val="8"/>
  </w:num>
  <w:num w:numId="5">
    <w:abstractNumId w:val="9"/>
  </w:num>
  <w:num w:numId="6">
    <w:abstractNumId w:val="7"/>
  </w:num>
  <w:num w:numId="7">
    <w:abstractNumId w:val="3"/>
  </w:num>
  <w:num w:numId="8">
    <w:abstractNumId w:val="10"/>
  </w:num>
  <w:num w:numId="9">
    <w:abstractNumId w:val="12"/>
  </w:num>
  <w:num w:numId="10">
    <w:abstractNumId w:val="6"/>
  </w:num>
  <w:num w:numId="11">
    <w:abstractNumId w:val="11"/>
  </w:num>
  <w:num w:numId="12">
    <w:abstractNumId w:val="1"/>
  </w:num>
  <w:num w:numId="13">
    <w:abstractNumId w:val="13"/>
  </w:num>
  <w:num w:numId="14">
    <w:abstractNumId w:val="5"/>
  </w:num>
  <w:num w:numId="15">
    <w:abstractNumId w:val="0"/>
  </w:num>
  <w:num w:numId="1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0A"/>
    <w:rsid w:val="00001594"/>
    <w:rsid w:val="00001F8D"/>
    <w:rsid w:val="00002667"/>
    <w:rsid w:val="00002B76"/>
    <w:rsid w:val="00002DE2"/>
    <w:rsid w:val="0000344F"/>
    <w:rsid w:val="0000367C"/>
    <w:rsid w:val="00003897"/>
    <w:rsid w:val="000053A6"/>
    <w:rsid w:val="0000567E"/>
    <w:rsid w:val="000062D4"/>
    <w:rsid w:val="00006A4B"/>
    <w:rsid w:val="00006CFD"/>
    <w:rsid w:val="00007027"/>
    <w:rsid w:val="00007F86"/>
    <w:rsid w:val="00010BFC"/>
    <w:rsid w:val="00010F5B"/>
    <w:rsid w:val="00010FBC"/>
    <w:rsid w:val="00011544"/>
    <w:rsid w:val="00011939"/>
    <w:rsid w:val="00011BC5"/>
    <w:rsid w:val="0001357D"/>
    <w:rsid w:val="00013D7B"/>
    <w:rsid w:val="00013E2C"/>
    <w:rsid w:val="00015039"/>
    <w:rsid w:val="00015072"/>
    <w:rsid w:val="000158EA"/>
    <w:rsid w:val="00016295"/>
    <w:rsid w:val="000169B1"/>
    <w:rsid w:val="00016C7C"/>
    <w:rsid w:val="00017849"/>
    <w:rsid w:val="00017A12"/>
    <w:rsid w:val="00020052"/>
    <w:rsid w:val="000200ED"/>
    <w:rsid w:val="00021353"/>
    <w:rsid w:val="000213D2"/>
    <w:rsid w:val="0002203F"/>
    <w:rsid w:val="00022209"/>
    <w:rsid w:val="0002242B"/>
    <w:rsid w:val="0002396E"/>
    <w:rsid w:val="00023B54"/>
    <w:rsid w:val="00023FB1"/>
    <w:rsid w:val="0002486C"/>
    <w:rsid w:val="00024FC0"/>
    <w:rsid w:val="000258BB"/>
    <w:rsid w:val="0002694B"/>
    <w:rsid w:val="00026A5E"/>
    <w:rsid w:val="00026C18"/>
    <w:rsid w:val="00026F34"/>
    <w:rsid w:val="0002702B"/>
    <w:rsid w:val="0003003F"/>
    <w:rsid w:val="0003004B"/>
    <w:rsid w:val="00030306"/>
    <w:rsid w:val="00030E3E"/>
    <w:rsid w:val="0003137E"/>
    <w:rsid w:val="0003170A"/>
    <w:rsid w:val="00032E5F"/>
    <w:rsid w:val="00033597"/>
    <w:rsid w:val="00034F08"/>
    <w:rsid w:val="00034F53"/>
    <w:rsid w:val="000350D4"/>
    <w:rsid w:val="000351C3"/>
    <w:rsid w:val="00035219"/>
    <w:rsid w:val="00035313"/>
    <w:rsid w:val="000369D0"/>
    <w:rsid w:val="00037EC8"/>
    <w:rsid w:val="00037FE3"/>
    <w:rsid w:val="00040F3C"/>
    <w:rsid w:val="000410D5"/>
    <w:rsid w:val="00041C7A"/>
    <w:rsid w:val="00042468"/>
    <w:rsid w:val="000425D8"/>
    <w:rsid w:val="000428BF"/>
    <w:rsid w:val="00042F28"/>
    <w:rsid w:val="0004343C"/>
    <w:rsid w:val="0004383B"/>
    <w:rsid w:val="00043967"/>
    <w:rsid w:val="00043C32"/>
    <w:rsid w:val="00043C6F"/>
    <w:rsid w:val="00044B03"/>
    <w:rsid w:val="00044D15"/>
    <w:rsid w:val="000456FF"/>
    <w:rsid w:val="000459FB"/>
    <w:rsid w:val="00046011"/>
    <w:rsid w:val="000460D8"/>
    <w:rsid w:val="00047333"/>
    <w:rsid w:val="00047574"/>
    <w:rsid w:val="00047643"/>
    <w:rsid w:val="00047FAE"/>
    <w:rsid w:val="000500F3"/>
    <w:rsid w:val="000503BB"/>
    <w:rsid w:val="00051AFA"/>
    <w:rsid w:val="00052AB7"/>
    <w:rsid w:val="00052F7B"/>
    <w:rsid w:val="00053532"/>
    <w:rsid w:val="00053E09"/>
    <w:rsid w:val="00053F0A"/>
    <w:rsid w:val="0005448D"/>
    <w:rsid w:val="000546E0"/>
    <w:rsid w:val="00055DE8"/>
    <w:rsid w:val="000564CD"/>
    <w:rsid w:val="00056862"/>
    <w:rsid w:val="00056BFB"/>
    <w:rsid w:val="0005726F"/>
    <w:rsid w:val="0005745A"/>
    <w:rsid w:val="000575D2"/>
    <w:rsid w:val="00057BD1"/>
    <w:rsid w:val="00057DC1"/>
    <w:rsid w:val="00057E8D"/>
    <w:rsid w:val="00060128"/>
    <w:rsid w:val="00060143"/>
    <w:rsid w:val="000605CF"/>
    <w:rsid w:val="00060CD3"/>
    <w:rsid w:val="0006228F"/>
    <w:rsid w:val="000626DD"/>
    <w:rsid w:val="00062D16"/>
    <w:rsid w:val="0006321B"/>
    <w:rsid w:val="000633A9"/>
    <w:rsid w:val="000633BA"/>
    <w:rsid w:val="000639E3"/>
    <w:rsid w:val="00063B94"/>
    <w:rsid w:val="00064192"/>
    <w:rsid w:val="00064E07"/>
    <w:rsid w:val="00065C15"/>
    <w:rsid w:val="00065F26"/>
    <w:rsid w:val="0006622E"/>
    <w:rsid w:val="00066272"/>
    <w:rsid w:val="00066CDD"/>
    <w:rsid w:val="00067521"/>
    <w:rsid w:val="00067A5C"/>
    <w:rsid w:val="00070E18"/>
    <w:rsid w:val="00071EE7"/>
    <w:rsid w:val="00072368"/>
    <w:rsid w:val="00072475"/>
    <w:rsid w:val="0007275A"/>
    <w:rsid w:val="00072EE4"/>
    <w:rsid w:val="00073339"/>
    <w:rsid w:val="000738D7"/>
    <w:rsid w:val="0007407C"/>
    <w:rsid w:val="000745EB"/>
    <w:rsid w:val="00074CBB"/>
    <w:rsid w:val="00074DDF"/>
    <w:rsid w:val="00075182"/>
    <w:rsid w:val="000753A8"/>
    <w:rsid w:val="0007597B"/>
    <w:rsid w:val="00075F3A"/>
    <w:rsid w:val="0007646E"/>
    <w:rsid w:val="0007666E"/>
    <w:rsid w:val="00076E86"/>
    <w:rsid w:val="00077BED"/>
    <w:rsid w:val="000806DD"/>
    <w:rsid w:val="00080F33"/>
    <w:rsid w:val="00081238"/>
    <w:rsid w:val="0008270C"/>
    <w:rsid w:val="00082A6F"/>
    <w:rsid w:val="00082B8E"/>
    <w:rsid w:val="00082F84"/>
    <w:rsid w:val="00083055"/>
    <w:rsid w:val="000831BA"/>
    <w:rsid w:val="0008378B"/>
    <w:rsid w:val="00084154"/>
    <w:rsid w:val="00084967"/>
    <w:rsid w:val="00085890"/>
    <w:rsid w:val="00085C28"/>
    <w:rsid w:val="00085EA4"/>
    <w:rsid w:val="0008612E"/>
    <w:rsid w:val="000869E1"/>
    <w:rsid w:val="00086BDC"/>
    <w:rsid w:val="00086DD5"/>
    <w:rsid w:val="00086EE2"/>
    <w:rsid w:val="00087D4F"/>
    <w:rsid w:val="00090B0A"/>
    <w:rsid w:val="00090C98"/>
    <w:rsid w:val="00090E80"/>
    <w:rsid w:val="000919A6"/>
    <w:rsid w:val="00091D45"/>
    <w:rsid w:val="00092810"/>
    <w:rsid w:val="00092BF9"/>
    <w:rsid w:val="00092EB9"/>
    <w:rsid w:val="00092FD2"/>
    <w:rsid w:val="000932F9"/>
    <w:rsid w:val="0009334A"/>
    <w:rsid w:val="000940C7"/>
    <w:rsid w:val="000954CC"/>
    <w:rsid w:val="00095606"/>
    <w:rsid w:val="0009569D"/>
    <w:rsid w:val="00095A6C"/>
    <w:rsid w:val="00095EA7"/>
    <w:rsid w:val="00095F23"/>
    <w:rsid w:val="00096F73"/>
    <w:rsid w:val="0009723B"/>
    <w:rsid w:val="000A0629"/>
    <w:rsid w:val="000A0E96"/>
    <w:rsid w:val="000A170C"/>
    <w:rsid w:val="000A1C22"/>
    <w:rsid w:val="000A1C23"/>
    <w:rsid w:val="000A25E8"/>
    <w:rsid w:val="000A2AFE"/>
    <w:rsid w:val="000A2BAD"/>
    <w:rsid w:val="000A3064"/>
    <w:rsid w:val="000A390F"/>
    <w:rsid w:val="000A3AEE"/>
    <w:rsid w:val="000A3C1A"/>
    <w:rsid w:val="000A3F6B"/>
    <w:rsid w:val="000A4D2B"/>
    <w:rsid w:val="000A66D5"/>
    <w:rsid w:val="000A7152"/>
    <w:rsid w:val="000A7A0D"/>
    <w:rsid w:val="000B0042"/>
    <w:rsid w:val="000B121F"/>
    <w:rsid w:val="000B1BF0"/>
    <w:rsid w:val="000B25AE"/>
    <w:rsid w:val="000B2C90"/>
    <w:rsid w:val="000B31F5"/>
    <w:rsid w:val="000B4615"/>
    <w:rsid w:val="000B4D7C"/>
    <w:rsid w:val="000B5D37"/>
    <w:rsid w:val="000B5FC6"/>
    <w:rsid w:val="000B6C1C"/>
    <w:rsid w:val="000B750E"/>
    <w:rsid w:val="000B78FD"/>
    <w:rsid w:val="000B7F4D"/>
    <w:rsid w:val="000C067C"/>
    <w:rsid w:val="000C07B1"/>
    <w:rsid w:val="000C0AB5"/>
    <w:rsid w:val="000C11DB"/>
    <w:rsid w:val="000C1367"/>
    <w:rsid w:val="000C155B"/>
    <w:rsid w:val="000C1CFE"/>
    <w:rsid w:val="000C1E45"/>
    <w:rsid w:val="000C20BE"/>
    <w:rsid w:val="000C221A"/>
    <w:rsid w:val="000C2E54"/>
    <w:rsid w:val="000C4539"/>
    <w:rsid w:val="000C5129"/>
    <w:rsid w:val="000C5179"/>
    <w:rsid w:val="000C570D"/>
    <w:rsid w:val="000C6436"/>
    <w:rsid w:val="000C6A92"/>
    <w:rsid w:val="000C6CBA"/>
    <w:rsid w:val="000C78E8"/>
    <w:rsid w:val="000C7983"/>
    <w:rsid w:val="000C7D69"/>
    <w:rsid w:val="000D034B"/>
    <w:rsid w:val="000D303B"/>
    <w:rsid w:val="000D31AF"/>
    <w:rsid w:val="000D3ECF"/>
    <w:rsid w:val="000D3F8F"/>
    <w:rsid w:val="000D42C8"/>
    <w:rsid w:val="000D55B3"/>
    <w:rsid w:val="000D57AB"/>
    <w:rsid w:val="000D6443"/>
    <w:rsid w:val="000D6757"/>
    <w:rsid w:val="000D6E27"/>
    <w:rsid w:val="000D77A4"/>
    <w:rsid w:val="000E11DD"/>
    <w:rsid w:val="000E1887"/>
    <w:rsid w:val="000E1F10"/>
    <w:rsid w:val="000E219A"/>
    <w:rsid w:val="000E21C1"/>
    <w:rsid w:val="000E3197"/>
    <w:rsid w:val="000E33DF"/>
    <w:rsid w:val="000E3554"/>
    <w:rsid w:val="000E4BCA"/>
    <w:rsid w:val="000E4F36"/>
    <w:rsid w:val="000E5D7E"/>
    <w:rsid w:val="000E5DD1"/>
    <w:rsid w:val="000E62A2"/>
    <w:rsid w:val="000E7711"/>
    <w:rsid w:val="000E79BD"/>
    <w:rsid w:val="000E7CCF"/>
    <w:rsid w:val="000E7FE9"/>
    <w:rsid w:val="000F0401"/>
    <w:rsid w:val="000F0F6E"/>
    <w:rsid w:val="000F1118"/>
    <w:rsid w:val="000F11F1"/>
    <w:rsid w:val="000F1228"/>
    <w:rsid w:val="000F14A1"/>
    <w:rsid w:val="000F2357"/>
    <w:rsid w:val="000F3A59"/>
    <w:rsid w:val="000F44D9"/>
    <w:rsid w:val="000F459A"/>
    <w:rsid w:val="000F4ABA"/>
    <w:rsid w:val="000F4DD4"/>
    <w:rsid w:val="000F5271"/>
    <w:rsid w:val="000F5E38"/>
    <w:rsid w:val="000F6B37"/>
    <w:rsid w:val="000F7101"/>
    <w:rsid w:val="000F750C"/>
    <w:rsid w:val="00100518"/>
    <w:rsid w:val="00100EFA"/>
    <w:rsid w:val="0010158A"/>
    <w:rsid w:val="00101A71"/>
    <w:rsid w:val="00102A1A"/>
    <w:rsid w:val="00102CEB"/>
    <w:rsid w:val="00102E8D"/>
    <w:rsid w:val="00103AB7"/>
    <w:rsid w:val="00104736"/>
    <w:rsid w:val="00105052"/>
    <w:rsid w:val="001066F4"/>
    <w:rsid w:val="00106701"/>
    <w:rsid w:val="0010741A"/>
    <w:rsid w:val="001074D7"/>
    <w:rsid w:val="00110D02"/>
    <w:rsid w:val="00111DCA"/>
    <w:rsid w:val="00111E9C"/>
    <w:rsid w:val="001120F5"/>
    <w:rsid w:val="0011215B"/>
    <w:rsid w:val="0011221C"/>
    <w:rsid w:val="001128AA"/>
    <w:rsid w:val="001131CB"/>
    <w:rsid w:val="00113A7E"/>
    <w:rsid w:val="00113FCC"/>
    <w:rsid w:val="00114183"/>
    <w:rsid w:val="00114890"/>
    <w:rsid w:val="0011547D"/>
    <w:rsid w:val="00115656"/>
    <w:rsid w:val="00116257"/>
    <w:rsid w:val="00116297"/>
    <w:rsid w:val="00116498"/>
    <w:rsid w:val="0011666C"/>
    <w:rsid w:val="00116A4E"/>
    <w:rsid w:val="0011760B"/>
    <w:rsid w:val="0011760C"/>
    <w:rsid w:val="00117DE6"/>
    <w:rsid w:val="00117F8D"/>
    <w:rsid w:val="001209CF"/>
    <w:rsid w:val="001214AA"/>
    <w:rsid w:val="00121C45"/>
    <w:rsid w:val="00121E92"/>
    <w:rsid w:val="00122772"/>
    <w:rsid w:val="001227E1"/>
    <w:rsid w:val="00122FCD"/>
    <w:rsid w:val="0012314E"/>
    <w:rsid w:val="00123537"/>
    <w:rsid w:val="00123A69"/>
    <w:rsid w:val="00123C41"/>
    <w:rsid w:val="00123C48"/>
    <w:rsid w:val="00124D78"/>
    <w:rsid w:val="00125505"/>
    <w:rsid w:val="001255D9"/>
    <w:rsid w:val="00126392"/>
    <w:rsid w:val="0012648C"/>
    <w:rsid w:val="001268D0"/>
    <w:rsid w:val="0012705A"/>
    <w:rsid w:val="001278EF"/>
    <w:rsid w:val="00127BFA"/>
    <w:rsid w:val="00127F06"/>
    <w:rsid w:val="001300EC"/>
    <w:rsid w:val="001310C2"/>
    <w:rsid w:val="0013153A"/>
    <w:rsid w:val="0013221A"/>
    <w:rsid w:val="001335CC"/>
    <w:rsid w:val="0013416A"/>
    <w:rsid w:val="00134645"/>
    <w:rsid w:val="00134BF6"/>
    <w:rsid w:val="00135811"/>
    <w:rsid w:val="001359F0"/>
    <w:rsid w:val="001365B4"/>
    <w:rsid w:val="00136D0B"/>
    <w:rsid w:val="00136DA0"/>
    <w:rsid w:val="0013704E"/>
    <w:rsid w:val="0013733F"/>
    <w:rsid w:val="00137703"/>
    <w:rsid w:val="00137AF9"/>
    <w:rsid w:val="00140430"/>
    <w:rsid w:val="0014063A"/>
    <w:rsid w:val="0014074F"/>
    <w:rsid w:val="00140A9A"/>
    <w:rsid w:val="001415A8"/>
    <w:rsid w:val="00141692"/>
    <w:rsid w:val="00141C06"/>
    <w:rsid w:val="001429C6"/>
    <w:rsid w:val="00143110"/>
    <w:rsid w:val="00143699"/>
    <w:rsid w:val="00143A03"/>
    <w:rsid w:val="00143FB3"/>
    <w:rsid w:val="001443E8"/>
    <w:rsid w:val="0014476C"/>
    <w:rsid w:val="00144804"/>
    <w:rsid w:val="00145751"/>
    <w:rsid w:val="001457EC"/>
    <w:rsid w:val="00145CA1"/>
    <w:rsid w:val="0014609F"/>
    <w:rsid w:val="001463B5"/>
    <w:rsid w:val="001469FB"/>
    <w:rsid w:val="00146D27"/>
    <w:rsid w:val="001474DA"/>
    <w:rsid w:val="00147945"/>
    <w:rsid w:val="00147B7E"/>
    <w:rsid w:val="001507EF"/>
    <w:rsid w:val="00150905"/>
    <w:rsid w:val="00150A4E"/>
    <w:rsid w:val="00150B6B"/>
    <w:rsid w:val="00150E72"/>
    <w:rsid w:val="001511D3"/>
    <w:rsid w:val="00152118"/>
    <w:rsid w:val="0015334F"/>
    <w:rsid w:val="00153C03"/>
    <w:rsid w:val="00153E3B"/>
    <w:rsid w:val="00154009"/>
    <w:rsid w:val="0015406F"/>
    <w:rsid w:val="001541EB"/>
    <w:rsid w:val="00154B1D"/>
    <w:rsid w:val="00154C11"/>
    <w:rsid w:val="00155633"/>
    <w:rsid w:val="0015563B"/>
    <w:rsid w:val="00155BD5"/>
    <w:rsid w:val="0015602F"/>
    <w:rsid w:val="001560C7"/>
    <w:rsid w:val="001565BF"/>
    <w:rsid w:val="001575DC"/>
    <w:rsid w:val="00160162"/>
    <w:rsid w:val="0016124B"/>
    <w:rsid w:val="001616C8"/>
    <w:rsid w:val="001617C1"/>
    <w:rsid w:val="00162368"/>
    <w:rsid w:val="0016336D"/>
    <w:rsid w:val="00163418"/>
    <w:rsid w:val="001634B9"/>
    <w:rsid w:val="0016416E"/>
    <w:rsid w:val="00164263"/>
    <w:rsid w:val="001642CB"/>
    <w:rsid w:val="001647F7"/>
    <w:rsid w:val="001652DF"/>
    <w:rsid w:val="001655ED"/>
    <w:rsid w:val="00165B25"/>
    <w:rsid w:val="00165D33"/>
    <w:rsid w:val="00165D50"/>
    <w:rsid w:val="00166446"/>
    <w:rsid w:val="0016762D"/>
    <w:rsid w:val="001676CE"/>
    <w:rsid w:val="00167EB6"/>
    <w:rsid w:val="00170316"/>
    <w:rsid w:val="00170DA3"/>
    <w:rsid w:val="00172576"/>
    <w:rsid w:val="00172F6C"/>
    <w:rsid w:val="00174298"/>
    <w:rsid w:val="00174B12"/>
    <w:rsid w:val="00174E5A"/>
    <w:rsid w:val="00175005"/>
    <w:rsid w:val="00175CE7"/>
    <w:rsid w:val="001763E3"/>
    <w:rsid w:val="00176401"/>
    <w:rsid w:val="001772C8"/>
    <w:rsid w:val="001807E7"/>
    <w:rsid w:val="0018094B"/>
    <w:rsid w:val="001819B2"/>
    <w:rsid w:val="001819E3"/>
    <w:rsid w:val="00181FD7"/>
    <w:rsid w:val="001822F2"/>
    <w:rsid w:val="00182B13"/>
    <w:rsid w:val="00182CE6"/>
    <w:rsid w:val="001835D2"/>
    <w:rsid w:val="00183653"/>
    <w:rsid w:val="00184245"/>
    <w:rsid w:val="00184619"/>
    <w:rsid w:val="00184723"/>
    <w:rsid w:val="001848DC"/>
    <w:rsid w:val="001848F0"/>
    <w:rsid w:val="0018567C"/>
    <w:rsid w:val="00185AC7"/>
    <w:rsid w:val="00186A5E"/>
    <w:rsid w:val="00187208"/>
    <w:rsid w:val="001875D1"/>
    <w:rsid w:val="00187D67"/>
    <w:rsid w:val="00190053"/>
    <w:rsid w:val="001902F4"/>
    <w:rsid w:val="001903EE"/>
    <w:rsid w:val="00191228"/>
    <w:rsid w:val="00191385"/>
    <w:rsid w:val="0019166E"/>
    <w:rsid w:val="0019203A"/>
    <w:rsid w:val="001928BC"/>
    <w:rsid w:val="001942EC"/>
    <w:rsid w:val="0019434B"/>
    <w:rsid w:val="00194471"/>
    <w:rsid w:val="0019452C"/>
    <w:rsid w:val="00194C03"/>
    <w:rsid w:val="00194C81"/>
    <w:rsid w:val="00194D04"/>
    <w:rsid w:val="001951BC"/>
    <w:rsid w:val="001953CD"/>
    <w:rsid w:val="001962E9"/>
    <w:rsid w:val="001969BA"/>
    <w:rsid w:val="00197BE8"/>
    <w:rsid w:val="00197E60"/>
    <w:rsid w:val="001A0184"/>
    <w:rsid w:val="001A035B"/>
    <w:rsid w:val="001A051B"/>
    <w:rsid w:val="001A09A2"/>
    <w:rsid w:val="001A0A19"/>
    <w:rsid w:val="001A0D28"/>
    <w:rsid w:val="001A12EA"/>
    <w:rsid w:val="001A187B"/>
    <w:rsid w:val="001A1CE8"/>
    <w:rsid w:val="001A201E"/>
    <w:rsid w:val="001A2AAD"/>
    <w:rsid w:val="001A326A"/>
    <w:rsid w:val="001A327C"/>
    <w:rsid w:val="001A35F1"/>
    <w:rsid w:val="001A37D0"/>
    <w:rsid w:val="001A3BF6"/>
    <w:rsid w:val="001A4090"/>
    <w:rsid w:val="001A4102"/>
    <w:rsid w:val="001A44BB"/>
    <w:rsid w:val="001A4B03"/>
    <w:rsid w:val="001A575B"/>
    <w:rsid w:val="001A5ADB"/>
    <w:rsid w:val="001A5D95"/>
    <w:rsid w:val="001A5F48"/>
    <w:rsid w:val="001A6011"/>
    <w:rsid w:val="001A62E7"/>
    <w:rsid w:val="001A6CF4"/>
    <w:rsid w:val="001A6DBB"/>
    <w:rsid w:val="001A6E32"/>
    <w:rsid w:val="001A79C8"/>
    <w:rsid w:val="001B0659"/>
    <w:rsid w:val="001B071C"/>
    <w:rsid w:val="001B1753"/>
    <w:rsid w:val="001B1DDD"/>
    <w:rsid w:val="001B2BBD"/>
    <w:rsid w:val="001B2EBC"/>
    <w:rsid w:val="001B362F"/>
    <w:rsid w:val="001B3B64"/>
    <w:rsid w:val="001B45C8"/>
    <w:rsid w:val="001B4860"/>
    <w:rsid w:val="001B4FFE"/>
    <w:rsid w:val="001B561C"/>
    <w:rsid w:val="001B5A5A"/>
    <w:rsid w:val="001B67A3"/>
    <w:rsid w:val="001B68CA"/>
    <w:rsid w:val="001B714D"/>
    <w:rsid w:val="001B7346"/>
    <w:rsid w:val="001C136F"/>
    <w:rsid w:val="001C140E"/>
    <w:rsid w:val="001C2134"/>
    <w:rsid w:val="001C2A48"/>
    <w:rsid w:val="001C2FFF"/>
    <w:rsid w:val="001C3082"/>
    <w:rsid w:val="001C34FD"/>
    <w:rsid w:val="001C3ADA"/>
    <w:rsid w:val="001C3F0F"/>
    <w:rsid w:val="001C4378"/>
    <w:rsid w:val="001C61C1"/>
    <w:rsid w:val="001C662B"/>
    <w:rsid w:val="001C6D56"/>
    <w:rsid w:val="001C735A"/>
    <w:rsid w:val="001C7529"/>
    <w:rsid w:val="001C7804"/>
    <w:rsid w:val="001C7E4B"/>
    <w:rsid w:val="001D0EAD"/>
    <w:rsid w:val="001D10A0"/>
    <w:rsid w:val="001D1324"/>
    <w:rsid w:val="001D1888"/>
    <w:rsid w:val="001D2667"/>
    <w:rsid w:val="001D285A"/>
    <w:rsid w:val="001D2967"/>
    <w:rsid w:val="001D2F45"/>
    <w:rsid w:val="001D3262"/>
    <w:rsid w:val="001D33C9"/>
    <w:rsid w:val="001D3DD7"/>
    <w:rsid w:val="001D5D20"/>
    <w:rsid w:val="001D5ED5"/>
    <w:rsid w:val="001D5F0B"/>
    <w:rsid w:val="001D60A3"/>
    <w:rsid w:val="001D6172"/>
    <w:rsid w:val="001D6298"/>
    <w:rsid w:val="001D6774"/>
    <w:rsid w:val="001D7AD1"/>
    <w:rsid w:val="001E001C"/>
    <w:rsid w:val="001E05F8"/>
    <w:rsid w:val="001E0B62"/>
    <w:rsid w:val="001E0C3E"/>
    <w:rsid w:val="001E0DF9"/>
    <w:rsid w:val="001E13F9"/>
    <w:rsid w:val="001E1D1C"/>
    <w:rsid w:val="001E1D72"/>
    <w:rsid w:val="001E26CB"/>
    <w:rsid w:val="001E27C3"/>
    <w:rsid w:val="001E2BA5"/>
    <w:rsid w:val="001E2BE1"/>
    <w:rsid w:val="001E36FB"/>
    <w:rsid w:val="001E390D"/>
    <w:rsid w:val="001E4300"/>
    <w:rsid w:val="001E440B"/>
    <w:rsid w:val="001E516E"/>
    <w:rsid w:val="001E5309"/>
    <w:rsid w:val="001E6059"/>
    <w:rsid w:val="001E623C"/>
    <w:rsid w:val="001E6625"/>
    <w:rsid w:val="001E6D2C"/>
    <w:rsid w:val="001E6DE9"/>
    <w:rsid w:val="001E6E1B"/>
    <w:rsid w:val="001F0075"/>
    <w:rsid w:val="001F045F"/>
    <w:rsid w:val="001F0520"/>
    <w:rsid w:val="001F0537"/>
    <w:rsid w:val="001F09A5"/>
    <w:rsid w:val="001F2774"/>
    <w:rsid w:val="001F2BBD"/>
    <w:rsid w:val="001F3569"/>
    <w:rsid w:val="001F3CF8"/>
    <w:rsid w:val="001F4393"/>
    <w:rsid w:val="001F5082"/>
    <w:rsid w:val="001F56C0"/>
    <w:rsid w:val="001F5867"/>
    <w:rsid w:val="001F7FBC"/>
    <w:rsid w:val="002003A7"/>
    <w:rsid w:val="00200F24"/>
    <w:rsid w:val="002017DC"/>
    <w:rsid w:val="0020238A"/>
    <w:rsid w:val="0020269D"/>
    <w:rsid w:val="002032CC"/>
    <w:rsid w:val="00203629"/>
    <w:rsid w:val="00203772"/>
    <w:rsid w:val="00203847"/>
    <w:rsid w:val="00204010"/>
    <w:rsid w:val="0020421F"/>
    <w:rsid w:val="00204469"/>
    <w:rsid w:val="00204AC1"/>
    <w:rsid w:val="00204CAB"/>
    <w:rsid w:val="00206A8E"/>
    <w:rsid w:val="00206CA4"/>
    <w:rsid w:val="00207C48"/>
    <w:rsid w:val="00207ECF"/>
    <w:rsid w:val="0021016C"/>
    <w:rsid w:val="00211C19"/>
    <w:rsid w:val="00211E11"/>
    <w:rsid w:val="002123E1"/>
    <w:rsid w:val="00212D17"/>
    <w:rsid w:val="0021364A"/>
    <w:rsid w:val="002159A7"/>
    <w:rsid w:val="0021619B"/>
    <w:rsid w:val="00216219"/>
    <w:rsid w:val="0021708A"/>
    <w:rsid w:val="00217FDD"/>
    <w:rsid w:val="002203C5"/>
    <w:rsid w:val="002205E4"/>
    <w:rsid w:val="0022075A"/>
    <w:rsid w:val="002207A9"/>
    <w:rsid w:val="00220C7D"/>
    <w:rsid w:val="002221EC"/>
    <w:rsid w:val="00222C75"/>
    <w:rsid w:val="002230B4"/>
    <w:rsid w:val="0022427A"/>
    <w:rsid w:val="002246B1"/>
    <w:rsid w:val="00224BEC"/>
    <w:rsid w:val="00224D7A"/>
    <w:rsid w:val="002254FE"/>
    <w:rsid w:val="00225A8E"/>
    <w:rsid w:val="00225E21"/>
    <w:rsid w:val="002267BB"/>
    <w:rsid w:val="00226983"/>
    <w:rsid w:val="00226CBC"/>
    <w:rsid w:val="00227ADC"/>
    <w:rsid w:val="00227FFD"/>
    <w:rsid w:val="00230293"/>
    <w:rsid w:val="00230952"/>
    <w:rsid w:val="002313CB"/>
    <w:rsid w:val="00232A03"/>
    <w:rsid w:val="00232A4A"/>
    <w:rsid w:val="00235871"/>
    <w:rsid w:val="00235EFD"/>
    <w:rsid w:val="00237204"/>
    <w:rsid w:val="002375E4"/>
    <w:rsid w:val="0023761E"/>
    <w:rsid w:val="002401BE"/>
    <w:rsid w:val="00240683"/>
    <w:rsid w:val="00242671"/>
    <w:rsid w:val="00242703"/>
    <w:rsid w:val="00242FB9"/>
    <w:rsid w:val="002430CB"/>
    <w:rsid w:val="00243178"/>
    <w:rsid w:val="002431B0"/>
    <w:rsid w:val="00243A9D"/>
    <w:rsid w:val="00244487"/>
    <w:rsid w:val="002448C5"/>
    <w:rsid w:val="00244C53"/>
    <w:rsid w:val="00245030"/>
    <w:rsid w:val="002450C6"/>
    <w:rsid w:val="00245750"/>
    <w:rsid w:val="00245BAF"/>
    <w:rsid w:val="00245DC5"/>
    <w:rsid w:val="002476A4"/>
    <w:rsid w:val="002477E1"/>
    <w:rsid w:val="0024784C"/>
    <w:rsid w:val="002500E4"/>
    <w:rsid w:val="00250107"/>
    <w:rsid w:val="00251599"/>
    <w:rsid w:val="00251EFD"/>
    <w:rsid w:val="00251FBA"/>
    <w:rsid w:val="00253FE2"/>
    <w:rsid w:val="0025454D"/>
    <w:rsid w:val="00254A9D"/>
    <w:rsid w:val="00254AA9"/>
    <w:rsid w:val="00254BF0"/>
    <w:rsid w:val="0025581D"/>
    <w:rsid w:val="00255E93"/>
    <w:rsid w:val="00256201"/>
    <w:rsid w:val="0025642A"/>
    <w:rsid w:val="00256AE1"/>
    <w:rsid w:val="002571F3"/>
    <w:rsid w:val="00257E2D"/>
    <w:rsid w:val="00260094"/>
    <w:rsid w:val="00260231"/>
    <w:rsid w:val="00261050"/>
    <w:rsid w:val="0026137D"/>
    <w:rsid w:val="0026178E"/>
    <w:rsid w:val="00262D47"/>
    <w:rsid w:val="002630C4"/>
    <w:rsid w:val="002634BA"/>
    <w:rsid w:val="0026368E"/>
    <w:rsid w:val="002639F6"/>
    <w:rsid w:val="0026400E"/>
    <w:rsid w:val="00264403"/>
    <w:rsid w:val="002644C1"/>
    <w:rsid w:val="00264732"/>
    <w:rsid w:val="00265838"/>
    <w:rsid w:val="00265AF6"/>
    <w:rsid w:val="00266EC8"/>
    <w:rsid w:val="0026705C"/>
    <w:rsid w:val="00267F8C"/>
    <w:rsid w:val="0027199E"/>
    <w:rsid w:val="00272237"/>
    <w:rsid w:val="00272AC9"/>
    <w:rsid w:val="002740F3"/>
    <w:rsid w:val="002750BE"/>
    <w:rsid w:val="002753EC"/>
    <w:rsid w:val="00275BD4"/>
    <w:rsid w:val="00276E20"/>
    <w:rsid w:val="00276EE6"/>
    <w:rsid w:val="00276F05"/>
    <w:rsid w:val="00277162"/>
    <w:rsid w:val="002773DE"/>
    <w:rsid w:val="00277EC7"/>
    <w:rsid w:val="00277F9B"/>
    <w:rsid w:val="00280ACF"/>
    <w:rsid w:val="00280C3A"/>
    <w:rsid w:val="002810EB"/>
    <w:rsid w:val="0028151D"/>
    <w:rsid w:val="00282758"/>
    <w:rsid w:val="00282CD3"/>
    <w:rsid w:val="00283593"/>
    <w:rsid w:val="0028369C"/>
    <w:rsid w:val="0028487B"/>
    <w:rsid w:val="002849A3"/>
    <w:rsid w:val="00285558"/>
    <w:rsid w:val="00285696"/>
    <w:rsid w:val="00285A08"/>
    <w:rsid w:val="00285E4C"/>
    <w:rsid w:val="00285EDA"/>
    <w:rsid w:val="00286317"/>
    <w:rsid w:val="0028649C"/>
    <w:rsid w:val="0028667D"/>
    <w:rsid w:val="00286766"/>
    <w:rsid w:val="00286D15"/>
    <w:rsid w:val="00286F64"/>
    <w:rsid w:val="002870FF"/>
    <w:rsid w:val="00287700"/>
    <w:rsid w:val="00287BFB"/>
    <w:rsid w:val="002900ED"/>
    <w:rsid w:val="0029024B"/>
    <w:rsid w:val="002903B9"/>
    <w:rsid w:val="002910A7"/>
    <w:rsid w:val="002912AF"/>
    <w:rsid w:val="00291869"/>
    <w:rsid w:val="002921C3"/>
    <w:rsid w:val="00292DB3"/>
    <w:rsid w:val="00292E3A"/>
    <w:rsid w:val="00293243"/>
    <w:rsid w:val="00293A61"/>
    <w:rsid w:val="002950CB"/>
    <w:rsid w:val="00295A3F"/>
    <w:rsid w:val="00295C02"/>
    <w:rsid w:val="00295F7E"/>
    <w:rsid w:val="0029657F"/>
    <w:rsid w:val="00296A1A"/>
    <w:rsid w:val="002973E8"/>
    <w:rsid w:val="002A01B1"/>
    <w:rsid w:val="002A0914"/>
    <w:rsid w:val="002A0CE8"/>
    <w:rsid w:val="002A14AF"/>
    <w:rsid w:val="002A2704"/>
    <w:rsid w:val="002A2829"/>
    <w:rsid w:val="002A2965"/>
    <w:rsid w:val="002A34B7"/>
    <w:rsid w:val="002A35E4"/>
    <w:rsid w:val="002A36DC"/>
    <w:rsid w:val="002A3A77"/>
    <w:rsid w:val="002A44C2"/>
    <w:rsid w:val="002A56A8"/>
    <w:rsid w:val="002A6370"/>
    <w:rsid w:val="002A688D"/>
    <w:rsid w:val="002A6949"/>
    <w:rsid w:val="002A6A20"/>
    <w:rsid w:val="002A6A83"/>
    <w:rsid w:val="002A6EB6"/>
    <w:rsid w:val="002A6F5C"/>
    <w:rsid w:val="002B092A"/>
    <w:rsid w:val="002B096F"/>
    <w:rsid w:val="002B0C73"/>
    <w:rsid w:val="002B10D3"/>
    <w:rsid w:val="002B139D"/>
    <w:rsid w:val="002B2285"/>
    <w:rsid w:val="002B2449"/>
    <w:rsid w:val="002B2525"/>
    <w:rsid w:val="002B2B9B"/>
    <w:rsid w:val="002B2EB6"/>
    <w:rsid w:val="002B2F9E"/>
    <w:rsid w:val="002B31BF"/>
    <w:rsid w:val="002B3489"/>
    <w:rsid w:val="002B442E"/>
    <w:rsid w:val="002B53CD"/>
    <w:rsid w:val="002B53D5"/>
    <w:rsid w:val="002B5585"/>
    <w:rsid w:val="002B62A7"/>
    <w:rsid w:val="002B6F30"/>
    <w:rsid w:val="002B6FE3"/>
    <w:rsid w:val="002B7AD9"/>
    <w:rsid w:val="002C0B0D"/>
    <w:rsid w:val="002C144E"/>
    <w:rsid w:val="002C1496"/>
    <w:rsid w:val="002C1FF7"/>
    <w:rsid w:val="002C259A"/>
    <w:rsid w:val="002C3556"/>
    <w:rsid w:val="002C37D6"/>
    <w:rsid w:val="002C3C38"/>
    <w:rsid w:val="002C48E7"/>
    <w:rsid w:val="002C5390"/>
    <w:rsid w:val="002C5B3E"/>
    <w:rsid w:val="002C60F1"/>
    <w:rsid w:val="002C614C"/>
    <w:rsid w:val="002C6861"/>
    <w:rsid w:val="002C77D0"/>
    <w:rsid w:val="002C7830"/>
    <w:rsid w:val="002D051E"/>
    <w:rsid w:val="002D059F"/>
    <w:rsid w:val="002D0814"/>
    <w:rsid w:val="002D16F7"/>
    <w:rsid w:val="002D1743"/>
    <w:rsid w:val="002D2A7D"/>
    <w:rsid w:val="002D2EC4"/>
    <w:rsid w:val="002D3E86"/>
    <w:rsid w:val="002D4507"/>
    <w:rsid w:val="002D46EA"/>
    <w:rsid w:val="002D4A7B"/>
    <w:rsid w:val="002D4C16"/>
    <w:rsid w:val="002D62CD"/>
    <w:rsid w:val="002D71CA"/>
    <w:rsid w:val="002D7E3B"/>
    <w:rsid w:val="002E009D"/>
    <w:rsid w:val="002E08A1"/>
    <w:rsid w:val="002E0B2E"/>
    <w:rsid w:val="002E0B31"/>
    <w:rsid w:val="002E0D51"/>
    <w:rsid w:val="002E1579"/>
    <w:rsid w:val="002E19E8"/>
    <w:rsid w:val="002E1ABD"/>
    <w:rsid w:val="002E1CB2"/>
    <w:rsid w:val="002E23ED"/>
    <w:rsid w:val="002E2575"/>
    <w:rsid w:val="002E267F"/>
    <w:rsid w:val="002E2BF6"/>
    <w:rsid w:val="002E4347"/>
    <w:rsid w:val="002E5AA5"/>
    <w:rsid w:val="002E6239"/>
    <w:rsid w:val="002E6EB1"/>
    <w:rsid w:val="002F015B"/>
    <w:rsid w:val="002F064C"/>
    <w:rsid w:val="002F142D"/>
    <w:rsid w:val="002F16BD"/>
    <w:rsid w:val="002F28F1"/>
    <w:rsid w:val="002F2C94"/>
    <w:rsid w:val="002F321D"/>
    <w:rsid w:val="002F3A25"/>
    <w:rsid w:val="002F45BA"/>
    <w:rsid w:val="002F4871"/>
    <w:rsid w:val="002F48E5"/>
    <w:rsid w:val="002F5084"/>
    <w:rsid w:val="002F5B1E"/>
    <w:rsid w:val="002F671D"/>
    <w:rsid w:val="002F6879"/>
    <w:rsid w:val="002F6D64"/>
    <w:rsid w:val="002F7193"/>
    <w:rsid w:val="002F7592"/>
    <w:rsid w:val="002F7B9F"/>
    <w:rsid w:val="002F7E38"/>
    <w:rsid w:val="0030084A"/>
    <w:rsid w:val="0030125C"/>
    <w:rsid w:val="00301463"/>
    <w:rsid w:val="003017F3"/>
    <w:rsid w:val="00301B4A"/>
    <w:rsid w:val="00302F80"/>
    <w:rsid w:val="00305358"/>
    <w:rsid w:val="0030567A"/>
    <w:rsid w:val="00305A34"/>
    <w:rsid w:val="00306237"/>
    <w:rsid w:val="00310205"/>
    <w:rsid w:val="00311076"/>
    <w:rsid w:val="00312570"/>
    <w:rsid w:val="0031313C"/>
    <w:rsid w:val="003131BD"/>
    <w:rsid w:val="00313601"/>
    <w:rsid w:val="00313BAE"/>
    <w:rsid w:val="0031443A"/>
    <w:rsid w:val="00314CB4"/>
    <w:rsid w:val="00315591"/>
    <w:rsid w:val="003157ED"/>
    <w:rsid w:val="00315AAF"/>
    <w:rsid w:val="00317623"/>
    <w:rsid w:val="00317F61"/>
    <w:rsid w:val="0032072C"/>
    <w:rsid w:val="0032097F"/>
    <w:rsid w:val="00321168"/>
    <w:rsid w:val="0032218D"/>
    <w:rsid w:val="00322CCF"/>
    <w:rsid w:val="0032357E"/>
    <w:rsid w:val="00323999"/>
    <w:rsid w:val="00324A2A"/>
    <w:rsid w:val="00324CCE"/>
    <w:rsid w:val="0032520D"/>
    <w:rsid w:val="00325BA0"/>
    <w:rsid w:val="00325DD6"/>
    <w:rsid w:val="0032747A"/>
    <w:rsid w:val="003278B8"/>
    <w:rsid w:val="00327952"/>
    <w:rsid w:val="00330CAA"/>
    <w:rsid w:val="00330E80"/>
    <w:rsid w:val="003310E9"/>
    <w:rsid w:val="00331E89"/>
    <w:rsid w:val="00332B35"/>
    <w:rsid w:val="00333BB5"/>
    <w:rsid w:val="0033402B"/>
    <w:rsid w:val="00334DAE"/>
    <w:rsid w:val="00334FED"/>
    <w:rsid w:val="00335166"/>
    <w:rsid w:val="00335338"/>
    <w:rsid w:val="00335B92"/>
    <w:rsid w:val="0033612E"/>
    <w:rsid w:val="003367AC"/>
    <w:rsid w:val="00336AD9"/>
    <w:rsid w:val="00336EA0"/>
    <w:rsid w:val="00336EE1"/>
    <w:rsid w:val="00336FBA"/>
    <w:rsid w:val="003371D0"/>
    <w:rsid w:val="003374D5"/>
    <w:rsid w:val="00337B70"/>
    <w:rsid w:val="00337F9B"/>
    <w:rsid w:val="00340355"/>
    <w:rsid w:val="0034041E"/>
    <w:rsid w:val="003408AE"/>
    <w:rsid w:val="00340B8C"/>
    <w:rsid w:val="003413A5"/>
    <w:rsid w:val="003415AB"/>
    <w:rsid w:val="003418EA"/>
    <w:rsid w:val="00341B66"/>
    <w:rsid w:val="003422B5"/>
    <w:rsid w:val="00342572"/>
    <w:rsid w:val="003427FE"/>
    <w:rsid w:val="00342EC4"/>
    <w:rsid w:val="0034342F"/>
    <w:rsid w:val="003434E0"/>
    <w:rsid w:val="0034367E"/>
    <w:rsid w:val="00343864"/>
    <w:rsid w:val="00343AD2"/>
    <w:rsid w:val="0034405A"/>
    <w:rsid w:val="0034417A"/>
    <w:rsid w:val="003443E1"/>
    <w:rsid w:val="003445CF"/>
    <w:rsid w:val="003453F5"/>
    <w:rsid w:val="00345642"/>
    <w:rsid w:val="00345C90"/>
    <w:rsid w:val="00345EB9"/>
    <w:rsid w:val="00347109"/>
    <w:rsid w:val="00347666"/>
    <w:rsid w:val="00347D97"/>
    <w:rsid w:val="0035066C"/>
    <w:rsid w:val="00350A73"/>
    <w:rsid w:val="003513FC"/>
    <w:rsid w:val="0035267A"/>
    <w:rsid w:val="0035288E"/>
    <w:rsid w:val="00352A59"/>
    <w:rsid w:val="00352E11"/>
    <w:rsid w:val="00353D0E"/>
    <w:rsid w:val="00353D41"/>
    <w:rsid w:val="00354539"/>
    <w:rsid w:val="00354AE3"/>
    <w:rsid w:val="00355BC9"/>
    <w:rsid w:val="00356BEF"/>
    <w:rsid w:val="0036077D"/>
    <w:rsid w:val="00360A08"/>
    <w:rsid w:val="003611B0"/>
    <w:rsid w:val="00361D20"/>
    <w:rsid w:val="003622F0"/>
    <w:rsid w:val="003626E6"/>
    <w:rsid w:val="00362D65"/>
    <w:rsid w:val="00362F24"/>
    <w:rsid w:val="0036306B"/>
    <w:rsid w:val="00363096"/>
    <w:rsid w:val="003630A2"/>
    <w:rsid w:val="003634B7"/>
    <w:rsid w:val="003635B2"/>
    <w:rsid w:val="00363F8F"/>
    <w:rsid w:val="003646ED"/>
    <w:rsid w:val="00364BC8"/>
    <w:rsid w:val="003652F0"/>
    <w:rsid w:val="003653AD"/>
    <w:rsid w:val="003657B1"/>
    <w:rsid w:val="003660B0"/>
    <w:rsid w:val="00366556"/>
    <w:rsid w:val="00367BF7"/>
    <w:rsid w:val="003703B2"/>
    <w:rsid w:val="00370694"/>
    <w:rsid w:val="003706A2"/>
    <w:rsid w:val="00370B55"/>
    <w:rsid w:val="00371367"/>
    <w:rsid w:val="00371BD6"/>
    <w:rsid w:val="0037215A"/>
    <w:rsid w:val="00372618"/>
    <w:rsid w:val="00372D82"/>
    <w:rsid w:val="003734E0"/>
    <w:rsid w:val="0037392C"/>
    <w:rsid w:val="0037406B"/>
    <w:rsid w:val="00374663"/>
    <w:rsid w:val="00374C68"/>
    <w:rsid w:val="003752EB"/>
    <w:rsid w:val="00375CF3"/>
    <w:rsid w:val="00375F58"/>
    <w:rsid w:val="00375F6E"/>
    <w:rsid w:val="003763E3"/>
    <w:rsid w:val="003766B6"/>
    <w:rsid w:val="00377438"/>
    <w:rsid w:val="00377AA8"/>
    <w:rsid w:val="00380624"/>
    <w:rsid w:val="00380D6F"/>
    <w:rsid w:val="0038177B"/>
    <w:rsid w:val="00382CFA"/>
    <w:rsid w:val="0038340E"/>
    <w:rsid w:val="0038352F"/>
    <w:rsid w:val="00384079"/>
    <w:rsid w:val="00384AFD"/>
    <w:rsid w:val="00384BE9"/>
    <w:rsid w:val="00384F56"/>
    <w:rsid w:val="003852E7"/>
    <w:rsid w:val="0038544F"/>
    <w:rsid w:val="0038548E"/>
    <w:rsid w:val="0038554D"/>
    <w:rsid w:val="00385CAD"/>
    <w:rsid w:val="0038607F"/>
    <w:rsid w:val="003860DE"/>
    <w:rsid w:val="00386449"/>
    <w:rsid w:val="00386982"/>
    <w:rsid w:val="00386DC9"/>
    <w:rsid w:val="00386E7E"/>
    <w:rsid w:val="003874A6"/>
    <w:rsid w:val="003876DA"/>
    <w:rsid w:val="003878EE"/>
    <w:rsid w:val="00387A95"/>
    <w:rsid w:val="00387FEB"/>
    <w:rsid w:val="003908FC"/>
    <w:rsid w:val="00390BB7"/>
    <w:rsid w:val="003917B8"/>
    <w:rsid w:val="0039238D"/>
    <w:rsid w:val="003924F1"/>
    <w:rsid w:val="00392A35"/>
    <w:rsid w:val="00392C61"/>
    <w:rsid w:val="00392DF8"/>
    <w:rsid w:val="00393E3C"/>
    <w:rsid w:val="0039434B"/>
    <w:rsid w:val="003946D0"/>
    <w:rsid w:val="003947C6"/>
    <w:rsid w:val="00394E1C"/>
    <w:rsid w:val="00394F98"/>
    <w:rsid w:val="00395017"/>
    <w:rsid w:val="00395FCF"/>
    <w:rsid w:val="00396CDC"/>
    <w:rsid w:val="00396F54"/>
    <w:rsid w:val="003973A5"/>
    <w:rsid w:val="003A0494"/>
    <w:rsid w:val="003A17BE"/>
    <w:rsid w:val="003A18A5"/>
    <w:rsid w:val="003A378C"/>
    <w:rsid w:val="003A378E"/>
    <w:rsid w:val="003A3A08"/>
    <w:rsid w:val="003A3B18"/>
    <w:rsid w:val="003A470F"/>
    <w:rsid w:val="003A4C28"/>
    <w:rsid w:val="003A53FD"/>
    <w:rsid w:val="003A5CF5"/>
    <w:rsid w:val="003A5DFC"/>
    <w:rsid w:val="003A7944"/>
    <w:rsid w:val="003A7C18"/>
    <w:rsid w:val="003A7DEE"/>
    <w:rsid w:val="003B04CF"/>
    <w:rsid w:val="003B0B2E"/>
    <w:rsid w:val="003B12D8"/>
    <w:rsid w:val="003B141C"/>
    <w:rsid w:val="003B2CDC"/>
    <w:rsid w:val="003B34FF"/>
    <w:rsid w:val="003B357C"/>
    <w:rsid w:val="003B37DD"/>
    <w:rsid w:val="003B3890"/>
    <w:rsid w:val="003B39AE"/>
    <w:rsid w:val="003B4B62"/>
    <w:rsid w:val="003B5447"/>
    <w:rsid w:val="003B5F1B"/>
    <w:rsid w:val="003B6E5F"/>
    <w:rsid w:val="003B70F5"/>
    <w:rsid w:val="003B7584"/>
    <w:rsid w:val="003B7739"/>
    <w:rsid w:val="003C0286"/>
    <w:rsid w:val="003C08B9"/>
    <w:rsid w:val="003C0B32"/>
    <w:rsid w:val="003C1153"/>
    <w:rsid w:val="003C1401"/>
    <w:rsid w:val="003C16B2"/>
    <w:rsid w:val="003C1C2B"/>
    <w:rsid w:val="003C1CC3"/>
    <w:rsid w:val="003C2652"/>
    <w:rsid w:val="003C3566"/>
    <w:rsid w:val="003C391A"/>
    <w:rsid w:val="003C3FAB"/>
    <w:rsid w:val="003C44F9"/>
    <w:rsid w:val="003C4D97"/>
    <w:rsid w:val="003C5190"/>
    <w:rsid w:val="003C64ED"/>
    <w:rsid w:val="003C73C4"/>
    <w:rsid w:val="003D05B7"/>
    <w:rsid w:val="003D11C4"/>
    <w:rsid w:val="003D12C3"/>
    <w:rsid w:val="003D1337"/>
    <w:rsid w:val="003D1E00"/>
    <w:rsid w:val="003D2890"/>
    <w:rsid w:val="003D2C9F"/>
    <w:rsid w:val="003D2CCD"/>
    <w:rsid w:val="003D341D"/>
    <w:rsid w:val="003D392D"/>
    <w:rsid w:val="003D402D"/>
    <w:rsid w:val="003D61AD"/>
    <w:rsid w:val="003D62C8"/>
    <w:rsid w:val="003D64EA"/>
    <w:rsid w:val="003D6B09"/>
    <w:rsid w:val="003D6E38"/>
    <w:rsid w:val="003E06B2"/>
    <w:rsid w:val="003E11EA"/>
    <w:rsid w:val="003E16C6"/>
    <w:rsid w:val="003E301B"/>
    <w:rsid w:val="003E327F"/>
    <w:rsid w:val="003E439A"/>
    <w:rsid w:val="003E454D"/>
    <w:rsid w:val="003E470C"/>
    <w:rsid w:val="003E60F5"/>
    <w:rsid w:val="003E6253"/>
    <w:rsid w:val="003E68B2"/>
    <w:rsid w:val="003E6A18"/>
    <w:rsid w:val="003E6A68"/>
    <w:rsid w:val="003E6F45"/>
    <w:rsid w:val="003E7837"/>
    <w:rsid w:val="003F10D4"/>
    <w:rsid w:val="003F15D3"/>
    <w:rsid w:val="003F212C"/>
    <w:rsid w:val="003F2749"/>
    <w:rsid w:val="003F27FB"/>
    <w:rsid w:val="003F2C33"/>
    <w:rsid w:val="003F3F74"/>
    <w:rsid w:val="003F4A16"/>
    <w:rsid w:val="003F5360"/>
    <w:rsid w:val="003F5C30"/>
    <w:rsid w:val="003F695C"/>
    <w:rsid w:val="003F6BAD"/>
    <w:rsid w:val="003F7611"/>
    <w:rsid w:val="003F7DD2"/>
    <w:rsid w:val="00400780"/>
    <w:rsid w:val="00400984"/>
    <w:rsid w:val="00402126"/>
    <w:rsid w:val="00402B80"/>
    <w:rsid w:val="00402E3A"/>
    <w:rsid w:val="0040378C"/>
    <w:rsid w:val="004055CC"/>
    <w:rsid w:val="004057D6"/>
    <w:rsid w:val="00405D52"/>
    <w:rsid w:val="004060C0"/>
    <w:rsid w:val="0040626B"/>
    <w:rsid w:val="0040683E"/>
    <w:rsid w:val="00406F09"/>
    <w:rsid w:val="0040769C"/>
    <w:rsid w:val="00410078"/>
    <w:rsid w:val="004100CC"/>
    <w:rsid w:val="00410177"/>
    <w:rsid w:val="00410404"/>
    <w:rsid w:val="004107F2"/>
    <w:rsid w:val="00410A07"/>
    <w:rsid w:val="00410B53"/>
    <w:rsid w:val="0041148B"/>
    <w:rsid w:val="00411E55"/>
    <w:rsid w:val="004129F8"/>
    <w:rsid w:val="00413107"/>
    <w:rsid w:val="004132BB"/>
    <w:rsid w:val="004142B2"/>
    <w:rsid w:val="00414806"/>
    <w:rsid w:val="00414EB0"/>
    <w:rsid w:val="00414EED"/>
    <w:rsid w:val="004158C2"/>
    <w:rsid w:val="00415D02"/>
    <w:rsid w:val="00416706"/>
    <w:rsid w:val="00416725"/>
    <w:rsid w:val="00416E48"/>
    <w:rsid w:val="00417097"/>
    <w:rsid w:val="00417C7E"/>
    <w:rsid w:val="00417DD1"/>
    <w:rsid w:val="00420255"/>
    <w:rsid w:val="004202A0"/>
    <w:rsid w:val="00420EDA"/>
    <w:rsid w:val="004216CE"/>
    <w:rsid w:val="0042177B"/>
    <w:rsid w:val="00421CD8"/>
    <w:rsid w:val="00421F71"/>
    <w:rsid w:val="00422ADC"/>
    <w:rsid w:val="00423612"/>
    <w:rsid w:val="00424A6D"/>
    <w:rsid w:val="00425B02"/>
    <w:rsid w:val="00426143"/>
    <w:rsid w:val="00426C4B"/>
    <w:rsid w:val="004275DA"/>
    <w:rsid w:val="0043065B"/>
    <w:rsid w:val="00430703"/>
    <w:rsid w:val="004308F7"/>
    <w:rsid w:val="0043219B"/>
    <w:rsid w:val="004329A9"/>
    <w:rsid w:val="00434038"/>
    <w:rsid w:val="00434A68"/>
    <w:rsid w:val="00435413"/>
    <w:rsid w:val="0043654A"/>
    <w:rsid w:val="00436C03"/>
    <w:rsid w:val="00436CDA"/>
    <w:rsid w:val="004406D0"/>
    <w:rsid w:val="004411D8"/>
    <w:rsid w:val="00441911"/>
    <w:rsid w:val="00442E66"/>
    <w:rsid w:val="004430AD"/>
    <w:rsid w:val="004432D7"/>
    <w:rsid w:val="0044359D"/>
    <w:rsid w:val="00444312"/>
    <w:rsid w:val="00444AE7"/>
    <w:rsid w:val="00446A7A"/>
    <w:rsid w:val="00446ECD"/>
    <w:rsid w:val="00447BD6"/>
    <w:rsid w:val="00447D7A"/>
    <w:rsid w:val="0045008C"/>
    <w:rsid w:val="004500F9"/>
    <w:rsid w:val="0045094D"/>
    <w:rsid w:val="00450DE5"/>
    <w:rsid w:val="00450EF8"/>
    <w:rsid w:val="0045128C"/>
    <w:rsid w:val="00451291"/>
    <w:rsid w:val="00451FF4"/>
    <w:rsid w:val="004527FB"/>
    <w:rsid w:val="004528E4"/>
    <w:rsid w:val="004533F5"/>
    <w:rsid w:val="004535B5"/>
    <w:rsid w:val="004535E8"/>
    <w:rsid w:val="0045562F"/>
    <w:rsid w:val="00455C33"/>
    <w:rsid w:val="00455D12"/>
    <w:rsid w:val="00456434"/>
    <w:rsid w:val="00456913"/>
    <w:rsid w:val="00456A4B"/>
    <w:rsid w:val="004570C0"/>
    <w:rsid w:val="004575BA"/>
    <w:rsid w:val="004578E7"/>
    <w:rsid w:val="00460408"/>
    <w:rsid w:val="004609F3"/>
    <w:rsid w:val="0046183D"/>
    <w:rsid w:val="004621E7"/>
    <w:rsid w:val="00462B66"/>
    <w:rsid w:val="00463308"/>
    <w:rsid w:val="00463DB5"/>
    <w:rsid w:val="00464AE9"/>
    <w:rsid w:val="00464F9F"/>
    <w:rsid w:val="00465476"/>
    <w:rsid w:val="004658E5"/>
    <w:rsid w:val="00465B7F"/>
    <w:rsid w:val="00465E0E"/>
    <w:rsid w:val="00466DE7"/>
    <w:rsid w:val="00467648"/>
    <w:rsid w:val="00467A78"/>
    <w:rsid w:val="00467BE7"/>
    <w:rsid w:val="004701B2"/>
    <w:rsid w:val="0047078F"/>
    <w:rsid w:val="00470AB8"/>
    <w:rsid w:val="00470EF7"/>
    <w:rsid w:val="004712F3"/>
    <w:rsid w:val="00472609"/>
    <w:rsid w:val="004726EE"/>
    <w:rsid w:val="00472E0F"/>
    <w:rsid w:val="0047358C"/>
    <w:rsid w:val="004735F0"/>
    <w:rsid w:val="004739B0"/>
    <w:rsid w:val="004752DF"/>
    <w:rsid w:val="00475300"/>
    <w:rsid w:val="0047546F"/>
    <w:rsid w:val="0047615F"/>
    <w:rsid w:val="00476657"/>
    <w:rsid w:val="00476919"/>
    <w:rsid w:val="00476A51"/>
    <w:rsid w:val="00476F87"/>
    <w:rsid w:val="00477031"/>
    <w:rsid w:val="00477D96"/>
    <w:rsid w:val="0048046A"/>
    <w:rsid w:val="004808D3"/>
    <w:rsid w:val="00480D42"/>
    <w:rsid w:val="00481657"/>
    <w:rsid w:val="0048186E"/>
    <w:rsid w:val="004827C6"/>
    <w:rsid w:val="00483092"/>
    <w:rsid w:val="00483858"/>
    <w:rsid w:val="004842D3"/>
    <w:rsid w:val="00484431"/>
    <w:rsid w:val="00484A31"/>
    <w:rsid w:val="0048502F"/>
    <w:rsid w:val="00485480"/>
    <w:rsid w:val="004858D4"/>
    <w:rsid w:val="00486014"/>
    <w:rsid w:val="0048619F"/>
    <w:rsid w:val="004861DC"/>
    <w:rsid w:val="004866AC"/>
    <w:rsid w:val="0048691A"/>
    <w:rsid w:val="00486947"/>
    <w:rsid w:val="00486FFF"/>
    <w:rsid w:val="004872E9"/>
    <w:rsid w:val="00490122"/>
    <w:rsid w:val="004902D6"/>
    <w:rsid w:val="00490792"/>
    <w:rsid w:val="004916D3"/>
    <w:rsid w:val="00491A7A"/>
    <w:rsid w:val="00491CFF"/>
    <w:rsid w:val="00491E70"/>
    <w:rsid w:val="004920F3"/>
    <w:rsid w:val="00493E2C"/>
    <w:rsid w:val="00493F6C"/>
    <w:rsid w:val="00493FA9"/>
    <w:rsid w:val="004954D2"/>
    <w:rsid w:val="00495A90"/>
    <w:rsid w:val="00496818"/>
    <w:rsid w:val="00496CE8"/>
    <w:rsid w:val="00496EB4"/>
    <w:rsid w:val="00497426"/>
    <w:rsid w:val="0049750D"/>
    <w:rsid w:val="0049788F"/>
    <w:rsid w:val="00497AAE"/>
    <w:rsid w:val="004A12BA"/>
    <w:rsid w:val="004A14D9"/>
    <w:rsid w:val="004A1506"/>
    <w:rsid w:val="004A1739"/>
    <w:rsid w:val="004A20E4"/>
    <w:rsid w:val="004A234E"/>
    <w:rsid w:val="004A247C"/>
    <w:rsid w:val="004A29F8"/>
    <w:rsid w:val="004A3D7E"/>
    <w:rsid w:val="004A40FB"/>
    <w:rsid w:val="004A4247"/>
    <w:rsid w:val="004A4BF9"/>
    <w:rsid w:val="004A4E3F"/>
    <w:rsid w:val="004A58A9"/>
    <w:rsid w:val="004A6EB7"/>
    <w:rsid w:val="004A6F57"/>
    <w:rsid w:val="004A6F98"/>
    <w:rsid w:val="004A7365"/>
    <w:rsid w:val="004A7991"/>
    <w:rsid w:val="004A7AC0"/>
    <w:rsid w:val="004B0963"/>
    <w:rsid w:val="004B12C5"/>
    <w:rsid w:val="004B15F5"/>
    <w:rsid w:val="004B1822"/>
    <w:rsid w:val="004B1EB2"/>
    <w:rsid w:val="004B2277"/>
    <w:rsid w:val="004B32A3"/>
    <w:rsid w:val="004B33A3"/>
    <w:rsid w:val="004B51BD"/>
    <w:rsid w:val="004B5558"/>
    <w:rsid w:val="004B5CD3"/>
    <w:rsid w:val="004B5F33"/>
    <w:rsid w:val="004B66A8"/>
    <w:rsid w:val="004B74DB"/>
    <w:rsid w:val="004B7DC2"/>
    <w:rsid w:val="004C075D"/>
    <w:rsid w:val="004C08F4"/>
    <w:rsid w:val="004C0A0C"/>
    <w:rsid w:val="004C0A49"/>
    <w:rsid w:val="004C0C48"/>
    <w:rsid w:val="004C20B0"/>
    <w:rsid w:val="004C267D"/>
    <w:rsid w:val="004C3F2D"/>
    <w:rsid w:val="004C427A"/>
    <w:rsid w:val="004C4BE5"/>
    <w:rsid w:val="004C564C"/>
    <w:rsid w:val="004C5F2B"/>
    <w:rsid w:val="004C5FD1"/>
    <w:rsid w:val="004C6BF2"/>
    <w:rsid w:val="004C71C0"/>
    <w:rsid w:val="004C7552"/>
    <w:rsid w:val="004D0BA3"/>
    <w:rsid w:val="004D1DF3"/>
    <w:rsid w:val="004D2664"/>
    <w:rsid w:val="004D2D86"/>
    <w:rsid w:val="004D49A7"/>
    <w:rsid w:val="004D4F40"/>
    <w:rsid w:val="004D5089"/>
    <w:rsid w:val="004D55AD"/>
    <w:rsid w:val="004D601B"/>
    <w:rsid w:val="004D61AA"/>
    <w:rsid w:val="004D637B"/>
    <w:rsid w:val="004D6897"/>
    <w:rsid w:val="004D7C5A"/>
    <w:rsid w:val="004E06C4"/>
    <w:rsid w:val="004E0927"/>
    <w:rsid w:val="004E0BF8"/>
    <w:rsid w:val="004E12B7"/>
    <w:rsid w:val="004E1E75"/>
    <w:rsid w:val="004E3835"/>
    <w:rsid w:val="004E3D55"/>
    <w:rsid w:val="004E3DA2"/>
    <w:rsid w:val="004E3DB4"/>
    <w:rsid w:val="004E4395"/>
    <w:rsid w:val="004E4A1B"/>
    <w:rsid w:val="004E4A22"/>
    <w:rsid w:val="004E5B3F"/>
    <w:rsid w:val="004E7B4D"/>
    <w:rsid w:val="004F013D"/>
    <w:rsid w:val="004F01A9"/>
    <w:rsid w:val="004F1806"/>
    <w:rsid w:val="004F1EA4"/>
    <w:rsid w:val="004F4BB2"/>
    <w:rsid w:val="004F528D"/>
    <w:rsid w:val="004F52DF"/>
    <w:rsid w:val="004F566A"/>
    <w:rsid w:val="004F60FA"/>
    <w:rsid w:val="004F7072"/>
    <w:rsid w:val="004F7FB3"/>
    <w:rsid w:val="00501901"/>
    <w:rsid w:val="00501B8B"/>
    <w:rsid w:val="00503462"/>
    <w:rsid w:val="00503879"/>
    <w:rsid w:val="00504E6E"/>
    <w:rsid w:val="00505277"/>
    <w:rsid w:val="00505367"/>
    <w:rsid w:val="00505D82"/>
    <w:rsid w:val="00505E0E"/>
    <w:rsid w:val="005073A4"/>
    <w:rsid w:val="005075C8"/>
    <w:rsid w:val="00507641"/>
    <w:rsid w:val="00507DF9"/>
    <w:rsid w:val="005107B1"/>
    <w:rsid w:val="0051104B"/>
    <w:rsid w:val="005110E2"/>
    <w:rsid w:val="00511B86"/>
    <w:rsid w:val="00512C29"/>
    <w:rsid w:val="00512E6C"/>
    <w:rsid w:val="00513B9B"/>
    <w:rsid w:val="00513CF2"/>
    <w:rsid w:val="00514109"/>
    <w:rsid w:val="005148D5"/>
    <w:rsid w:val="00514D60"/>
    <w:rsid w:val="005150EB"/>
    <w:rsid w:val="00515A1B"/>
    <w:rsid w:val="00516547"/>
    <w:rsid w:val="00516751"/>
    <w:rsid w:val="00516EDA"/>
    <w:rsid w:val="00517245"/>
    <w:rsid w:val="00517D52"/>
    <w:rsid w:val="0052032B"/>
    <w:rsid w:val="005218F6"/>
    <w:rsid w:val="0052199D"/>
    <w:rsid w:val="00521A21"/>
    <w:rsid w:val="00521D5F"/>
    <w:rsid w:val="00522745"/>
    <w:rsid w:val="00522812"/>
    <w:rsid w:val="005228AF"/>
    <w:rsid w:val="00522CD8"/>
    <w:rsid w:val="00522D1C"/>
    <w:rsid w:val="00522FAD"/>
    <w:rsid w:val="005245BC"/>
    <w:rsid w:val="00524C63"/>
    <w:rsid w:val="005253CA"/>
    <w:rsid w:val="00525495"/>
    <w:rsid w:val="005257B2"/>
    <w:rsid w:val="0052594F"/>
    <w:rsid w:val="00525C94"/>
    <w:rsid w:val="00526419"/>
    <w:rsid w:val="00526494"/>
    <w:rsid w:val="0052727D"/>
    <w:rsid w:val="00527466"/>
    <w:rsid w:val="00527764"/>
    <w:rsid w:val="00530F74"/>
    <w:rsid w:val="00531AD5"/>
    <w:rsid w:val="00531CA8"/>
    <w:rsid w:val="00532145"/>
    <w:rsid w:val="0053355F"/>
    <w:rsid w:val="00534932"/>
    <w:rsid w:val="005367B7"/>
    <w:rsid w:val="00536AA5"/>
    <w:rsid w:val="00536E6F"/>
    <w:rsid w:val="00536F9B"/>
    <w:rsid w:val="00540133"/>
    <w:rsid w:val="00540C79"/>
    <w:rsid w:val="00540D78"/>
    <w:rsid w:val="00540E29"/>
    <w:rsid w:val="005419C4"/>
    <w:rsid w:val="00541DEC"/>
    <w:rsid w:val="0054225D"/>
    <w:rsid w:val="00542B5B"/>
    <w:rsid w:val="00542C7F"/>
    <w:rsid w:val="0054368F"/>
    <w:rsid w:val="00543792"/>
    <w:rsid w:val="00544A21"/>
    <w:rsid w:val="00544B18"/>
    <w:rsid w:val="005452EC"/>
    <w:rsid w:val="00545B1A"/>
    <w:rsid w:val="00545F4C"/>
    <w:rsid w:val="00546C27"/>
    <w:rsid w:val="00546C86"/>
    <w:rsid w:val="005473CD"/>
    <w:rsid w:val="00547506"/>
    <w:rsid w:val="005478DF"/>
    <w:rsid w:val="00547BD4"/>
    <w:rsid w:val="00547ED5"/>
    <w:rsid w:val="00547F88"/>
    <w:rsid w:val="00550442"/>
    <w:rsid w:val="00550826"/>
    <w:rsid w:val="00550A9A"/>
    <w:rsid w:val="00551567"/>
    <w:rsid w:val="00551DD7"/>
    <w:rsid w:val="0055209C"/>
    <w:rsid w:val="00553359"/>
    <w:rsid w:val="00554E86"/>
    <w:rsid w:val="00555000"/>
    <w:rsid w:val="005554D1"/>
    <w:rsid w:val="00555917"/>
    <w:rsid w:val="00555D9B"/>
    <w:rsid w:val="005566CB"/>
    <w:rsid w:val="0055676E"/>
    <w:rsid w:val="005575DD"/>
    <w:rsid w:val="005577DC"/>
    <w:rsid w:val="00560435"/>
    <w:rsid w:val="005610AA"/>
    <w:rsid w:val="00561C88"/>
    <w:rsid w:val="00561FA3"/>
    <w:rsid w:val="005633F4"/>
    <w:rsid w:val="00563F51"/>
    <w:rsid w:val="00564417"/>
    <w:rsid w:val="00564477"/>
    <w:rsid w:val="00564588"/>
    <w:rsid w:val="00565C63"/>
    <w:rsid w:val="00565E2D"/>
    <w:rsid w:val="005669CB"/>
    <w:rsid w:val="00566BCF"/>
    <w:rsid w:val="00567B70"/>
    <w:rsid w:val="00570001"/>
    <w:rsid w:val="005700BC"/>
    <w:rsid w:val="00570192"/>
    <w:rsid w:val="00570448"/>
    <w:rsid w:val="005715EC"/>
    <w:rsid w:val="005717E7"/>
    <w:rsid w:val="00571CAC"/>
    <w:rsid w:val="00571D49"/>
    <w:rsid w:val="00571F21"/>
    <w:rsid w:val="00572C10"/>
    <w:rsid w:val="00572D9F"/>
    <w:rsid w:val="005746C7"/>
    <w:rsid w:val="00574F69"/>
    <w:rsid w:val="005751D9"/>
    <w:rsid w:val="00575238"/>
    <w:rsid w:val="00575A31"/>
    <w:rsid w:val="00576B09"/>
    <w:rsid w:val="00576B25"/>
    <w:rsid w:val="0057743D"/>
    <w:rsid w:val="00577B4B"/>
    <w:rsid w:val="00580F15"/>
    <w:rsid w:val="005819B4"/>
    <w:rsid w:val="00581CA0"/>
    <w:rsid w:val="00582447"/>
    <w:rsid w:val="00582C7A"/>
    <w:rsid w:val="00582D74"/>
    <w:rsid w:val="00583695"/>
    <w:rsid w:val="00583925"/>
    <w:rsid w:val="005847EE"/>
    <w:rsid w:val="00584B60"/>
    <w:rsid w:val="00585294"/>
    <w:rsid w:val="005855DC"/>
    <w:rsid w:val="005858A9"/>
    <w:rsid w:val="0058593A"/>
    <w:rsid w:val="00585E5E"/>
    <w:rsid w:val="0058620D"/>
    <w:rsid w:val="0058676B"/>
    <w:rsid w:val="00586A04"/>
    <w:rsid w:val="00586E4E"/>
    <w:rsid w:val="0058715C"/>
    <w:rsid w:val="00587D75"/>
    <w:rsid w:val="00587D84"/>
    <w:rsid w:val="005901BA"/>
    <w:rsid w:val="0059029C"/>
    <w:rsid w:val="00590A8C"/>
    <w:rsid w:val="00590D98"/>
    <w:rsid w:val="005918F6"/>
    <w:rsid w:val="00591C9E"/>
    <w:rsid w:val="005920E3"/>
    <w:rsid w:val="0059251D"/>
    <w:rsid w:val="00592AD4"/>
    <w:rsid w:val="00592E6C"/>
    <w:rsid w:val="00592E90"/>
    <w:rsid w:val="005931EB"/>
    <w:rsid w:val="00593410"/>
    <w:rsid w:val="00593596"/>
    <w:rsid w:val="00593DA4"/>
    <w:rsid w:val="00594697"/>
    <w:rsid w:val="00595F08"/>
    <w:rsid w:val="005961FF"/>
    <w:rsid w:val="005965E3"/>
    <w:rsid w:val="0059721E"/>
    <w:rsid w:val="00597828"/>
    <w:rsid w:val="00597D03"/>
    <w:rsid w:val="005A0001"/>
    <w:rsid w:val="005A04B4"/>
    <w:rsid w:val="005A04FF"/>
    <w:rsid w:val="005A0680"/>
    <w:rsid w:val="005A18A7"/>
    <w:rsid w:val="005A1D22"/>
    <w:rsid w:val="005A1F2E"/>
    <w:rsid w:val="005A205E"/>
    <w:rsid w:val="005A36C7"/>
    <w:rsid w:val="005A60E2"/>
    <w:rsid w:val="005A6856"/>
    <w:rsid w:val="005A6B08"/>
    <w:rsid w:val="005A70D2"/>
    <w:rsid w:val="005A7268"/>
    <w:rsid w:val="005B0BD7"/>
    <w:rsid w:val="005B0C56"/>
    <w:rsid w:val="005B1685"/>
    <w:rsid w:val="005B1740"/>
    <w:rsid w:val="005B2A41"/>
    <w:rsid w:val="005B30D2"/>
    <w:rsid w:val="005B390D"/>
    <w:rsid w:val="005B39CD"/>
    <w:rsid w:val="005B4E99"/>
    <w:rsid w:val="005B53A3"/>
    <w:rsid w:val="005B623E"/>
    <w:rsid w:val="005B7021"/>
    <w:rsid w:val="005B702C"/>
    <w:rsid w:val="005B7186"/>
    <w:rsid w:val="005B7CB3"/>
    <w:rsid w:val="005C02EA"/>
    <w:rsid w:val="005C04E5"/>
    <w:rsid w:val="005C22CD"/>
    <w:rsid w:val="005C2314"/>
    <w:rsid w:val="005C264C"/>
    <w:rsid w:val="005C2C49"/>
    <w:rsid w:val="005C3608"/>
    <w:rsid w:val="005C3905"/>
    <w:rsid w:val="005C437A"/>
    <w:rsid w:val="005C491B"/>
    <w:rsid w:val="005C49C3"/>
    <w:rsid w:val="005C4A3A"/>
    <w:rsid w:val="005C4E9B"/>
    <w:rsid w:val="005C58EE"/>
    <w:rsid w:val="005D0725"/>
    <w:rsid w:val="005D115B"/>
    <w:rsid w:val="005D22B2"/>
    <w:rsid w:val="005D27DD"/>
    <w:rsid w:val="005D2CD2"/>
    <w:rsid w:val="005D3196"/>
    <w:rsid w:val="005D34F2"/>
    <w:rsid w:val="005D3DD9"/>
    <w:rsid w:val="005D42BB"/>
    <w:rsid w:val="005D4798"/>
    <w:rsid w:val="005D4EBF"/>
    <w:rsid w:val="005D575D"/>
    <w:rsid w:val="005D58FB"/>
    <w:rsid w:val="005D5F6E"/>
    <w:rsid w:val="005D5FE3"/>
    <w:rsid w:val="005D61C3"/>
    <w:rsid w:val="005D6462"/>
    <w:rsid w:val="005D6BC6"/>
    <w:rsid w:val="005D6CFF"/>
    <w:rsid w:val="005D71C8"/>
    <w:rsid w:val="005D75E4"/>
    <w:rsid w:val="005D7FB3"/>
    <w:rsid w:val="005E008A"/>
    <w:rsid w:val="005E0441"/>
    <w:rsid w:val="005E0991"/>
    <w:rsid w:val="005E15C2"/>
    <w:rsid w:val="005E26ED"/>
    <w:rsid w:val="005E3920"/>
    <w:rsid w:val="005E3A13"/>
    <w:rsid w:val="005E3CC9"/>
    <w:rsid w:val="005E5201"/>
    <w:rsid w:val="005F070E"/>
    <w:rsid w:val="005F0793"/>
    <w:rsid w:val="005F0C15"/>
    <w:rsid w:val="005F0F2A"/>
    <w:rsid w:val="005F0FFE"/>
    <w:rsid w:val="005F1C01"/>
    <w:rsid w:val="005F1C85"/>
    <w:rsid w:val="005F1FC8"/>
    <w:rsid w:val="005F1FFD"/>
    <w:rsid w:val="005F2D39"/>
    <w:rsid w:val="005F3FDA"/>
    <w:rsid w:val="005F44A7"/>
    <w:rsid w:val="005F44FD"/>
    <w:rsid w:val="005F4712"/>
    <w:rsid w:val="005F6366"/>
    <w:rsid w:val="005F64FA"/>
    <w:rsid w:val="005F6813"/>
    <w:rsid w:val="005F6DE2"/>
    <w:rsid w:val="005F6F5B"/>
    <w:rsid w:val="005F7055"/>
    <w:rsid w:val="006003E3"/>
    <w:rsid w:val="0060044E"/>
    <w:rsid w:val="0060084E"/>
    <w:rsid w:val="006009F7"/>
    <w:rsid w:val="00600B3A"/>
    <w:rsid w:val="00600CF0"/>
    <w:rsid w:val="00600D8E"/>
    <w:rsid w:val="00601178"/>
    <w:rsid w:val="0060135F"/>
    <w:rsid w:val="00601499"/>
    <w:rsid w:val="00601532"/>
    <w:rsid w:val="00601836"/>
    <w:rsid w:val="006022D7"/>
    <w:rsid w:val="006026F4"/>
    <w:rsid w:val="00602C5D"/>
    <w:rsid w:val="006030C6"/>
    <w:rsid w:val="00603A12"/>
    <w:rsid w:val="0060467B"/>
    <w:rsid w:val="00604B17"/>
    <w:rsid w:val="006054E8"/>
    <w:rsid w:val="006059C8"/>
    <w:rsid w:val="00605A4C"/>
    <w:rsid w:val="00605C42"/>
    <w:rsid w:val="006065F8"/>
    <w:rsid w:val="0060702C"/>
    <w:rsid w:val="006072EA"/>
    <w:rsid w:val="00610011"/>
    <w:rsid w:val="00610C82"/>
    <w:rsid w:val="0061132D"/>
    <w:rsid w:val="00611397"/>
    <w:rsid w:val="00611518"/>
    <w:rsid w:val="00611EEB"/>
    <w:rsid w:val="006121D4"/>
    <w:rsid w:val="00612B87"/>
    <w:rsid w:val="0061395E"/>
    <w:rsid w:val="006139F9"/>
    <w:rsid w:val="00614079"/>
    <w:rsid w:val="00615181"/>
    <w:rsid w:val="00615706"/>
    <w:rsid w:val="00615AF0"/>
    <w:rsid w:val="00615B60"/>
    <w:rsid w:val="006169EF"/>
    <w:rsid w:val="00616C7F"/>
    <w:rsid w:val="00616F1E"/>
    <w:rsid w:val="00617547"/>
    <w:rsid w:val="0061796E"/>
    <w:rsid w:val="00617A90"/>
    <w:rsid w:val="0062031E"/>
    <w:rsid w:val="00620C8F"/>
    <w:rsid w:val="006228B4"/>
    <w:rsid w:val="00622AAA"/>
    <w:rsid w:val="00622E1F"/>
    <w:rsid w:val="00622EC3"/>
    <w:rsid w:val="006230FE"/>
    <w:rsid w:val="00623A0B"/>
    <w:rsid w:val="00625FD8"/>
    <w:rsid w:val="00626494"/>
    <w:rsid w:val="006264C2"/>
    <w:rsid w:val="006265E9"/>
    <w:rsid w:val="006266C0"/>
    <w:rsid w:val="00626770"/>
    <w:rsid w:val="00626F4C"/>
    <w:rsid w:val="006273B5"/>
    <w:rsid w:val="00627B78"/>
    <w:rsid w:val="00627C4C"/>
    <w:rsid w:val="0063009A"/>
    <w:rsid w:val="00630132"/>
    <w:rsid w:val="00631601"/>
    <w:rsid w:val="00632235"/>
    <w:rsid w:val="00632574"/>
    <w:rsid w:val="00632606"/>
    <w:rsid w:val="00632767"/>
    <w:rsid w:val="00632B31"/>
    <w:rsid w:val="006331A7"/>
    <w:rsid w:val="006331B6"/>
    <w:rsid w:val="006334D3"/>
    <w:rsid w:val="006334F9"/>
    <w:rsid w:val="00633D3C"/>
    <w:rsid w:val="0063408F"/>
    <w:rsid w:val="00634176"/>
    <w:rsid w:val="00634C8A"/>
    <w:rsid w:val="00635125"/>
    <w:rsid w:val="00635568"/>
    <w:rsid w:val="00635B51"/>
    <w:rsid w:val="00635B90"/>
    <w:rsid w:val="006363B4"/>
    <w:rsid w:val="00636467"/>
    <w:rsid w:val="0063680C"/>
    <w:rsid w:val="00636C5D"/>
    <w:rsid w:val="00636D37"/>
    <w:rsid w:val="0063732E"/>
    <w:rsid w:val="006377D8"/>
    <w:rsid w:val="00637BD2"/>
    <w:rsid w:val="00640458"/>
    <w:rsid w:val="006407A0"/>
    <w:rsid w:val="00640942"/>
    <w:rsid w:val="0064128E"/>
    <w:rsid w:val="006425BF"/>
    <w:rsid w:val="006427C5"/>
    <w:rsid w:val="00642BF5"/>
    <w:rsid w:val="00642CBA"/>
    <w:rsid w:val="006436A4"/>
    <w:rsid w:val="006439E6"/>
    <w:rsid w:val="00643E41"/>
    <w:rsid w:val="006444D5"/>
    <w:rsid w:val="00645074"/>
    <w:rsid w:val="00645344"/>
    <w:rsid w:val="00645E04"/>
    <w:rsid w:val="00645E6B"/>
    <w:rsid w:val="006462C1"/>
    <w:rsid w:val="00646F79"/>
    <w:rsid w:val="0064749A"/>
    <w:rsid w:val="00647AA7"/>
    <w:rsid w:val="00650224"/>
    <w:rsid w:val="006503C4"/>
    <w:rsid w:val="00650E37"/>
    <w:rsid w:val="00651F60"/>
    <w:rsid w:val="006523EB"/>
    <w:rsid w:val="00652A4F"/>
    <w:rsid w:val="00652C07"/>
    <w:rsid w:val="00652EF7"/>
    <w:rsid w:val="00653112"/>
    <w:rsid w:val="00653A2D"/>
    <w:rsid w:val="00653BB5"/>
    <w:rsid w:val="00653D95"/>
    <w:rsid w:val="00654CA5"/>
    <w:rsid w:val="0065520B"/>
    <w:rsid w:val="00655BB3"/>
    <w:rsid w:val="00656A43"/>
    <w:rsid w:val="00657A6D"/>
    <w:rsid w:val="006604BB"/>
    <w:rsid w:val="00660A06"/>
    <w:rsid w:val="006612EA"/>
    <w:rsid w:val="00661517"/>
    <w:rsid w:val="00661C7A"/>
    <w:rsid w:val="00662C5B"/>
    <w:rsid w:val="00664885"/>
    <w:rsid w:val="006663F5"/>
    <w:rsid w:val="00666927"/>
    <w:rsid w:val="00666AE7"/>
    <w:rsid w:val="00666B2E"/>
    <w:rsid w:val="00666D50"/>
    <w:rsid w:val="00666ECA"/>
    <w:rsid w:val="00666FC0"/>
    <w:rsid w:val="00667794"/>
    <w:rsid w:val="00667C8A"/>
    <w:rsid w:val="00667CE7"/>
    <w:rsid w:val="006714FD"/>
    <w:rsid w:val="00671EC9"/>
    <w:rsid w:val="00672538"/>
    <w:rsid w:val="00672F50"/>
    <w:rsid w:val="0067376B"/>
    <w:rsid w:val="00673C15"/>
    <w:rsid w:val="00674168"/>
    <w:rsid w:val="00674262"/>
    <w:rsid w:val="00674473"/>
    <w:rsid w:val="006754E8"/>
    <w:rsid w:val="00675807"/>
    <w:rsid w:val="00675AF4"/>
    <w:rsid w:val="00676486"/>
    <w:rsid w:val="0067793E"/>
    <w:rsid w:val="006779D8"/>
    <w:rsid w:val="00677B35"/>
    <w:rsid w:val="00677C81"/>
    <w:rsid w:val="00680B04"/>
    <w:rsid w:val="00681E71"/>
    <w:rsid w:val="0068210F"/>
    <w:rsid w:val="00683015"/>
    <w:rsid w:val="0068399A"/>
    <w:rsid w:val="006843FF"/>
    <w:rsid w:val="006845FD"/>
    <w:rsid w:val="00684646"/>
    <w:rsid w:val="00684CEA"/>
    <w:rsid w:val="00685356"/>
    <w:rsid w:val="00685800"/>
    <w:rsid w:val="00685F8C"/>
    <w:rsid w:val="00686277"/>
    <w:rsid w:val="00686699"/>
    <w:rsid w:val="00686876"/>
    <w:rsid w:val="00686CF9"/>
    <w:rsid w:val="00690277"/>
    <w:rsid w:val="00690A32"/>
    <w:rsid w:val="00690AE3"/>
    <w:rsid w:val="00691D3D"/>
    <w:rsid w:val="0069310E"/>
    <w:rsid w:val="00693A2E"/>
    <w:rsid w:val="0069403A"/>
    <w:rsid w:val="00694961"/>
    <w:rsid w:val="00695509"/>
    <w:rsid w:val="006957F0"/>
    <w:rsid w:val="006958C0"/>
    <w:rsid w:val="00695D68"/>
    <w:rsid w:val="006968F4"/>
    <w:rsid w:val="00696EDD"/>
    <w:rsid w:val="00696F66"/>
    <w:rsid w:val="006970FB"/>
    <w:rsid w:val="006971AB"/>
    <w:rsid w:val="00697B64"/>
    <w:rsid w:val="00697EEC"/>
    <w:rsid w:val="006A01C9"/>
    <w:rsid w:val="006A042A"/>
    <w:rsid w:val="006A0F43"/>
    <w:rsid w:val="006A1237"/>
    <w:rsid w:val="006A152A"/>
    <w:rsid w:val="006A173C"/>
    <w:rsid w:val="006A17A0"/>
    <w:rsid w:val="006A1CAB"/>
    <w:rsid w:val="006A24B3"/>
    <w:rsid w:val="006A2AED"/>
    <w:rsid w:val="006A2EBB"/>
    <w:rsid w:val="006A3498"/>
    <w:rsid w:val="006A588F"/>
    <w:rsid w:val="006A5E53"/>
    <w:rsid w:val="006A650D"/>
    <w:rsid w:val="006A6A11"/>
    <w:rsid w:val="006A6D98"/>
    <w:rsid w:val="006A74A4"/>
    <w:rsid w:val="006A7659"/>
    <w:rsid w:val="006A7ED3"/>
    <w:rsid w:val="006B0851"/>
    <w:rsid w:val="006B0C3D"/>
    <w:rsid w:val="006B0C67"/>
    <w:rsid w:val="006B0D04"/>
    <w:rsid w:val="006B0D24"/>
    <w:rsid w:val="006B11F8"/>
    <w:rsid w:val="006B2E87"/>
    <w:rsid w:val="006B38A0"/>
    <w:rsid w:val="006B3E9A"/>
    <w:rsid w:val="006B3FCA"/>
    <w:rsid w:val="006B40D0"/>
    <w:rsid w:val="006B5042"/>
    <w:rsid w:val="006B529B"/>
    <w:rsid w:val="006B6613"/>
    <w:rsid w:val="006B69BB"/>
    <w:rsid w:val="006B6DCD"/>
    <w:rsid w:val="006B714F"/>
    <w:rsid w:val="006B74E6"/>
    <w:rsid w:val="006B7609"/>
    <w:rsid w:val="006B790B"/>
    <w:rsid w:val="006C068A"/>
    <w:rsid w:val="006C0DA0"/>
    <w:rsid w:val="006C12EA"/>
    <w:rsid w:val="006C1971"/>
    <w:rsid w:val="006C21C6"/>
    <w:rsid w:val="006C2E1A"/>
    <w:rsid w:val="006C4016"/>
    <w:rsid w:val="006C4C42"/>
    <w:rsid w:val="006C51DB"/>
    <w:rsid w:val="006C58B7"/>
    <w:rsid w:val="006C5C41"/>
    <w:rsid w:val="006C7213"/>
    <w:rsid w:val="006C7513"/>
    <w:rsid w:val="006C7AE2"/>
    <w:rsid w:val="006C7BBD"/>
    <w:rsid w:val="006C7E9C"/>
    <w:rsid w:val="006D0895"/>
    <w:rsid w:val="006D1299"/>
    <w:rsid w:val="006D140D"/>
    <w:rsid w:val="006D20B8"/>
    <w:rsid w:val="006D22A9"/>
    <w:rsid w:val="006D35B2"/>
    <w:rsid w:val="006D3895"/>
    <w:rsid w:val="006D3B32"/>
    <w:rsid w:val="006D3ED4"/>
    <w:rsid w:val="006D4702"/>
    <w:rsid w:val="006D4BA3"/>
    <w:rsid w:val="006D4BC4"/>
    <w:rsid w:val="006D58A5"/>
    <w:rsid w:val="006D620D"/>
    <w:rsid w:val="006D674E"/>
    <w:rsid w:val="006D6EEC"/>
    <w:rsid w:val="006D6F2C"/>
    <w:rsid w:val="006D73F5"/>
    <w:rsid w:val="006D74F4"/>
    <w:rsid w:val="006E08FD"/>
    <w:rsid w:val="006E0AED"/>
    <w:rsid w:val="006E1729"/>
    <w:rsid w:val="006E19B6"/>
    <w:rsid w:val="006E24D8"/>
    <w:rsid w:val="006E25CF"/>
    <w:rsid w:val="006E2CBB"/>
    <w:rsid w:val="006E2E51"/>
    <w:rsid w:val="006E3158"/>
    <w:rsid w:val="006E352B"/>
    <w:rsid w:val="006E35A0"/>
    <w:rsid w:val="006E3EDD"/>
    <w:rsid w:val="006E4966"/>
    <w:rsid w:val="006E4A9D"/>
    <w:rsid w:val="006E4C4E"/>
    <w:rsid w:val="006E51A8"/>
    <w:rsid w:val="006E5A6A"/>
    <w:rsid w:val="006E627F"/>
    <w:rsid w:val="006E6AD7"/>
    <w:rsid w:val="006E761B"/>
    <w:rsid w:val="006E77D3"/>
    <w:rsid w:val="006F0202"/>
    <w:rsid w:val="006F0644"/>
    <w:rsid w:val="006F0BB3"/>
    <w:rsid w:val="006F0C43"/>
    <w:rsid w:val="006F0D29"/>
    <w:rsid w:val="006F131C"/>
    <w:rsid w:val="006F15F4"/>
    <w:rsid w:val="006F1F43"/>
    <w:rsid w:val="006F2E25"/>
    <w:rsid w:val="006F2E30"/>
    <w:rsid w:val="006F363A"/>
    <w:rsid w:val="006F4087"/>
    <w:rsid w:val="006F4892"/>
    <w:rsid w:val="006F5AAD"/>
    <w:rsid w:val="006F61D2"/>
    <w:rsid w:val="006F7926"/>
    <w:rsid w:val="006F7BCF"/>
    <w:rsid w:val="0070009B"/>
    <w:rsid w:val="0070199F"/>
    <w:rsid w:val="00701FDA"/>
    <w:rsid w:val="0070271C"/>
    <w:rsid w:val="00702BEA"/>
    <w:rsid w:val="007031B4"/>
    <w:rsid w:val="00703615"/>
    <w:rsid w:val="00703966"/>
    <w:rsid w:val="00703B1F"/>
    <w:rsid w:val="00704DDD"/>
    <w:rsid w:val="00704EA8"/>
    <w:rsid w:val="00705103"/>
    <w:rsid w:val="00705367"/>
    <w:rsid w:val="0070595A"/>
    <w:rsid w:val="00705CC5"/>
    <w:rsid w:val="00705D69"/>
    <w:rsid w:val="007061D8"/>
    <w:rsid w:val="007061E7"/>
    <w:rsid w:val="0070620D"/>
    <w:rsid w:val="00706722"/>
    <w:rsid w:val="00706733"/>
    <w:rsid w:val="007076EA"/>
    <w:rsid w:val="00707F40"/>
    <w:rsid w:val="00711334"/>
    <w:rsid w:val="00711776"/>
    <w:rsid w:val="007121ED"/>
    <w:rsid w:val="00712713"/>
    <w:rsid w:val="00712B69"/>
    <w:rsid w:val="00712E8A"/>
    <w:rsid w:val="00713700"/>
    <w:rsid w:val="00714384"/>
    <w:rsid w:val="00715313"/>
    <w:rsid w:val="0071550B"/>
    <w:rsid w:val="0071564D"/>
    <w:rsid w:val="00715F62"/>
    <w:rsid w:val="00716744"/>
    <w:rsid w:val="00716E30"/>
    <w:rsid w:val="00717418"/>
    <w:rsid w:val="00717527"/>
    <w:rsid w:val="007177BC"/>
    <w:rsid w:val="007202C3"/>
    <w:rsid w:val="0072075F"/>
    <w:rsid w:val="00721DBC"/>
    <w:rsid w:val="0072290C"/>
    <w:rsid w:val="0072297F"/>
    <w:rsid w:val="00722BA6"/>
    <w:rsid w:val="00723812"/>
    <w:rsid w:val="00723DBD"/>
    <w:rsid w:val="00724C0E"/>
    <w:rsid w:val="00725142"/>
    <w:rsid w:val="007251F1"/>
    <w:rsid w:val="00725918"/>
    <w:rsid w:val="00725C7A"/>
    <w:rsid w:val="007260F5"/>
    <w:rsid w:val="00726212"/>
    <w:rsid w:val="00727E68"/>
    <w:rsid w:val="00727EF5"/>
    <w:rsid w:val="00730336"/>
    <w:rsid w:val="00730655"/>
    <w:rsid w:val="00730A02"/>
    <w:rsid w:val="00730AAF"/>
    <w:rsid w:val="007314CB"/>
    <w:rsid w:val="007318CA"/>
    <w:rsid w:val="007318EB"/>
    <w:rsid w:val="00731FDB"/>
    <w:rsid w:val="007321DE"/>
    <w:rsid w:val="0073220C"/>
    <w:rsid w:val="00732A7B"/>
    <w:rsid w:val="00732CBA"/>
    <w:rsid w:val="00733616"/>
    <w:rsid w:val="00733DD4"/>
    <w:rsid w:val="00733F79"/>
    <w:rsid w:val="0073473F"/>
    <w:rsid w:val="0073545F"/>
    <w:rsid w:val="007357A0"/>
    <w:rsid w:val="00735EF2"/>
    <w:rsid w:val="00737690"/>
    <w:rsid w:val="007376F7"/>
    <w:rsid w:val="00737A0A"/>
    <w:rsid w:val="00737A36"/>
    <w:rsid w:val="00737A81"/>
    <w:rsid w:val="00737ABE"/>
    <w:rsid w:val="00737B95"/>
    <w:rsid w:val="00737E6B"/>
    <w:rsid w:val="007400E8"/>
    <w:rsid w:val="00740247"/>
    <w:rsid w:val="0074061E"/>
    <w:rsid w:val="0074078C"/>
    <w:rsid w:val="00741091"/>
    <w:rsid w:val="0074151D"/>
    <w:rsid w:val="007420A7"/>
    <w:rsid w:val="0074221A"/>
    <w:rsid w:val="007423C6"/>
    <w:rsid w:val="00743138"/>
    <w:rsid w:val="00743CA1"/>
    <w:rsid w:val="007441DC"/>
    <w:rsid w:val="007442F0"/>
    <w:rsid w:val="00744B0C"/>
    <w:rsid w:val="007450B5"/>
    <w:rsid w:val="00745E61"/>
    <w:rsid w:val="00745FA0"/>
    <w:rsid w:val="0074609B"/>
    <w:rsid w:val="0074659E"/>
    <w:rsid w:val="00747B10"/>
    <w:rsid w:val="00747C2B"/>
    <w:rsid w:val="0075024A"/>
    <w:rsid w:val="00750A9A"/>
    <w:rsid w:val="00750E7E"/>
    <w:rsid w:val="00751877"/>
    <w:rsid w:val="007518DF"/>
    <w:rsid w:val="0075190D"/>
    <w:rsid w:val="00751A22"/>
    <w:rsid w:val="00751FCA"/>
    <w:rsid w:val="00753B4F"/>
    <w:rsid w:val="00753D53"/>
    <w:rsid w:val="00753E36"/>
    <w:rsid w:val="0075444B"/>
    <w:rsid w:val="00754B24"/>
    <w:rsid w:val="00755051"/>
    <w:rsid w:val="00755351"/>
    <w:rsid w:val="00756046"/>
    <w:rsid w:val="0075672C"/>
    <w:rsid w:val="0075734C"/>
    <w:rsid w:val="0075766D"/>
    <w:rsid w:val="00757878"/>
    <w:rsid w:val="0076083E"/>
    <w:rsid w:val="007614A2"/>
    <w:rsid w:val="007617CE"/>
    <w:rsid w:val="00761B57"/>
    <w:rsid w:val="007622F9"/>
    <w:rsid w:val="0076291C"/>
    <w:rsid w:val="00763099"/>
    <w:rsid w:val="00763C10"/>
    <w:rsid w:val="007642FE"/>
    <w:rsid w:val="00764893"/>
    <w:rsid w:val="00764B11"/>
    <w:rsid w:val="00764D02"/>
    <w:rsid w:val="00764E22"/>
    <w:rsid w:val="00765076"/>
    <w:rsid w:val="00765124"/>
    <w:rsid w:val="007651AC"/>
    <w:rsid w:val="0076720C"/>
    <w:rsid w:val="00767947"/>
    <w:rsid w:val="007716FE"/>
    <w:rsid w:val="007732EB"/>
    <w:rsid w:val="00773D72"/>
    <w:rsid w:val="007740DF"/>
    <w:rsid w:val="0077452F"/>
    <w:rsid w:val="00775008"/>
    <w:rsid w:val="007759E4"/>
    <w:rsid w:val="007760CF"/>
    <w:rsid w:val="0077610D"/>
    <w:rsid w:val="00776648"/>
    <w:rsid w:val="00777573"/>
    <w:rsid w:val="00777D4E"/>
    <w:rsid w:val="007804ED"/>
    <w:rsid w:val="0078094E"/>
    <w:rsid w:val="00781621"/>
    <w:rsid w:val="00781973"/>
    <w:rsid w:val="00782536"/>
    <w:rsid w:val="00782944"/>
    <w:rsid w:val="00783950"/>
    <w:rsid w:val="00783954"/>
    <w:rsid w:val="00783E50"/>
    <w:rsid w:val="007843E6"/>
    <w:rsid w:val="00784B09"/>
    <w:rsid w:val="00784CD6"/>
    <w:rsid w:val="00784D88"/>
    <w:rsid w:val="00784EDA"/>
    <w:rsid w:val="00785354"/>
    <w:rsid w:val="00785A8C"/>
    <w:rsid w:val="00786B93"/>
    <w:rsid w:val="00787C79"/>
    <w:rsid w:val="00791100"/>
    <w:rsid w:val="00792505"/>
    <w:rsid w:val="00792EF9"/>
    <w:rsid w:val="0079327C"/>
    <w:rsid w:val="007933EB"/>
    <w:rsid w:val="007945F4"/>
    <w:rsid w:val="00794C8F"/>
    <w:rsid w:val="00794C96"/>
    <w:rsid w:val="00794DFE"/>
    <w:rsid w:val="007955F8"/>
    <w:rsid w:val="007957E4"/>
    <w:rsid w:val="00796FFF"/>
    <w:rsid w:val="00797490"/>
    <w:rsid w:val="0079797F"/>
    <w:rsid w:val="00797C61"/>
    <w:rsid w:val="007A0D58"/>
    <w:rsid w:val="007A0E0C"/>
    <w:rsid w:val="007A1FB2"/>
    <w:rsid w:val="007A32EF"/>
    <w:rsid w:val="007A3435"/>
    <w:rsid w:val="007A3D6D"/>
    <w:rsid w:val="007A475E"/>
    <w:rsid w:val="007A4AEE"/>
    <w:rsid w:val="007A4FF0"/>
    <w:rsid w:val="007A5006"/>
    <w:rsid w:val="007A5340"/>
    <w:rsid w:val="007A60BE"/>
    <w:rsid w:val="007A6163"/>
    <w:rsid w:val="007A62D9"/>
    <w:rsid w:val="007A6C96"/>
    <w:rsid w:val="007B022F"/>
    <w:rsid w:val="007B0233"/>
    <w:rsid w:val="007B0E86"/>
    <w:rsid w:val="007B11C1"/>
    <w:rsid w:val="007B2549"/>
    <w:rsid w:val="007B2835"/>
    <w:rsid w:val="007B2D08"/>
    <w:rsid w:val="007B3339"/>
    <w:rsid w:val="007B490B"/>
    <w:rsid w:val="007B5434"/>
    <w:rsid w:val="007B681E"/>
    <w:rsid w:val="007B68C8"/>
    <w:rsid w:val="007B6C19"/>
    <w:rsid w:val="007B7CB2"/>
    <w:rsid w:val="007B7DEB"/>
    <w:rsid w:val="007C0455"/>
    <w:rsid w:val="007C0FE3"/>
    <w:rsid w:val="007C1382"/>
    <w:rsid w:val="007C255E"/>
    <w:rsid w:val="007C2798"/>
    <w:rsid w:val="007C297D"/>
    <w:rsid w:val="007C298F"/>
    <w:rsid w:val="007C2CDA"/>
    <w:rsid w:val="007C2DA3"/>
    <w:rsid w:val="007C35CE"/>
    <w:rsid w:val="007C379E"/>
    <w:rsid w:val="007C3816"/>
    <w:rsid w:val="007C3BBA"/>
    <w:rsid w:val="007C3F6B"/>
    <w:rsid w:val="007C4012"/>
    <w:rsid w:val="007C4234"/>
    <w:rsid w:val="007C4405"/>
    <w:rsid w:val="007C46B1"/>
    <w:rsid w:val="007C5190"/>
    <w:rsid w:val="007C5D1B"/>
    <w:rsid w:val="007C71BC"/>
    <w:rsid w:val="007C7D50"/>
    <w:rsid w:val="007D0802"/>
    <w:rsid w:val="007D0DA6"/>
    <w:rsid w:val="007D24C6"/>
    <w:rsid w:val="007D3029"/>
    <w:rsid w:val="007D3965"/>
    <w:rsid w:val="007D3FD5"/>
    <w:rsid w:val="007D4D0C"/>
    <w:rsid w:val="007D5190"/>
    <w:rsid w:val="007D5B77"/>
    <w:rsid w:val="007D6D47"/>
    <w:rsid w:val="007D77D7"/>
    <w:rsid w:val="007D7DD5"/>
    <w:rsid w:val="007E0848"/>
    <w:rsid w:val="007E0E99"/>
    <w:rsid w:val="007E2ADC"/>
    <w:rsid w:val="007E2E70"/>
    <w:rsid w:val="007E35F5"/>
    <w:rsid w:val="007E37E1"/>
    <w:rsid w:val="007E3A3D"/>
    <w:rsid w:val="007E44DF"/>
    <w:rsid w:val="007E4A71"/>
    <w:rsid w:val="007E5AB7"/>
    <w:rsid w:val="007E68C1"/>
    <w:rsid w:val="007E69E8"/>
    <w:rsid w:val="007E6BB7"/>
    <w:rsid w:val="007E70C0"/>
    <w:rsid w:val="007E7347"/>
    <w:rsid w:val="007E7401"/>
    <w:rsid w:val="007E7A43"/>
    <w:rsid w:val="007E7FAB"/>
    <w:rsid w:val="007F050A"/>
    <w:rsid w:val="007F1A6D"/>
    <w:rsid w:val="007F27E5"/>
    <w:rsid w:val="007F295F"/>
    <w:rsid w:val="007F32E3"/>
    <w:rsid w:val="007F3A5F"/>
    <w:rsid w:val="007F3F9D"/>
    <w:rsid w:val="007F3FF7"/>
    <w:rsid w:val="007F5130"/>
    <w:rsid w:val="007F5495"/>
    <w:rsid w:val="007F5C3E"/>
    <w:rsid w:val="007F6653"/>
    <w:rsid w:val="007F673A"/>
    <w:rsid w:val="007F718C"/>
    <w:rsid w:val="007F73AE"/>
    <w:rsid w:val="007F7BFE"/>
    <w:rsid w:val="008005A4"/>
    <w:rsid w:val="008005BF"/>
    <w:rsid w:val="008006BB"/>
    <w:rsid w:val="00800D4C"/>
    <w:rsid w:val="008036AC"/>
    <w:rsid w:val="00803717"/>
    <w:rsid w:val="0080375B"/>
    <w:rsid w:val="00804A91"/>
    <w:rsid w:val="00804B57"/>
    <w:rsid w:val="008051D3"/>
    <w:rsid w:val="00805BC4"/>
    <w:rsid w:val="00805C79"/>
    <w:rsid w:val="00807614"/>
    <w:rsid w:val="00807831"/>
    <w:rsid w:val="0081079D"/>
    <w:rsid w:val="0081087A"/>
    <w:rsid w:val="00811BFD"/>
    <w:rsid w:val="00812787"/>
    <w:rsid w:val="00812ED7"/>
    <w:rsid w:val="00813208"/>
    <w:rsid w:val="00813325"/>
    <w:rsid w:val="00813971"/>
    <w:rsid w:val="00813BD2"/>
    <w:rsid w:val="0081427F"/>
    <w:rsid w:val="00814328"/>
    <w:rsid w:val="00814450"/>
    <w:rsid w:val="00815809"/>
    <w:rsid w:val="008158E7"/>
    <w:rsid w:val="00816BFD"/>
    <w:rsid w:val="00817838"/>
    <w:rsid w:val="00817BEE"/>
    <w:rsid w:val="008206C4"/>
    <w:rsid w:val="00820A73"/>
    <w:rsid w:val="00820B1B"/>
    <w:rsid w:val="00820BF2"/>
    <w:rsid w:val="00821DFD"/>
    <w:rsid w:val="008221A5"/>
    <w:rsid w:val="00822471"/>
    <w:rsid w:val="00822587"/>
    <w:rsid w:val="008228C0"/>
    <w:rsid w:val="00822AA1"/>
    <w:rsid w:val="008232F5"/>
    <w:rsid w:val="008240F4"/>
    <w:rsid w:val="00824E7C"/>
    <w:rsid w:val="00824EDE"/>
    <w:rsid w:val="00825E4A"/>
    <w:rsid w:val="008261E4"/>
    <w:rsid w:val="008265B1"/>
    <w:rsid w:val="00826824"/>
    <w:rsid w:val="00826EBF"/>
    <w:rsid w:val="00827D4A"/>
    <w:rsid w:val="0083030E"/>
    <w:rsid w:val="008310E2"/>
    <w:rsid w:val="00831112"/>
    <w:rsid w:val="00831196"/>
    <w:rsid w:val="008312A5"/>
    <w:rsid w:val="00831717"/>
    <w:rsid w:val="0083184A"/>
    <w:rsid w:val="00832C73"/>
    <w:rsid w:val="00833C46"/>
    <w:rsid w:val="008346E4"/>
    <w:rsid w:val="00835002"/>
    <w:rsid w:val="008354B7"/>
    <w:rsid w:val="00835824"/>
    <w:rsid w:val="008358FD"/>
    <w:rsid w:val="00835DEA"/>
    <w:rsid w:val="0083642B"/>
    <w:rsid w:val="00836566"/>
    <w:rsid w:val="00836B47"/>
    <w:rsid w:val="0083704C"/>
    <w:rsid w:val="008379F6"/>
    <w:rsid w:val="00840900"/>
    <w:rsid w:val="00840C28"/>
    <w:rsid w:val="00840CFF"/>
    <w:rsid w:val="00842059"/>
    <w:rsid w:val="00842078"/>
    <w:rsid w:val="00842643"/>
    <w:rsid w:val="00842F2B"/>
    <w:rsid w:val="0084492A"/>
    <w:rsid w:val="00844944"/>
    <w:rsid w:val="00844C37"/>
    <w:rsid w:val="008458C3"/>
    <w:rsid w:val="00845AD8"/>
    <w:rsid w:val="008469E7"/>
    <w:rsid w:val="00847192"/>
    <w:rsid w:val="0084782F"/>
    <w:rsid w:val="00847F84"/>
    <w:rsid w:val="00850457"/>
    <w:rsid w:val="0085082C"/>
    <w:rsid w:val="008508F2"/>
    <w:rsid w:val="00850C87"/>
    <w:rsid w:val="00851324"/>
    <w:rsid w:val="008520F5"/>
    <w:rsid w:val="0085222F"/>
    <w:rsid w:val="008523BB"/>
    <w:rsid w:val="0085258E"/>
    <w:rsid w:val="0085394E"/>
    <w:rsid w:val="008541B6"/>
    <w:rsid w:val="008543D2"/>
    <w:rsid w:val="008544E0"/>
    <w:rsid w:val="00854529"/>
    <w:rsid w:val="008545AD"/>
    <w:rsid w:val="00854D17"/>
    <w:rsid w:val="00855667"/>
    <w:rsid w:val="00856182"/>
    <w:rsid w:val="0085687E"/>
    <w:rsid w:val="00856C85"/>
    <w:rsid w:val="00856E4F"/>
    <w:rsid w:val="0085729E"/>
    <w:rsid w:val="008601B8"/>
    <w:rsid w:val="00860325"/>
    <w:rsid w:val="00861772"/>
    <w:rsid w:val="00862003"/>
    <w:rsid w:val="00863723"/>
    <w:rsid w:val="008639DF"/>
    <w:rsid w:val="00863C26"/>
    <w:rsid w:val="00863E4E"/>
    <w:rsid w:val="008647DE"/>
    <w:rsid w:val="008648EA"/>
    <w:rsid w:val="0086497A"/>
    <w:rsid w:val="00864C79"/>
    <w:rsid w:val="00864EEC"/>
    <w:rsid w:val="00864FE9"/>
    <w:rsid w:val="0086571C"/>
    <w:rsid w:val="008662B3"/>
    <w:rsid w:val="00866CE6"/>
    <w:rsid w:val="00867843"/>
    <w:rsid w:val="008678C9"/>
    <w:rsid w:val="00867CCD"/>
    <w:rsid w:val="008706EB"/>
    <w:rsid w:val="00871914"/>
    <w:rsid w:val="00871EE9"/>
    <w:rsid w:val="00873206"/>
    <w:rsid w:val="0087417C"/>
    <w:rsid w:val="00874352"/>
    <w:rsid w:val="008746BC"/>
    <w:rsid w:val="00874B8F"/>
    <w:rsid w:val="008753FF"/>
    <w:rsid w:val="00875A49"/>
    <w:rsid w:val="00875D5D"/>
    <w:rsid w:val="00875FED"/>
    <w:rsid w:val="00876274"/>
    <w:rsid w:val="0087693D"/>
    <w:rsid w:val="0088064C"/>
    <w:rsid w:val="008809D2"/>
    <w:rsid w:val="00881749"/>
    <w:rsid w:val="00881E52"/>
    <w:rsid w:val="00882A97"/>
    <w:rsid w:val="00882EC6"/>
    <w:rsid w:val="008838E0"/>
    <w:rsid w:val="00883C46"/>
    <w:rsid w:val="00883F13"/>
    <w:rsid w:val="00884037"/>
    <w:rsid w:val="00884245"/>
    <w:rsid w:val="008847E0"/>
    <w:rsid w:val="008852A6"/>
    <w:rsid w:val="0088532D"/>
    <w:rsid w:val="0088539E"/>
    <w:rsid w:val="00885992"/>
    <w:rsid w:val="00885A44"/>
    <w:rsid w:val="00885B36"/>
    <w:rsid w:val="0088625B"/>
    <w:rsid w:val="0088650E"/>
    <w:rsid w:val="008867A2"/>
    <w:rsid w:val="00886B2D"/>
    <w:rsid w:val="008872FF"/>
    <w:rsid w:val="00890638"/>
    <w:rsid w:val="00890657"/>
    <w:rsid w:val="008906E5"/>
    <w:rsid w:val="00891523"/>
    <w:rsid w:val="00891B96"/>
    <w:rsid w:val="0089297B"/>
    <w:rsid w:val="008932E7"/>
    <w:rsid w:val="008932EA"/>
    <w:rsid w:val="008943D6"/>
    <w:rsid w:val="00894687"/>
    <w:rsid w:val="0089489A"/>
    <w:rsid w:val="00895269"/>
    <w:rsid w:val="008953E3"/>
    <w:rsid w:val="00895557"/>
    <w:rsid w:val="0089580C"/>
    <w:rsid w:val="00896149"/>
    <w:rsid w:val="00896547"/>
    <w:rsid w:val="00896FA0"/>
    <w:rsid w:val="0089773A"/>
    <w:rsid w:val="008A05D0"/>
    <w:rsid w:val="008A0DB1"/>
    <w:rsid w:val="008A0EA8"/>
    <w:rsid w:val="008A1818"/>
    <w:rsid w:val="008A20C9"/>
    <w:rsid w:val="008A27CA"/>
    <w:rsid w:val="008A35A9"/>
    <w:rsid w:val="008A3DED"/>
    <w:rsid w:val="008A514C"/>
    <w:rsid w:val="008A597A"/>
    <w:rsid w:val="008A5AFB"/>
    <w:rsid w:val="008A62BA"/>
    <w:rsid w:val="008A6ACC"/>
    <w:rsid w:val="008A7460"/>
    <w:rsid w:val="008B000D"/>
    <w:rsid w:val="008B080E"/>
    <w:rsid w:val="008B08F8"/>
    <w:rsid w:val="008B09E4"/>
    <w:rsid w:val="008B0CF9"/>
    <w:rsid w:val="008B18CC"/>
    <w:rsid w:val="008B300E"/>
    <w:rsid w:val="008B32F1"/>
    <w:rsid w:val="008B4571"/>
    <w:rsid w:val="008B5000"/>
    <w:rsid w:val="008B5A53"/>
    <w:rsid w:val="008B5AD4"/>
    <w:rsid w:val="008B6112"/>
    <w:rsid w:val="008B7D00"/>
    <w:rsid w:val="008C0312"/>
    <w:rsid w:val="008C09FE"/>
    <w:rsid w:val="008C1193"/>
    <w:rsid w:val="008C1C6F"/>
    <w:rsid w:val="008C1F86"/>
    <w:rsid w:val="008C24A2"/>
    <w:rsid w:val="008C26DA"/>
    <w:rsid w:val="008C2A32"/>
    <w:rsid w:val="008C2B53"/>
    <w:rsid w:val="008C3823"/>
    <w:rsid w:val="008C3A49"/>
    <w:rsid w:val="008C4388"/>
    <w:rsid w:val="008C445B"/>
    <w:rsid w:val="008C523F"/>
    <w:rsid w:val="008C6C6F"/>
    <w:rsid w:val="008C6EA3"/>
    <w:rsid w:val="008C79C3"/>
    <w:rsid w:val="008C7B60"/>
    <w:rsid w:val="008D0FFD"/>
    <w:rsid w:val="008D1003"/>
    <w:rsid w:val="008D143E"/>
    <w:rsid w:val="008D144F"/>
    <w:rsid w:val="008D1DF5"/>
    <w:rsid w:val="008D2ED7"/>
    <w:rsid w:val="008D2F44"/>
    <w:rsid w:val="008D3D52"/>
    <w:rsid w:val="008D4081"/>
    <w:rsid w:val="008D4171"/>
    <w:rsid w:val="008D43CE"/>
    <w:rsid w:val="008D4843"/>
    <w:rsid w:val="008D48E0"/>
    <w:rsid w:val="008D5460"/>
    <w:rsid w:val="008D5558"/>
    <w:rsid w:val="008D5B9A"/>
    <w:rsid w:val="008D60E1"/>
    <w:rsid w:val="008D6936"/>
    <w:rsid w:val="008D6EBE"/>
    <w:rsid w:val="008D6F1F"/>
    <w:rsid w:val="008D78D7"/>
    <w:rsid w:val="008D7F69"/>
    <w:rsid w:val="008E015E"/>
    <w:rsid w:val="008E0CB4"/>
    <w:rsid w:val="008E0D39"/>
    <w:rsid w:val="008E160B"/>
    <w:rsid w:val="008E1615"/>
    <w:rsid w:val="008E235F"/>
    <w:rsid w:val="008E2BA4"/>
    <w:rsid w:val="008E48AB"/>
    <w:rsid w:val="008E4D6A"/>
    <w:rsid w:val="008E51FE"/>
    <w:rsid w:val="008E5F9B"/>
    <w:rsid w:val="008E7710"/>
    <w:rsid w:val="008F0053"/>
    <w:rsid w:val="008F0706"/>
    <w:rsid w:val="008F0CD6"/>
    <w:rsid w:val="008F17E2"/>
    <w:rsid w:val="008F1884"/>
    <w:rsid w:val="008F1A33"/>
    <w:rsid w:val="008F2154"/>
    <w:rsid w:val="008F2247"/>
    <w:rsid w:val="008F2613"/>
    <w:rsid w:val="008F266B"/>
    <w:rsid w:val="008F2EE2"/>
    <w:rsid w:val="008F2F27"/>
    <w:rsid w:val="008F3BAF"/>
    <w:rsid w:val="008F3C11"/>
    <w:rsid w:val="008F3EFF"/>
    <w:rsid w:val="008F439C"/>
    <w:rsid w:val="008F46E4"/>
    <w:rsid w:val="008F4E36"/>
    <w:rsid w:val="008F4E56"/>
    <w:rsid w:val="008F4F13"/>
    <w:rsid w:val="008F5597"/>
    <w:rsid w:val="008F577B"/>
    <w:rsid w:val="008F5818"/>
    <w:rsid w:val="008F5A67"/>
    <w:rsid w:val="008F5EF7"/>
    <w:rsid w:val="008F66BA"/>
    <w:rsid w:val="008F714B"/>
    <w:rsid w:val="008F73C5"/>
    <w:rsid w:val="008F75E9"/>
    <w:rsid w:val="00900102"/>
    <w:rsid w:val="009006C9"/>
    <w:rsid w:val="00900E50"/>
    <w:rsid w:val="0090117C"/>
    <w:rsid w:val="00901446"/>
    <w:rsid w:val="00901898"/>
    <w:rsid w:val="00902869"/>
    <w:rsid w:val="00902981"/>
    <w:rsid w:val="00902EF6"/>
    <w:rsid w:val="009030C3"/>
    <w:rsid w:val="00903383"/>
    <w:rsid w:val="0090369A"/>
    <w:rsid w:val="00904C94"/>
    <w:rsid w:val="0090517D"/>
    <w:rsid w:val="0090572A"/>
    <w:rsid w:val="00905D06"/>
    <w:rsid w:val="00905D4C"/>
    <w:rsid w:val="00905F3A"/>
    <w:rsid w:val="00906118"/>
    <w:rsid w:val="0090636A"/>
    <w:rsid w:val="00906CF9"/>
    <w:rsid w:val="00906EFD"/>
    <w:rsid w:val="009074AF"/>
    <w:rsid w:val="00910364"/>
    <w:rsid w:val="00910C43"/>
    <w:rsid w:val="009112D6"/>
    <w:rsid w:val="00912A50"/>
    <w:rsid w:val="00913397"/>
    <w:rsid w:val="009142B8"/>
    <w:rsid w:val="009143DC"/>
    <w:rsid w:val="00914AC0"/>
    <w:rsid w:val="009150C4"/>
    <w:rsid w:val="009151A6"/>
    <w:rsid w:val="00915202"/>
    <w:rsid w:val="0091520C"/>
    <w:rsid w:val="009153CC"/>
    <w:rsid w:val="009156C3"/>
    <w:rsid w:val="00916080"/>
    <w:rsid w:val="00916762"/>
    <w:rsid w:val="00916ED0"/>
    <w:rsid w:val="00916F19"/>
    <w:rsid w:val="00917174"/>
    <w:rsid w:val="00917401"/>
    <w:rsid w:val="00917FBC"/>
    <w:rsid w:val="00920E8F"/>
    <w:rsid w:val="00920FE6"/>
    <w:rsid w:val="00921F45"/>
    <w:rsid w:val="00922344"/>
    <w:rsid w:val="00922E36"/>
    <w:rsid w:val="0092324F"/>
    <w:rsid w:val="009233BE"/>
    <w:rsid w:val="0092345A"/>
    <w:rsid w:val="00924DAE"/>
    <w:rsid w:val="00924DF3"/>
    <w:rsid w:val="00924E1D"/>
    <w:rsid w:val="00924FE6"/>
    <w:rsid w:val="0092533E"/>
    <w:rsid w:val="009255A1"/>
    <w:rsid w:val="009258FF"/>
    <w:rsid w:val="009259FD"/>
    <w:rsid w:val="00926A02"/>
    <w:rsid w:val="00926F44"/>
    <w:rsid w:val="0092730F"/>
    <w:rsid w:val="009276C8"/>
    <w:rsid w:val="00927DD1"/>
    <w:rsid w:val="00927F62"/>
    <w:rsid w:val="009302E0"/>
    <w:rsid w:val="009305C3"/>
    <w:rsid w:val="00930B66"/>
    <w:rsid w:val="00931333"/>
    <w:rsid w:val="00931672"/>
    <w:rsid w:val="00931B79"/>
    <w:rsid w:val="00931C6D"/>
    <w:rsid w:val="00931F83"/>
    <w:rsid w:val="009323DE"/>
    <w:rsid w:val="00932898"/>
    <w:rsid w:val="0093397C"/>
    <w:rsid w:val="00933FD1"/>
    <w:rsid w:val="00934CAD"/>
    <w:rsid w:val="00935034"/>
    <w:rsid w:val="009357DA"/>
    <w:rsid w:val="00937203"/>
    <w:rsid w:val="00937DFE"/>
    <w:rsid w:val="00937F30"/>
    <w:rsid w:val="00940840"/>
    <w:rsid w:val="00941949"/>
    <w:rsid w:val="00941ACF"/>
    <w:rsid w:val="0094305A"/>
    <w:rsid w:val="0094337B"/>
    <w:rsid w:val="00944399"/>
    <w:rsid w:val="009444C4"/>
    <w:rsid w:val="00944634"/>
    <w:rsid w:val="00944E47"/>
    <w:rsid w:val="00944EEE"/>
    <w:rsid w:val="00944F02"/>
    <w:rsid w:val="009450BB"/>
    <w:rsid w:val="0094539C"/>
    <w:rsid w:val="00945933"/>
    <w:rsid w:val="00945BDA"/>
    <w:rsid w:val="00945D89"/>
    <w:rsid w:val="009470D7"/>
    <w:rsid w:val="00947A56"/>
    <w:rsid w:val="00950545"/>
    <w:rsid w:val="0095100C"/>
    <w:rsid w:val="0095125E"/>
    <w:rsid w:val="00951501"/>
    <w:rsid w:val="00951712"/>
    <w:rsid w:val="009519A9"/>
    <w:rsid w:val="009519E5"/>
    <w:rsid w:val="0095276D"/>
    <w:rsid w:val="00952B35"/>
    <w:rsid w:val="00953244"/>
    <w:rsid w:val="00953393"/>
    <w:rsid w:val="00953409"/>
    <w:rsid w:val="009553AD"/>
    <w:rsid w:val="00955826"/>
    <w:rsid w:val="00956890"/>
    <w:rsid w:val="00957566"/>
    <w:rsid w:val="0096069A"/>
    <w:rsid w:val="009608F7"/>
    <w:rsid w:val="009619C5"/>
    <w:rsid w:val="00961CC5"/>
    <w:rsid w:val="00961F0E"/>
    <w:rsid w:val="00962204"/>
    <w:rsid w:val="00962CAE"/>
    <w:rsid w:val="00963691"/>
    <w:rsid w:val="009643BB"/>
    <w:rsid w:val="0096479C"/>
    <w:rsid w:val="009658CA"/>
    <w:rsid w:val="0096591D"/>
    <w:rsid w:val="00965A36"/>
    <w:rsid w:val="00965C78"/>
    <w:rsid w:val="00965E41"/>
    <w:rsid w:val="00965F6A"/>
    <w:rsid w:val="00966B86"/>
    <w:rsid w:val="0096703A"/>
    <w:rsid w:val="0096789D"/>
    <w:rsid w:val="00967B9F"/>
    <w:rsid w:val="00970601"/>
    <w:rsid w:val="00970692"/>
    <w:rsid w:val="00971B3E"/>
    <w:rsid w:val="00971B55"/>
    <w:rsid w:val="00973454"/>
    <w:rsid w:val="00974020"/>
    <w:rsid w:val="009741B6"/>
    <w:rsid w:val="0097538D"/>
    <w:rsid w:val="009758FB"/>
    <w:rsid w:val="00975EDF"/>
    <w:rsid w:val="009763DA"/>
    <w:rsid w:val="00976E7A"/>
    <w:rsid w:val="00977438"/>
    <w:rsid w:val="009774D0"/>
    <w:rsid w:val="0097750C"/>
    <w:rsid w:val="009778FB"/>
    <w:rsid w:val="00981FCF"/>
    <w:rsid w:val="00982564"/>
    <w:rsid w:val="0098260B"/>
    <w:rsid w:val="00982C3F"/>
    <w:rsid w:val="00982CE4"/>
    <w:rsid w:val="0098321A"/>
    <w:rsid w:val="0098339E"/>
    <w:rsid w:val="00983433"/>
    <w:rsid w:val="00983EAE"/>
    <w:rsid w:val="009841AA"/>
    <w:rsid w:val="009846BB"/>
    <w:rsid w:val="009848F6"/>
    <w:rsid w:val="00984D5B"/>
    <w:rsid w:val="00985038"/>
    <w:rsid w:val="009855D5"/>
    <w:rsid w:val="00985748"/>
    <w:rsid w:val="0098589B"/>
    <w:rsid w:val="00985A58"/>
    <w:rsid w:val="009865F9"/>
    <w:rsid w:val="009869A8"/>
    <w:rsid w:val="00987C06"/>
    <w:rsid w:val="00987D87"/>
    <w:rsid w:val="009904B3"/>
    <w:rsid w:val="0099093E"/>
    <w:rsid w:val="00990F48"/>
    <w:rsid w:val="00991453"/>
    <w:rsid w:val="0099177D"/>
    <w:rsid w:val="00991C8B"/>
    <w:rsid w:val="00993658"/>
    <w:rsid w:val="00993E2E"/>
    <w:rsid w:val="00994439"/>
    <w:rsid w:val="00994A33"/>
    <w:rsid w:val="00994A42"/>
    <w:rsid w:val="00994F05"/>
    <w:rsid w:val="009954AA"/>
    <w:rsid w:val="00995D67"/>
    <w:rsid w:val="00996226"/>
    <w:rsid w:val="0099644B"/>
    <w:rsid w:val="009A111A"/>
    <w:rsid w:val="009A1427"/>
    <w:rsid w:val="009A1A50"/>
    <w:rsid w:val="009A1A60"/>
    <w:rsid w:val="009A1BD4"/>
    <w:rsid w:val="009A1DD0"/>
    <w:rsid w:val="009A2246"/>
    <w:rsid w:val="009A23EC"/>
    <w:rsid w:val="009A2417"/>
    <w:rsid w:val="009A2BCF"/>
    <w:rsid w:val="009A2CF3"/>
    <w:rsid w:val="009A2FEB"/>
    <w:rsid w:val="009A33D3"/>
    <w:rsid w:val="009A367D"/>
    <w:rsid w:val="009A3AE4"/>
    <w:rsid w:val="009A40B6"/>
    <w:rsid w:val="009A4243"/>
    <w:rsid w:val="009A4EDA"/>
    <w:rsid w:val="009A51CB"/>
    <w:rsid w:val="009A5254"/>
    <w:rsid w:val="009A5BF7"/>
    <w:rsid w:val="009A5C6A"/>
    <w:rsid w:val="009A5F11"/>
    <w:rsid w:val="009A63C8"/>
    <w:rsid w:val="009A6620"/>
    <w:rsid w:val="009A6638"/>
    <w:rsid w:val="009A683F"/>
    <w:rsid w:val="009A6D86"/>
    <w:rsid w:val="009A7955"/>
    <w:rsid w:val="009B0427"/>
    <w:rsid w:val="009B14E7"/>
    <w:rsid w:val="009B19D4"/>
    <w:rsid w:val="009B254D"/>
    <w:rsid w:val="009B2735"/>
    <w:rsid w:val="009B2758"/>
    <w:rsid w:val="009B3550"/>
    <w:rsid w:val="009B3BD7"/>
    <w:rsid w:val="009B4CD9"/>
    <w:rsid w:val="009B62EC"/>
    <w:rsid w:val="009B636C"/>
    <w:rsid w:val="009B675E"/>
    <w:rsid w:val="009B7686"/>
    <w:rsid w:val="009B76A7"/>
    <w:rsid w:val="009B788D"/>
    <w:rsid w:val="009B78C7"/>
    <w:rsid w:val="009C04B8"/>
    <w:rsid w:val="009C0B37"/>
    <w:rsid w:val="009C14A7"/>
    <w:rsid w:val="009C1888"/>
    <w:rsid w:val="009C2104"/>
    <w:rsid w:val="009C257C"/>
    <w:rsid w:val="009C27ED"/>
    <w:rsid w:val="009C3035"/>
    <w:rsid w:val="009C39E9"/>
    <w:rsid w:val="009C486F"/>
    <w:rsid w:val="009C58F5"/>
    <w:rsid w:val="009C5DCB"/>
    <w:rsid w:val="009C6B9E"/>
    <w:rsid w:val="009C72F7"/>
    <w:rsid w:val="009C7A13"/>
    <w:rsid w:val="009C7D07"/>
    <w:rsid w:val="009D0720"/>
    <w:rsid w:val="009D0AF1"/>
    <w:rsid w:val="009D0CAE"/>
    <w:rsid w:val="009D1893"/>
    <w:rsid w:val="009D200D"/>
    <w:rsid w:val="009D23E0"/>
    <w:rsid w:val="009D2BD4"/>
    <w:rsid w:val="009D3D31"/>
    <w:rsid w:val="009D5223"/>
    <w:rsid w:val="009D5B94"/>
    <w:rsid w:val="009D5D92"/>
    <w:rsid w:val="009D64AC"/>
    <w:rsid w:val="009D6E0F"/>
    <w:rsid w:val="009D6F9F"/>
    <w:rsid w:val="009D7E89"/>
    <w:rsid w:val="009E05CE"/>
    <w:rsid w:val="009E1238"/>
    <w:rsid w:val="009E17B3"/>
    <w:rsid w:val="009E1A9D"/>
    <w:rsid w:val="009E298D"/>
    <w:rsid w:val="009E2BDB"/>
    <w:rsid w:val="009E2E69"/>
    <w:rsid w:val="009E370D"/>
    <w:rsid w:val="009E38FF"/>
    <w:rsid w:val="009E43E3"/>
    <w:rsid w:val="009E4C7D"/>
    <w:rsid w:val="009E52C5"/>
    <w:rsid w:val="009E558A"/>
    <w:rsid w:val="009E65D6"/>
    <w:rsid w:val="009E69EA"/>
    <w:rsid w:val="009E6A29"/>
    <w:rsid w:val="009E6C35"/>
    <w:rsid w:val="009E7140"/>
    <w:rsid w:val="009E7C1A"/>
    <w:rsid w:val="009E7D8F"/>
    <w:rsid w:val="009E7E6B"/>
    <w:rsid w:val="009F0490"/>
    <w:rsid w:val="009F0548"/>
    <w:rsid w:val="009F055F"/>
    <w:rsid w:val="009F0624"/>
    <w:rsid w:val="009F1158"/>
    <w:rsid w:val="009F243A"/>
    <w:rsid w:val="009F2C19"/>
    <w:rsid w:val="009F3573"/>
    <w:rsid w:val="009F3782"/>
    <w:rsid w:val="009F421E"/>
    <w:rsid w:val="009F4582"/>
    <w:rsid w:val="009F4628"/>
    <w:rsid w:val="009F552D"/>
    <w:rsid w:val="009F60BD"/>
    <w:rsid w:val="009F6A46"/>
    <w:rsid w:val="009F6ECE"/>
    <w:rsid w:val="009F6ED2"/>
    <w:rsid w:val="009F6F79"/>
    <w:rsid w:val="009F7844"/>
    <w:rsid w:val="009F7ADC"/>
    <w:rsid w:val="009F7F13"/>
    <w:rsid w:val="00A003DE"/>
    <w:rsid w:val="00A00401"/>
    <w:rsid w:val="00A00B2A"/>
    <w:rsid w:val="00A00E03"/>
    <w:rsid w:val="00A0129F"/>
    <w:rsid w:val="00A014B0"/>
    <w:rsid w:val="00A01BD6"/>
    <w:rsid w:val="00A01C89"/>
    <w:rsid w:val="00A01E3D"/>
    <w:rsid w:val="00A02D64"/>
    <w:rsid w:val="00A034DE"/>
    <w:rsid w:val="00A04373"/>
    <w:rsid w:val="00A04489"/>
    <w:rsid w:val="00A04667"/>
    <w:rsid w:val="00A04F28"/>
    <w:rsid w:val="00A05B22"/>
    <w:rsid w:val="00A06056"/>
    <w:rsid w:val="00A0673D"/>
    <w:rsid w:val="00A0694F"/>
    <w:rsid w:val="00A06B52"/>
    <w:rsid w:val="00A0710F"/>
    <w:rsid w:val="00A0720C"/>
    <w:rsid w:val="00A07267"/>
    <w:rsid w:val="00A07373"/>
    <w:rsid w:val="00A076A8"/>
    <w:rsid w:val="00A1000A"/>
    <w:rsid w:val="00A10DF3"/>
    <w:rsid w:val="00A10E18"/>
    <w:rsid w:val="00A10E89"/>
    <w:rsid w:val="00A12207"/>
    <w:rsid w:val="00A12675"/>
    <w:rsid w:val="00A127F9"/>
    <w:rsid w:val="00A12C05"/>
    <w:rsid w:val="00A1389F"/>
    <w:rsid w:val="00A13EFE"/>
    <w:rsid w:val="00A13FEE"/>
    <w:rsid w:val="00A14FB6"/>
    <w:rsid w:val="00A15845"/>
    <w:rsid w:val="00A15A64"/>
    <w:rsid w:val="00A15EAA"/>
    <w:rsid w:val="00A1660D"/>
    <w:rsid w:val="00A16727"/>
    <w:rsid w:val="00A174AC"/>
    <w:rsid w:val="00A178AD"/>
    <w:rsid w:val="00A200D9"/>
    <w:rsid w:val="00A205FB"/>
    <w:rsid w:val="00A2062D"/>
    <w:rsid w:val="00A206A2"/>
    <w:rsid w:val="00A2074B"/>
    <w:rsid w:val="00A20929"/>
    <w:rsid w:val="00A20C0A"/>
    <w:rsid w:val="00A2172C"/>
    <w:rsid w:val="00A21C29"/>
    <w:rsid w:val="00A21C80"/>
    <w:rsid w:val="00A21E9F"/>
    <w:rsid w:val="00A21F93"/>
    <w:rsid w:val="00A2228A"/>
    <w:rsid w:val="00A22E3E"/>
    <w:rsid w:val="00A23574"/>
    <w:rsid w:val="00A248EB"/>
    <w:rsid w:val="00A251C3"/>
    <w:rsid w:val="00A2660F"/>
    <w:rsid w:val="00A26B31"/>
    <w:rsid w:val="00A27048"/>
    <w:rsid w:val="00A271D1"/>
    <w:rsid w:val="00A27902"/>
    <w:rsid w:val="00A27C26"/>
    <w:rsid w:val="00A30150"/>
    <w:rsid w:val="00A30D07"/>
    <w:rsid w:val="00A31739"/>
    <w:rsid w:val="00A319E2"/>
    <w:rsid w:val="00A31AF4"/>
    <w:rsid w:val="00A321D0"/>
    <w:rsid w:val="00A327E8"/>
    <w:rsid w:val="00A32A47"/>
    <w:rsid w:val="00A32B0C"/>
    <w:rsid w:val="00A3337A"/>
    <w:rsid w:val="00A34E84"/>
    <w:rsid w:val="00A35B54"/>
    <w:rsid w:val="00A4076B"/>
    <w:rsid w:val="00A40796"/>
    <w:rsid w:val="00A409F2"/>
    <w:rsid w:val="00A40BAA"/>
    <w:rsid w:val="00A415E9"/>
    <w:rsid w:val="00A416C8"/>
    <w:rsid w:val="00A42342"/>
    <w:rsid w:val="00A428E9"/>
    <w:rsid w:val="00A42A12"/>
    <w:rsid w:val="00A430B7"/>
    <w:rsid w:val="00A439A9"/>
    <w:rsid w:val="00A43B0F"/>
    <w:rsid w:val="00A44139"/>
    <w:rsid w:val="00A446E1"/>
    <w:rsid w:val="00A4534E"/>
    <w:rsid w:val="00A45B55"/>
    <w:rsid w:val="00A45EDD"/>
    <w:rsid w:val="00A46594"/>
    <w:rsid w:val="00A47468"/>
    <w:rsid w:val="00A478DF"/>
    <w:rsid w:val="00A50925"/>
    <w:rsid w:val="00A51056"/>
    <w:rsid w:val="00A5125C"/>
    <w:rsid w:val="00A51C4B"/>
    <w:rsid w:val="00A52B5D"/>
    <w:rsid w:val="00A54069"/>
    <w:rsid w:val="00A55133"/>
    <w:rsid w:val="00A55FA3"/>
    <w:rsid w:val="00A566D7"/>
    <w:rsid w:val="00A56A08"/>
    <w:rsid w:val="00A571B0"/>
    <w:rsid w:val="00A57227"/>
    <w:rsid w:val="00A6061D"/>
    <w:rsid w:val="00A60793"/>
    <w:rsid w:val="00A60885"/>
    <w:rsid w:val="00A60E24"/>
    <w:rsid w:val="00A611CD"/>
    <w:rsid w:val="00A620E6"/>
    <w:rsid w:val="00A631E7"/>
    <w:rsid w:val="00A6321C"/>
    <w:rsid w:val="00A63CF4"/>
    <w:rsid w:val="00A64315"/>
    <w:rsid w:val="00A64A72"/>
    <w:rsid w:val="00A65053"/>
    <w:rsid w:val="00A653CE"/>
    <w:rsid w:val="00A65D64"/>
    <w:rsid w:val="00A6651D"/>
    <w:rsid w:val="00A6718B"/>
    <w:rsid w:val="00A6739C"/>
    <w:rsid w:val="00A676A5"/>
    <w:rsid w:val="00A67AB1"/>
    <w:rsid w:val="00A67AC3"/>
    <w:rsid w:val="00A70468"/>
    <w:rsid w:val="00A7137F"/>
    <w:rsid w:val="00A722CA"/>
    <w:rsid w:val="00A7239C"/>
    <w:rsid w:val="00A7384E"/>
    <w:rsid w:val="00A73DB1"/>
    <w:rsid w:val="00A746AA"/>
    <w:rsid w:val="00A7475A"/>
    <w:rsid w:val="00A74D09"/>
    <w:rsid w:val="00A74DA6"/>
    <w:rsid w:val="00A7501B"/>
    <w:rsid w:val="00A75D36"/>
    <w:rsid w:val="00A77E52"/>
    <w:rsid w:val="00A800A8"/>
    <w:rsid w:val="00A801F3"/>
    <w:rsid w:val="00A8062B"/>
    <w:rsid w:val="00A809C8"/>
    <w:rsid w:val="00A80F42"/>
    <w:rsid w:val="00A8113C"/>
    <w:rsid w:val="00A812D1"/>
    <w:rsid w:val="00A81395"/>
    <w:rsid w:val="00A817EA"/>
    <w:rsid w:val="00A82637"/>
    <w:rsid w:val="00A82B6B"/>
    <w:rsid w:val="00A83390"/>
    <w:rsid w:val="00A838E1"/>
    <w:rsid w:val="00A83EDF"/>
    <w:rsid w:val="00A8447E"/>
    <w:rsid w:val="00A84943"/>
    <w:rsid w:val="00A84E73"/>
    <w:rsid w:val="00A852EF"/>
    <w:rsid w:val="00A85FF0"/>
    <w:rsid w:val="00A869D8"/>
    <w:rsid w:val="00A86AE9"/>
    <w:rsid w:val="00A90556"/>
    <w:rsid w:val="00A90D65"/>
    <w:rsid w:val="00A91148"/>
    <w:rsid w:val="00A91471"/>
    <w:rsid w:val="00A92174"/>
    <w:rsid w:val="00A92228"/>
    <w:rsid w:val="00A92D4B"/>
    <w:rsid w:val="00A93F6F"/>
    <w:rsid w:val="00A94637"/>
    <w:rsid w:val="00A94664"/>
    <w:rsid w:val="00A95543"/>
    <w:rsid w:val="00A95AF2"/>
    <w:rsid w:val="00A96267"/>
    <w:rsid w:val="00A973EE"/>
    <w:rsid w:val="00A974B5"/>
    <w:rsid w:val="00A97576"/>
    <w:rsid w:val="00A97C64"/>
    <w:rsid w:val="00A97D6A"/>
    <w:rsid w:val="00AA0548"/>
    <w:rsid w:val="00AA0857"/>
    <w:rsid w:val="00AA15A5"/>
    <w:rsid w:val="00AA2DEC"/>
    <w:rsid w:val="00AA3B65"/>
    <w:rsid w:val="00AA42EF"/>
    <w:rsid w:val="00AA4B1F"/>
    <w:rsid w:val="00AA4C56"/>
    <w:rsid w:val="00AA4EA5"/>
    <w:rsid w:val="00AA5216"/>
    <w:rsid w:val="00AA5224"/>
    <w:rsid w:val="00AA5AFA"/>
    <w:rsid w:val="00AA5D66"/>
    <w:rsid w:val="00AA5E94"/>
    <w:rsid w:val="00AA6FC7"/>
    <w:rsid w:val="00AA720E"/>
    <w:rsid w:val="00AA7354"/>
    <w:rsid w:val="00AA7767"/>
    <w:rsid w:val="00AB052E"/>
    <w:rsid w:val="00AB1408"/>
    <w:rsid w:val="00AB26E4"/>
    <w:rsid w:val="00AB299C"/>
    <w:rsid w:val="00AB2A0B"/>
    <w:rsid w:val="00AB39F0"/>
    <w:rsid w:val="00AB455C"/>
    <w:rsid w:val="00AB47C1"/>
    <w:rsid w:val="00AB4DF6"/>
    <w:rsid w:val="00AB4F5C"/>
    <w:rsid w:val="00AB53CD"/>
    <w:rsid w:val="00AB5DFD"/>
    <w:rsid w:val="00AB64A6"/>
    <w:rsid w:val="00AB6640"/>
    <w:rsid w:val="00AB6CB3"/>
    <w:rsid w:val="00AB7609"/>
    <w:rsid w:val="00AB763C"/>
    <w:rsid w:val="00AB788D"/>
    <w:rsid w:val="00AC0644"/>
    <w:rsid w:val="00AC0666"/>
    <w:rsid w:val="00AC0754"/>
    <w:rsid w:val="00AC1587"/>
    <w:rsid w:val="00AC3BF2"/>
    <w:rsid w:val="00AC4300"/>
    <w:rsid w:val="00AC5260"/>
    <w:rsid w:val="00AC535C"/>
    <w:rsid w:val="00AC5653"/>
    <w:rsid w:val="00AC5EC0"/>
    <w:rsid w:val="00AC60B4"/>
    <w:rsid w:val="00AC6923"/>
    <w:rsid w:val="00AC70D7"/>
    <w:rsid w:val="00AC71FA"/>
    <w:rsid w:val="00AC7221"/>
    <w:rsid w:val="00AD050D"/>
    <w:rsid w:val="00AD0639"/>
    <w:rsid w:val="00AD184B"/>
    <w:rsid w:val="00AD20B7"/>
    <w:rsid w:val="00AD2D1E"/>
    <w:rsid w:val="00AD3630"/>
    <w:rsid w:val="00AD3986"/>
    <w:rsid w:val="00AD4487"/>
    <w:rsid w:val="00AD5043"/>
    <w:rsid w:val="00AD511F"/>
    <w:rsid w:val="00AD5A00"/>
    <w:rsid w:val="00AD5CD1"/>
    <w:rsid w:val="00AD6A0F"/>
    <w:rsid w:val="00AE002E"/>
    <w:rsid w:val="00AE0DC1"/>
    <w:rsid w:val="00AE1384"/>
    <w:rsid w:val="00AE1C08"/>
    <w:rsid w:val="00AE1D07"/>
    <w:rsid w:val="00AE1F5F"/>
    <w:rsid w:val="00AE28A5"/>
    <w:rsid w:val="00AE37F8"/>
    <w:rsid w:val="00AE3B62"/>
    <w:rsid w:val="00AE3E1F"/>
    <w:rsid w:val="00AE4586"/>
    <w:rsid w:val="00AE5A0C"/>
    <w:rsid w:val="00AE6108"/>
    <w:rsid w:val="00AE6897"/>
    <w:rsid w:val="00AE691D"/>
    <w:rsid w:val="00AE6D22"/>
    <w:rsid w:val="00AE7148"/>
    <w:rsid w:val="00AE749D"/>
    <w:rsid w:val="00AE78AF"/>
    <w:rsid w:val="00AE78B4"/>
    <w:rsid w:val="00AF02B8"/>
    <w:rsid w:val="00AF0625"/>
    <w:rsid w:val="00AF0C00"/>
    <w:rsid w:val="00AF17BA"/>
    <w:rsid w:val="00AF1E6D"/>
    <w:rsid w:val="00AF2924"/>
    <w:rsid w:val="00AF2EDB"/>
    <w:rsid w:val="00AF38FD"/>
    <w:rsid w:val="00AF39BE"/>
    <w:rsid w:val="00AF40AD"/>
    <w:rsid w:val="00AF424A"/>
    <w:rsid w:val="00AF4823"/>
    <w:rsid w:val="00AF4A55"/>
    <w:rsid w:val="00AF4E98"/>
    <w:rsid w:val="00AF509B"/>
    <w:rsid w:val="00AF591D"/>
    <w:rsid w:val="00AF5C5F"/>
    <w:rsid w:val="00AF5F64"/>
    <w:rsid w:val="00AF6CA9"/>
    <w:rsid w:val="00AF6EFA"/>
    <w:rsid w:val="00AF730C"/>
    <w:rsid w:val="00AF7403"/>
    <w:rsid w:val="00B00342"/>
    <w:rsid w:val="00B009A5"/>
    <w:rsid w:val="00B02F79"/>
    <w:rsid w:val="00B030D3"/>
    <w:rsid w:val="00B03253"/>
    <w:rsid w:val="00B038FF"/>
    <w:rsid w:val="00B03A5F"/>
    <w:rsid w:val="00B047B6"/>
    <w:rsid w:val="00B056A6"/>
    <w:rsid w:val="00B058C9"/>
    <w:rsid w:val="00B05ED8"/>
    <w:rsid w:val="00B06CC5"/>
    <w:rsid w:val="00B07F32"/>
    <w:rsid w:val="00B107F9"/>
    <w:rsid w:val="00B10A36"/>
    <w:rsid w:val="00B10A9B"/>
    <w:rsid w:val="00B10ED1"/>
    <w:rsid w:val="00B11046"/>
    <w:rsid w:val="00B126A1"/>
    <w:rsid w:val="00B12952"/>
    <w:rsid w:val="00B13773"/>
    <w:rsid w:val="00B13CED"/>
    <w:rsid w:val="00B140FA"/>
    <w:rsid w:val="00B14422"/>
    <w:rsid w:val="00B1459E"/>
    <w:rsid w:val="00B149A5"/>
    <w:rsid w:val="00B153B4"/>
    <w:rsid w:val="00B1597A"/>
    <w:rsid w:val="00B1599E"/>
    <w:rsid w:val="00B15C32"/>
    <w:rsid w:val="00B16645"/>
    <w:rsid w:val="00B1673F"/>
    <w:rsid w:val="00B1679E"/>
    <w:rsid w:val="00B17275"/>
    <w:rsid w:val="00B17C1D"/>
    <w:rsid w:val="00B17FB8"/>
    <w:rsid w:val="00B2065A"/>
    <w:rsid w:val="00B20C2C"/>
    <w:rsid w:val="00B2101C"/>
    <w:rsid w:val="00B2127A"/>
    <w:rsid w:val="00B21C0D"/>
    <w:rsid w:val="00B2247A"/>
    <w:rsid w:val="00B2251C"/>
    <w:rsid w:val="00B22537"/>
    <w:rsid w:val="00B226CE"/>
    <w:rsid w:val="00B229CA"/>
    <w:rsid w:val="00B22B7D"/>
    <w:rsid w:val="00B22D90"/>
    <w:rsid w:val="00B22EDA"/>
    <w:rsid w:val="00B22F3D"/>
    <w:rsid w:val="00B22FA4"/>
    <w:rsid w:val="00B2312B"/>
    <w:rsid w:val="00B23452"/>
    <w:rsid w:val="00B2382A"/>
    <w:rsid w:val="00B2397E"/>
    <w:rsid w:val="00B23AED"/>
    <w:rsid w:val="00B23C46"/>
    <w:rsid w:val="00B23D10"/>
    <w:rsid w:val="00B2546E"/>
    <w:rsid w:val="00B26F18"/>
    <w:rsid w:val="00B26F42"/>
    <w:rsid w:val="00B27B52"/>
    <w:rsid w:val="00B30162"/>
    <w:rsid w:val="00B30D3A"/>
    <w:rsid w:val="00B3164D"/>
    <w:rsid w:val="00B31F0B"/>
    <w:rsid w:val="00B321DD"/>
    <w:rsid w:val="00B33880"/>
    <w:rsid w:val="00B33D69"/>
    <w:rsid w:val="00B3437C"/>
    <w:rsid w:val="00B3485F"/>
    <w:rsid w:val="00B3554B"/>
    <w:rsid w:val="00B358DD"/>
    <w:rsid w:val="00B37066"/>
    <w:rsid w:val="00B37701"/>
    <w:rsid w:val="00B41895"/>
    <w:rsid w:val="00B41C9D"/>
    <w:rsid w:val="00B4200A"/>
    <w:rsid w:val="00B427E0"/>
    <w:rsid w:val="00B42A1F"/>
    <w:rsid w:val="00B43207"/>
    <w:rsid w:val="00B436C5"/>
    <w:rsid w:val="00B446EE"/>
    <w:rsid w:val="00B4488A"/>
    <w:rsid w:val="00B4555C"/>
    <w:rsid w:val="00B45A9B"/>
    <w:rsid w:val="00B460E4"/>
    <w:rsid w:val="00B46103"/>
    <w:rsid w:val="00B47611"/>
    <w:rsid w:val="00B47E0C"/>
    <w:rsid w:val="00B5015D"/>
    <w:rsid w:val="00B50381"/>
    <w:rsid w:val="00B50385"/>
    <w:rsid w:val="00B50589"/>
    <w:rsid w:val="00B50597"/>
    <w:rsid w:val="00B50E43"/>
    <w:rsid w:val="00B51417"/>
    <w:rsid w:val="00B51420"/>
    <w:rsid w:val="00B517DA"/>
    <w:rsid w:val="00B51DF8"/>
    <w:rsid w:val="00B51E60"/>
    <w:rsid w:val="00B522A7"/>
    <w:rsid w:val="00B527D5"/>
    <w:rsid w:val="00B52872"/>
    <w:rsid w:val="00B529A4"/>
    <w:rsid w:val="00B529B0"/>
    <w:rsid w:val="00B53589"/>
    <w:rsid w:val="00B53775"/>
    <w:rsid w:val="00B538A4"/>
    <w:rsid w:val="00B5390F"/>
    <w:rsid w:val="00B53C0E"/>
    <w:rsid w:val="00B5465D"/>
    <w:rsid w:val="00B549A9"/>
    <w:rsid w:val="00B54A7A"/>
    <w:rsid w:val="00B54E01"/>
    <w:rsid w:val="00B54E4C"/>
    <w:rsid w:val="00B550A5"/>
    <w:rsid w:val="00B5512A"/>
    <w:rsid w:val="00B560B0"/>
    <w:rsid w:val="00B56D8E"/>
    <w:rsid w:val="00B56E62"/>
    <w:rsid w:val="00B56FDA"/>
    <w:rsid w:val="00B57306"/>
    <w:rsid w:val="00B57827"/>
    <w:rsid w:val="00B578FB"/>
    <w:rsid w:val="00B57C12"/>
    <w:rsid w:val="00B601CE"/>
    <w:rsid w:val="00B6085C"/>
    <w:rsid w:val="00B60E31"/>
    <w:rsid w:val="00B60E9A"/>
    <w:rsid w:val="00B61225"/>
    <w:rsid w:val="00B613C4"/>
    <w:rsid w:val="00B61B1C"/>
    <w:rsid w:val="00B61D73"/>
    <w:rsid w:val="00B620EA"/>
    <w:rsid w:val="00B62382"/>
    <w:rsid w:val="00B62CB6"/>
    <w:rsid w:val="00B63292"/>
    <w:rsid w:val="00B641CC"/>
    <w:rsid w:val="00B64FCE"/>
    <w:rsid w:val="00B65235"/>
    <w:rsid w:val="00B65274"/>
    <w:rsid w:val="00B65278"/>
    <w:rsid w:val="00B65EE1"/>
    <w:rsid w:val="00B662B6"/>
    <w:rsid w:val="00B675AB"/>
    <w:rsid w:val="00B70969"/>
    <w:rsid w:val="00B70C4B"/>
    <w:rsid w:val="00B70F96"/>
    <w:rsid w:val="00B71857"/>
    <w:rsid w:val="00B72BB3"/>
    <w:rsid w:val="00B73891"/>
    <w:rsid w:val="00B749A2"/>
    <w:rsid w:val="00B74E90"/>
    <w:rsid w:val="00B77491"/>
    <w:rsid w:val="00B7784E"/>
    <w:rsid w:val="00B80113"/>
    <w:rsid w:val="00B80255"/>
    <w:rsid w:val="00B802A5"/>
    <w:rsid w:val="00B80E42"/>
    <w:rsid w:val="00B80E86"/>
    <w:rsid w:val="00B82478"/>
    <w:rsid w:val="00B82CDC"/>
    <w:rsid w:val="00B82ED6"/>
    <w:rsid w:val="00B83660"/>
    <w:rsid w:val="00B838D5"/>
    <w:rsid w:val="00B83D47"/>
    <w:rsid w:val="00B83F0A"/>
    <w:rsid w:val="00B845B9"/>
    <w:rsid w:val="00B85CCA"/>
    <w:rsid w:val="00B861A6"/>
    <w:rsid w:val="00B86D1C"/>
    <w:rsid w:val="00B905E4"/>
    <w:rsid w:val="00B9080F"/>
    <w:rsid w:val="00B9138B"/>
    <w:rsid w:val="00B9197A"/>
    <w:rsid w:val="00B9270D"/>
    <w:rsid w:val="00B92AE8"/>
    <w:rsid w:val="00B934F8"/>
    <w:rsid w:val="00B943E9"/>
    <w:rsid w:val="00B94DC3"/>
    <w:rsid w:val="00B95281"/>
    <w:rsid w:val="00B95AAA"/>
    <w:rsid w:val="00B95ACE"/>
    <w:rsid w:val="00B963A2"/>
    <w:rsid w:val="00B965DA"/>
    <w:rsid w:val="00B96C39"/>
    <w:rsid w:val="00B970F8"/>
    <w:rsid w:val="00B97113"/>
    <w:rsid w:val="00B974B5"/>
    <w:rsid w:val="00B97F34"/>
    <w:rsid w:val="00BA0045"/>
    <w:rsid w:val="00BA0AC4"/>
    <w:rsid w:val="00BA116E"/>
    <w:rsid w:val="00BA1814"/>
    <w:rsid w:val="00BA1E20"/>
    <w:rsid w:val="00BA20ED"/>
    <w:rsid w:val="00BA2DE2"/>
    <w:rsid w:val="00BA2F5A"/>
    <w:rsid w:val="00BA3191"/>
    <w:rsid w:val="00BA3D3E"/>
    <w:rsid w:val="00BA3FB1"/>
    <w:rsid w:val="00BA3FDE"/>
    <w:rsid w:val="00BA4FE1"/>
    <w:rsid w:val="00BA5D60"/>
    <w:rsid w:val="00BA7702"/>
    <w:rsid w:val="00BA774E"/>
    <w:rsid w:val="00BB13F6"/>
    <w:rsid w:val="00BB1F8C"/>
    <w:rsid w:val="00BB2384"/>
    <w:rsid w:val="00BB25B6"/>
    <w:rsid w:val="00BB3550"/>
    <w:rsid w:val="00BB3AD9"/>
    <w:rsid w:val="00BB3C9B"/>
    <w:rsid w:val="00BB4636"/>
    <w:rsid w:val="00BB49EF"/>
    <w:rsid w:val="00BB5B99"/>
    <w:rsid w:val="00BB6D53"/>
    <w:rsid w:val="00BB6F3E"/>
    <w:rsid w:val="00BB6FAD"/>
    <w:rsid w:val="00BB7915"/>
    <w:rsid w:val="00BC085A"/>
    <w:rsid w:val="00BC0AD3"/>
    <w:rsid w:val="00BC125E"/>
    <w:rsid w:val="00BC1563"/>
    <w:rsid w:val="00BC1746"/>
    <w:rsid w:val="00BC17BA"/>
    <w:rsid w:val="00BC1A7D"/>
    <w:rsid w:val="00BC1EE5"/>
    <w:rsid w:val="00BC1F87"/>
    <w:rsid w:val="00BC2055"/>
    <w:rsid w:val="00BC20B3"/>
    <w:rsid w:val="00BC2145"/>
    <w:rsid w:val="00BC21D7"/>
    <w:rsid w:val="00BC237D"/>
    <w:rsid w:val="00BC26D2"/>
    <w:rsid w:val="00BC294D"/>
    <w:rsid w:val="00BC2FD5"/>
    <w:rsid w:val="00BC360F"/>
    <w:rsid w:val="00BC3AAE"/>
    <w:rsid w:val="00BC3D05"/>
    <w:rsid w:val="00BC4119"/>
    <w:rsid w:val="00BC4AE5"/>
    <w:rsid w:val="00BC4BF5"/>
    <w:rsid w:val="00BC4CD9"/>
    <w:rsid w:val="00BC5185"/>
    <w:rsid w:val="00BC5A8B"/>
    <w:rsid w:val="00BC6BF5"/>
    <w:rsid w:val="00BC70B0"/>
    <w:rsid w:val="00BD06DE"/>
    <w:rsid w:val="00BD123A"/>
    <w:rsid w:val="00BD2087"/>
    <w:rsid w:val="00BD2AA3"/>
    <w:rsid w:val="00BD2C5E"/>
    <w:rsid w:val="00BD4D2D"/>
    <w:rsid w:val="00BD5A2D"/>
    <w:rsid w:val="00BD5AA2"/>
    <w:rsid w:val="00BD6960"/>
    <w:rsid w:val="00BD74DA"/>
    <w:rsid w:val="00BD7C84"/>
    <w:rsid w:val="00BE0569"/>
    <w:rsid w:val="00BE0FA0"/>
    <w:rsid w:val="00BE15FF"/>
    <w:rsid w:val="00BE24E7"/>
    <w:rsid w:val="00BE2797"/>
    <w:rsid w:val="00BE2838"/>
    <w:rsid w:val="00BE395E"/>
    <w:rsid w:val="00BE3A67"/>
    <w:rsid w:val="00BE3D98"/>
    <w:rsid w:val="00BE3F93"/>
    <w:rsid w:val="00BE4280"/>
    <w:rsid w:val="00BE4F02"/>
    <w:rsid w:val="00BE5221"/>
    <w:rsid w:val="00BE6005"/>
    <w:rsid w:val="00BE7C93"/>
    <w:rsid w:val="00BF03E3"/>
    <w:rsid w:val="00BF0B24"/>
    <w:rsid w:val="00BF13D7"/>
    <w:rsid w:val="00BF2B3B"/>
    <w:rsid w:val="00BF2C42"/>
    <w:rsid w:val="00BF31E0"/>
    <w:rsid w:val="00BF330E"/>
    <w:rsid w:val="00BF3725"/>
    <w:rsid w:val="00BF3998"/>
    <w:rsid w:val="00BF454A"/>
    <w:rsid w:val="00BF4D33"/>
    <w:rsid w:val="00BF51CD"/>
    <w:rsid w:val="00BF62ED"/>
    <w:rsid w:val="00BF6B84"/>
    <w:rsid w:val="00BF6CB8"/>
    <w:rsid w:val="00BF6F46"/>
    <w:rsid w:val="00BF799F"/>
    <w:rsid w:val="00BF7CC7"/>
    <w:rsid w:val="00BF7D7B"/>
    <w:rsid w:val="00C00FEC"/>
    <w:rsid w:val="00C016B3"/>
    <w:rsid w:val="00C0174E"/>
    <w:rsid w:val="00C018D1"/>
    <w:rsid w:val="00C01CB5"/>
    <w:rsid w:val="00C0228C"/>
    <w:rsid w:val="00C03175"/>
    <w:rsid w:val="00C034AD"/>
    <w:rsid w:val="00C03DB1"/>
    <w:rsid w:val="00C04419"/>
    <w:rsid w:val="00C048AA"/>
    <w:rsid w:val="00C04A75"/>
    <w:rsid w:val="00C0592C"/>
    <w:rsid w:val="00C05FE7"/>
    <w:rsid w:val="00C06371"/>
    <w:rsid w:val="00C063B9"/>
    <w:rsid w:val="00C06E2A"/>
    <w:rsid w:val="00C06F8F"/>
    <w:rsid w:val="00C07478"/>
    <w:rsid w:val="00C0759D"/>
    <w:rsid w:val="00C075A4"/>
    <w:rsid w:val="00C07956"/>
    <w:rsid w:val="00C07D44"/>
    <w:rsid w:val="00C07EEF"/>
    <w:rsid w:val="00C108D7"/>
    <w:rsid w:val="00C10E09"/>
    <w:rsid w:val="00C1103B"/>
    <w:rsid w:val="00C11799"/>
    <w:rsid w:val="00C11FA9"/>
    <w:rsid w:val="00C1271B"/>
    <w:rsid w:val="00C12858"/>
    <w:rsid w:val="00C13F59"/>
    <w:rsid w:val="00C15279"/>
    <w:rsid w:val="00C15474"/>
    <w:rsid w:val="00C15509"/>
    <w:rsid w:val="00C1570E"/>
    <w:rsid w:val="00C163B8"/>
    <w:rsid w:val="00C16650"/>
    <w:rsid w:val="00C16C95"/>
    <w:rsid w:val="00C16D65"/>
    <w:rsid w:val="00C177A8"/>
    <w:rsid w:val="00C1794E"/>
    <w:rsid w:val="00C17E7E"/>
    <w:rsid w:val="00C203B9"/>
    <w:rsid w:val="00C20487"/>
    <w:rsid w:val="00C206D1"/>
    <w:rsid w:val="00C20BD6"/>
    <w:rsid w:val="00C2115B"/>
    <w:rsid w:val="00C21183"/>
    <w:rsid w:val="00C2147A"/>
    <w:rsid w:val="00C215F4"/>
    <w:rsid w:val="00C223EB"/>
    <w:rsid w:val="00C22CA8"/>
    <w:rsid w:val="00C233D4"/>
    <w:rsid w:val="00C233FE"/>
    <w:rsid w:val="00C239A1"/>
    <w:rsid w:val="00C241B6"/>
    <w:rsid w:val="00C24C89"/>
    <w:rsid w:val="00C24CA4"/>
    <w:rsid w:val="00C26AA8"/>
    <w:rsid w:val="00C26E84"/>
    <w:rsid w:val="00C308A4"/>
    <w:rsid w:val="00C30DFD"/>
    <w:rsid w:val="00C310DF"/>
    <w:rsid w:val="00C32AB6"/>
    <w:rsid w:val="00C3372A"/>
    <w:rsid w:val="00C34699"/>
    <w:rsid w:val="00C34D80"/>
    <w:rsid w:val="00C353CB"/>
    <w:rsid w:val="00C35526"/>
    <w:rsid w:val="00C36223"/>
    <w:rsid w:val="00C36779"/>
    <w:rsid w:val="00C36A27"/>
    <w:rsid w:val="00C36AD2"/>
    <w:rsid w:val="00C36EE1"/>
    <w:rsid w:val="00C36FFA"/>
    <w:rsid w:val="00C37211"/>
    <w:rsid w:val="00C37467"/>
    <w:rsid w:val="00C37853"/>
    <w:rsid w:val="00C37B92"/>
    <w:rsid w:val="00C4106A"/>
    <w:rsid w:val="00C41537"/>
    <w:rsid w:val="00C41B96"/>
    <w:rsid w:val="00C41D65"/>
    <w:rsid w:val="00C42192"/>
    <w:rsid w:val="00C42E9F"/>
    <w:rsid w:val="00C4333F"/>
    <w:rsid w:val="00C437E9"/>
    <w:rsid w:val="00C44387"/>
    <w:rsid w:val="00C446FD"/>
    <w:rsid w:val="00C44845"/>
    <w:rsid w:val="00C45041"/>
    <w:rsid w:val="00C45949"/>
    <w:rsid w:val="00C45CA4"/>
    <w:rsid w:val="00C45DFD"/>
    <w:rsid w:val="00C45EE1"/>
    <w:rsid w:val="00C4649C"/>
    <w:rsid w:val="00C46749"/>
    <w:rsid w:val="00C467E3"/>
    <w:rsid w:val="00C468EE"/>
    <w:rsid w:val="00C510F8"/>
    <w:rsid w:val="00C51162"/>
    <w:rsid w:val="00C51B6E"/>
    <w:rsid w:val="00C52060"/>
    <w:rsid w:val="00C5301A"/>
    <w:rsid w:val="00C53055"/>
    <w:rsid w:val="00C53E5F"/>
    <w:rsid w:val="00C54646"/>
    <w:rsid w:val="00C5470B"/>
    <w:rsid w:val="00C54776"/>
    <w:rsid w:val="00C54B63"/>
    <w:rsid w:val="00C54D3E"/>
    <w:rsid w:val="00C54F3D"/>
    <w:rsid w:val="00C55DB8"/>
    <w:rsid w:val="00C564E6"/>
    <w:rsid w:val="00C57A85"/>
    <w:rsid w:val="00C609D3"/>
    <w:rsid w:val="00C60A34"/>
    <w:rsid w:val="00C61060"/>
    <w:rsid w:val="00C61F58"/>
    <w:rsid w:val="00C63508"/>
    <w:rsid w:val="00C64088"/>
    <w:rsid w:val="00C641D7"/>
    <w:rsid w:val="00C6463B"/>
    <w:rsid w:val="00C64964"/>
    <w:rsid w:val="00C649AA"/>
    <w:rsid w:val="00C6595B"/>
    <w:rsid w:val="00C65D1B"/>
    <w:rsid w:val="00C664E0"/>
    <w:rsid w:val="00C66680"/>
    <w:rsid w:val="00C66A0A"/>
    <w:rsid w:val="00C670D3"/>
    <w:rsid w:val="00C67BD8"/>
    <w:rsid w:val="00C7043C"/>
    <w:rsid w:val="00C70AC1"/>
    <w:rsid w:val="00C713FC"/>
    <w:rsid w:val="00C718EF"/>
    <w:rsid w:val="00C71B93"/>
    <w:rsid w:val="00C71DB0"/>
    <w:rsid w:val="00C71E04"/>
    <w:rsid w:val="00C72AE7"/>
    <w:rsid w:val="00C73536"/>
    <w:rsid w:val="00C74635"/>
    <w:rsid w:val="00C747A8"/>
    <w:rsid w:val="00C75233"/>
    <w:rsid w:val="00C75F8C"/>
    <w:rsid w:val="00C762CF"/>
    <w:rsid w:val="00C763B1"/>
    <w:rsid w:val="00C76E46"/>
    <w:rsid w:val="00C77103"/>
    <w:rsid w:val="00C77884"/>
    <w:rsid w:val="00C80128"/>
    <w:rsid w:val="00C80880"/>
    <w:rsid w:val="00C80932"/>
    <w:rsid w:val="00C80A64"/>
    <w:rsid w:val="00C80BD1"/>
    <w:rsid w:val="00C819E6"/>
    <w:rsid w:val="00C81CD0"/>
    <w:rsid w:val="00C82256"/>
    <w:rsid w:val="00C825EB"/>
    <w:rsid w:val="00C829E0"/>
    <w:rsid w:val="00C8328C"/>
    <w:rsid w:val="00C833E5"/>
    <w:rsid w:val="00C83747"/>
    <w:rsid w:val="00C837A1"/>
    <w:rsid w:val="00C83B06"/>
    <w:rsid w:val="00C844AE"/>
    <w:rsid w:val="00C855A2"/>
    <w:rsid w:val="00C86C20"/>
    <w:rsid w:val="00C870E6"/>
    <w:rsid w:val="00C9151C"/>
    <w:rsid w:val="00C917C2"/>
    <w:rsid w:val="00C92BA2"/>
    <w:rsid w:val="00C92D30"/>
    <w:rsid w:val="00C93794"/>
    <w:rsid w:val="00C947F1"/>
    <w:rsid w:val="00C951DC"/>
    <w:rsid w:val="00C95836"/>
    <w:rsid w:val="00C95B45"/>
    <w:rsid w:val="00C96941"/>
    <w:rsid w:val="00C96D5C"/>
    <w:rsid w:val="00C97151"/>
    <w:rsid w:val="00C9759D"/>
    <w:rsid w:val="00C975F5"/>
    <w:rsid w:val="00C97618"/>
    <w:rsid w:val="00C97A35"/>
    <w:rsid w:val="00C97C03"/>
    <w:rsid w:val="00CA01B6"/>
    <w:rsid w:val="00CA0570"/>
    <w:rsid w:val="00CA05A5"/>
    <w:rsid w:val="00CA0C47"/>
    <w:rsid w:val="00CA0E7F"/>
    <w:rsid w:val="00CA13DF"/>
    <w:rsid w:val="00CA1DA0"/>
    <w:rsid w:val="00CA1F2B"/>
    <w:rsid w:val="00CA25C0"/>
    <w:rsid w:val="00CA2C27"/>
    <w:rsid w:val="00CA2CD7"/>
    <w:rsid w:val="00CA32E6"/>
    <w:rsid w:val="00CA366A"/>
    <w:rsid w:val="00CA4A33"/>
    <w:rsid w:val="00CA4D15"/>
    <w:rsid w:val="00CA52DF"/>
    <w:rsid w:val="00CA54DB"/>
    <w:rsid w:val="00CA57DD"/>
    <w:rsid w:val="00CA5FC2"/>
    <w:rsid w:val="00CA6106"/>
    <w:rsid w:val="00CA69D4"/>
    <w:rsid w:val="00CA6AF7"/>
    <w:rsid w:val="00CA6FAC"/>
    <w:rsid w:val="00CB0252"/>
    <w:rsid w:val="00CB028A"/>
    <w:rsid w:val="00CB182A"/>
    <w:rsid w:val="00CB2396"/>
    <w:rsid w:val="00CB2B57"/>
    <w:rsid w:val="00CB2CB1"/>
    <w:rsid w:val="00CB3CC6"/>
    <w:rsid w:val="00CB3DCC"/>
    <w:rsid w:val="00CB4404"/>
    <w:rsid w:val="00CB4567"/>
    <w:rsid w:val="00CB45E3"/>
    <w:rsid w:val="00CB4D04"/>
    <w:rsid w:val="00CB5894"/>
    <w:rsid w:val="00CB59D3"/>
    <w:rsid w:val="00CB5B68"/>
    <w:rsid w:val="00CB5F11"/>
    <w:rsid w:val="00CB6A55"/>
    <w:rsid w:val="00CC07F7"/>
    <w:rsid w:val="00CC080E"/>
    <w:rsid w:val="00CC0B11"/>
    <w:rsid w:val="00CC0BC8"/>
    <w:rsid w:val="00CC101E"/>
    <w:rsid w:val="00CC16C9"/>
    <w:rsid w:val="00CC1A92"/>
    <w:rsid w:val="00CC1C5A"/>
    <w:rsid w:val="00CC29A3"/>
    <w:rsid w:val="00CC356A"/>
    <w:rsid w:val="00CC37A7"/>
    <w:rsid w:val="00CC3BFF"/>
    <w:rsid w:val="00CC4245"/>
    <w:rsid w:val="00CC4B55"/>
    <w:rsid w:val="00CC4BD3"/>
    <w:rsid w:val="00CC4C49"/>
    <w:rsid w:val="00CC56F4"/>
    <w:rsid w:val="00CC5AC0"/>
    <w:rsid w:val="00CC5C91"/>
    <w:rsid w:val="00CC5F42"/>
    <w:rsid w:val="00CC613D"/>
    <w:rsid w:val="00CC6602"/>
    <w:rsid w:val="00CC6CC5"/>
    <w:rsid w:val="00CC791F"/>
    <w:rsid w:val="00CC7936"/>
    <w:rsid w:val="00CD0269"/>
    <w:rsid w:val="00CD0991"/>
    <w:rsid w:val="00CD0C65"/>
    <w:rsid w:val="00CD2572"/>
    <w:rsid w:val="00CD2E95"/>
    <w:rsid w:val="00CD3444"/>
    <w:rsid w:val="00CD388E"/>
    <w:rsid w:val="00CD38AB"/>
    <w:rsid w:val="00CD396E"/>
    <w:rsid w:val="00CD4280"/>
    <w:rsid w:val="00CD47A7"/>
    <w:rsid w:val="00CD48EB"/>
    <w:rsid w:val="00CD4AAA"/>
    <w:rsid w:val="00CD592E"/>
    <w:rsid w:val="00CD5C9A"/>
    <w:rsid w:val="00CD5FA6"/>
    <w:rsid w:val="00CD6133"/>
    <w:rsid w:val="00CD6902"/>
    <w:rsid w:val="00CD7510"/>
    <w:rsid w:val="00CE0007"/>
    <w:rsid w:val="00CE03B9"/>
    <w:rsid w:val="00CE05BD"/>
    <w:rsid w:val="00CE1522"/>
    <w:rsid w:val="00CE183C"/>
    <w:rsid w:val="00CE1CAC"/>
    <w:rsid w:val="00CE2368"/>
    <w:rsid w:val="00CE259C"/>
    <w:rsid w:val="00CE2DA1"/>
    <w:rsid w:val="00CE36C3"/>
    <w:rsid w:val="00CE46B7"/>
    <w:rsid w:val="00CE4717"/>
    <w:rsid w:val="00CE4857"/>
    <w:rsid w:val="00CE5703"/>
    <w:rsid w:val="00CE5C67"/>
    <w:rsid w:val="00CE67EA"/>
    <w:rsid w:val="00CE6AD9"/>
    <w:rsid w:val="00CE7574"/>
    <w:rsid w:val="00CF0220"/>
    <w:rsid w:val="00CF05A2"/>
    <w:rsid w:val="00CF07BF"/>
    <w:rsid w:val="00CF1051"/>
    <w:rsid w:val="00CF1D0F"/>
    <w:rsid w:val="00CF1F51"/>
    <w:rsid w:val="00CF2E91"/>
    <w:rsid w:val="00CF2EBF"/>
    <w:rsid w:val="00CF32EB"/>
    <w:rsid w:val="00CF33AF"/>
    <w:rsid w:val="00CF3C89"/>
    <w:rsid w:val="00CF3E16"/>
    <w:rsid w:val="00CF5769"/>
    <w:rsid w:val="00CF64B9"/>
    <w:rsid w:val="00D006C9"/>
    <w:rsid w:val="00D00796"/>
    <w:rsid w:val="00D00943"/>
    <w:rsid w:val="00D00A21"/>
    <w:rsid w:val="00D0114E"/>
    <w:rsid w:val="00D019C6"/>
    <w:rsid w:val="00D0357A"/>
    <w:rsid w:val="00D04767"/>
    <w:rsid w:val="00D0505E"/>
    <w:rsid w:val="00D0586E"/>
    <w:rsid w:val="00D06015"/>
    <w:rsid w:val="00D0679F"/>
    <w:rsid w:val="00D07291"/>
    <w:rsid w:val="00D074A0"/>
    <w:rsid w:val="00D07724"/>
    <w:rsid w:val="00D07915"/>
    <w:rsid w:val="00D07E39"/>
    <w:rsid w:val="00D10730"/>
    <w:rsid w:val="00D10EAB"/>
    <w:rsid w:val="00D1192C"/>
    <w:rsid w:val="00D11948"/>
    <w:rsid w:val="00D1203A"/>
    <w:rsid w:val="00D123DD"/>
    <w:rsid w:val="00D12C25"/>
    <w:rsid w:val="00D12C8A"/>
    <w:rsid w:val="00D13227"/>
    <w:rsid w:val="00D1360E"/>
    <w:rsid w:val="00D136BF"/>
    <w:rsid w:val="00D14300"/>
    <w:rsid w:val="00D14933"/>
    <w:rsid w:val="00D14C6B"/>
    <w:rsid w:val="00D1500A"/>
    <w:rsid w:val="00D15893"/>
    <w:rsid w:val="00D1597F"/>
    <w:rsid w:val="00D15BBC"/>
    <w:rsid w:val="00D1642A"/>
    <w:rsid w:val="00D20D48"/>
    <w:rsid w:val="00D22A5C"/>
    <w:rsid w:val="00D22DD5"/>
    <w:rsid w:val="00D23997"/>
    <w:rsid w:val="00D23A9B"/>
    <w:rsid w:val="00D23C2E"/>
    <w:rsid w:val="00D2431C"/>
    <w:rsid w:val="00D248B1"/>
    <w:rsid w:val="00D24AD3"/>
    <w:rsid w:val="00D24F3F"/>
    <w:rsid w:val="00D250A7"/>
    <w:rsid w:val="00D25EC9"/>
    <w:rsid w:val="00D26AEA"/>
    <w:rsid w:val="00D26DC4"/>
    <w:rsid w:val="00D2702A"/>
    <w:rsid w:val="00D27BCA"/>
    <w:rsid w:val="00D30F43"/>
    <w:rsid w:val="00D317CF"/>
    <w:rsid w:val="00D31B8F"/>
    <w:rsid w:val="00D322D2"/>
    <w:rsid w:val="00D335BD"/>
    <w:rsid w:val="00D337D7"/>
    <w:rsid w:val="00D34E40"/>
    <w:rsid w:val="00D351ED"/>
    <w:rsid w:val="00D35DC7"/>
    <w:rsid w:val="00D362F3"/>
    <w:rsid w:val="00D36949"/>
    <w:rsid w:val="00D37770"/>
    <w:rsid w:val="00D3777C"/>
    <w:rsid w:val="00D377D4"/>
    <w:rsid w:val="00D37B23"/>
    <w:rsid w:val="00D40B91"/>
    <w:rsid w:val="00D41A4F"/>
    <w:rsid w:val="00D427AE"/>
    <w:rsid w:val="00D42B88"/>
    <w:rsid w:val="00D44346"/>
    <w:rsid w:val="00D4539B"/>
    <w:rsid w:val="00D45AAA"/>
    <w:rsid w:val="00D46FB3"/>
    <w:rsid w:val="00D47055"/>
    <w:rsid w:val="00D47876"/>
    <w:rsid w:val="00D47A7A"/>
    <w:rsid w:val="00D47CC1"/>
    <w:rsid w:val="00D50836"/>
    <w:rsid w:val="00D50938"/>
    <w:rsid w:val="00D51976"/>
    <w:rsid w:val="00D51CDF"/>
    <w:rsid w:val="00D52BFB"/>
    <w:rsid w:val="00D52C22"/>
    <w:rsid w:val="00D52C42"/>
    <w:rsid w:val="00D534A3"/>
    <w:rsid w:val="00D53FDC"/>
    <w:rsid w:val="00D54DD4"/>
    <w:rsid w:val="00D56434"/>
    <w:rsid w:val="00D56732"/>
    <w:rsid w:val="00D5704B"/>
    <w:rsid w:val="00D57097"/>
    <w:rsid w:val="00D5750E"/>
    <w:rsid w:val="00D57FC4"/>
    <w:rsid w:val="00D60210"/>
    <w:rsid w:val="00D60F17"/>
    <w:rsid w:val="00D6171F"/>
    <w:rsid w:val="00D6216D"/>
    <w:rsid w:val="00D62FCC"/>
    <w:rsid w:val="00D6387D"/>
    <w:rsid w:val="00D63A2F"/>
    <w:rsid w:val="00D63CE1"/>
    <w:rsid w:val="00D63D38"/>
    <w:rsid w:val="00D63DA9"/>
    <w:rsid w:val="00D64545"/>
    <w:rsid w:val="00D6501F"/>
    <w:rsid w:val="00D66603"/>
    <w:rsid w:val="00D667FE"/>
    <w:rsid w:val="00D66ECF"/>
    <w:rsid w:val="00D672E3"/>
    <w:rsid w:val="00D672F4"/>
    <w:rsid w:val="00D67567"/>
    <w:rsid w:val="00D67E66"/>
    <w:rsid w:val="00D7010F"/>
    <w:rsid w:val="00D70660"/>
    <w:rsid w:val="00D70B4D"/>
    <w:rsid w:val="00D70BD8"/>
    <w:rsid w:val="00D70EE2"/>
    <w:rsid w:val="00D70EE5"/>
    <w:rsid w:val="00D70FB9"/>
    <w:rsid w:val="00D72090"/>
    <w:rsid w:val="00D72643"/>
    <w:rsid w:val="00D7297F"/>
    <w:rsid w:val="00D734AE"/>
    <w:rsid w:val="00D7374F"/>
    <w:rsid w:val="00D7394D"/>
    <w:rsid w:val="00D73B2D"/>
    <w:rsid w:val="00D7418E"/>
    <w:rsid w:val="00D753EC"/>
    <w:rsid w:val="00D7562B"/>
    <w:rsid w:val="00D7591B"/>
    <w:rsid w:val="00D759EB"/>
    <w:rsid w:val="00D76675"/>
    <w:rsid w:val="00D76713"/>
    <w:rsid w:val="00D76993"/>
    <w:rsid w:val="00D76F36"/>
    <w:rsid w:val="00D7767D"/>
    <w:rsid w:val="00D77E63"/>
    <w:rsid w:val="00D77FEE"/>
    <w:rsid w:val="00D80EFB"/>
    <w:rsid w:val="00D81315"/>
    <w:rsid w:val="00D818B0"/>
    <w:rsid w:val="00D81E2D"/>
    <w:rsid w:val="00D82886"/>
    <w:rsid w:val="00D82E09"/>
    <w:rsid w:val="00D8317C"/>
    <w:rsid w:val="00D834BD"/>
    <w:rsid w:val="00D834DD"/>
    <w:rsid w:val="00D838EF"/>
    <w:rsid w:val="00D83BE1"/>
    <w:rsid w:val="00D86833"/>
    <w:rsid w:val="00D86DA4"/>
    <w:rsid w:val="00D86FC5"/>
    <w:rsid w:val="00D8712A"/>
    <w:rsid w:val="00D87344"/>
    <w:rsid w:val="00D877D1"/>
    <w:rsid w:val="00D90B26"/>
    <w:rsid w:val="00D90CB2"/>
    <w:rsid w:val="00D910F6"/>
    <w:rsid w:val="00D9117E"/>
    <w:rsid w:val="00D9120C"/>
    <w:rsid w:val="00D91DF5"/>
    <w:rsid w:val="00D92542"/>
    <w:rsid w:val="00D92CB7"/>
    <w:rsid w:val="00D93411"/>
    <w:rsid w:val="00D93F3D"/>
    <w:rsid w:val="00D93F86"/>
    <w:rsid w:val="00D93FC7"/>
    <w:rsid w:val="00D9431F"/>
    <w:rsid w:val="00D944E4"/>
    <w:rsid w:val="00D94809"/>
    <w:rsid w:val="00D95809"/>
    <w:rsid w:val="00D9625B"/>
    <w:rsid w:val="00D96EE6"/>
    <w:rsid w:val="00D9767A"/>
    <w:rsid w:val="00DA01F2"/>
    <w:rsid w:val="00DA0B4B"/>
    <w:rsid w:val="00DA1617"/>
    <w:rsid w:val="00DA17A1"/>
    <w:rsid w:val="00DA22AE"/>
    <w:rsid w:val="00DA2305"/>
    <w:rsid w:val="00DA2843"/>
    <w:rsid w:val="00DA4484"/>
    <w:rsid w:val="00DA464F"/>
    <w:rsid w:val="00DA4B0D"/>
    <w:rsid w:val="00DA52F6"/>
    <w:rsid w:val="00DA5300"/>
    <w:rsid w:val="00DA55B3"/>
    <w:rsid w:val="00DA5A07"/>
    <w:rsid w:val="00DA5EC2"/>
    <w:rsid w:val="00DA71C1"/>
    <w:rsid w:val="00DA7319"/>
    <w:rsid w:val="00DA79C2"/>
    <w:rsid w:val="00DA79CA"/>
    <w:rsid w:val="00DB07B7"/>
    <w:rsid w:val="00DB087E"/>
    <w:rsid w:val="00DB191A"/>
    <w:rsid w:val="00DB33AC"/>
    <w:rsid w:val="00DB353E"/>
    <w:rsid w:val="00DB4644"/>
    <w:rsid w:val="00DB473E"/>
    <w:rsid w:val="00DB4D4F"/>
    <w:rsid w:val="00DB51F9"/>
    <w:rsid w:val="00DB5E7A"/>
    <w:rsid w:val="00DB6127"/>
    <w:rsid w:val="00DB7522"/>
    <w:rsid w:val="00DC0286"/>
    <w:rsid w:val="00DC16CB"/>
    <w:rsid w:val="00DC2021"/>
    <w:rsid w:val="00DC26AF"/>
    <w:rsid w:val="00DC2A7A"/>
    <w:rsid w:val="00DC2D66"/>
    <w:rsid w:val="00DC31EF"/>
    <w:rsid w:val="00DC3231"/>
    <w:rsid w:val="00DC3553"/>
    <w:rsid w:val="00DC3D9B"/>
    <w:rsid w:val="00DC3E79"/>
    <w:rsid w:val="00DC477D"/>
    <w:rsid w:val="00DC4DA4"/>
    <w:rsid w:val="00DC595B"/>
    <w:rsid w:val="00DC6030"/>
    <w:rsid w:val="00DC644D"/>
    <w:rsid w:val="00DD0227"/>
    <w:rsid w:val="00DD0641"/>
    <w:rsid w:val="00DD0C59"/>
    <w:rsid w:val="00DD12D8"/>
    <w:rsid w:val="00DD13DE"/>
    <w:rsid w:val="00DD1475"/>
    <w:rsid w:val="00DD149A"/>
    <w:rsid w:val="00DD2DB8"/>
    <w:rsid w:val="00DD34D1"/>
    <w:rsid w:val="00DD4549"/>
    <w:rsid w:val="00DD4594"/>
    <w:rsid w:val="00DD4679"/>
    <w:rsid w:val="00DD4C85"/>
    <w:rsid w:val="00DD5758"/>
    <w:rsid w:val="00DD5BCA"/>
    <w:rsid w:val="00DD5BF0"/>
    <w:rsid w:val="00DD7790"/>
    <w:rsid w:val="00DD7881"/>
    <w:rsid w:val="00DD7D85"/>
    <w:rsid w:val="00DE03CF"/>
    <w:rsid w:val="00DE0780"/>
    <w:rsid w:val="00DE0E39"/>
    <w:rsid w:val="00DE19F8"/>
    <w:rsid w:val="00DE1C2F"/>
    <w:rsid w:val="00DE1D0A"/>
    <w:rsid w:val="00DE2451"/>
    <w:rsid w:val="00DE2A52"/>
    <w:rsid w:val="00DE3E36"/>
    <w:rsid w:val="00DE4722"/>
    <w:rsid w:val="00DE4919"/>
    <w:rsid w:val="00DE49A3"/>
    <w:rsid w:val="00DE4CBC"/>
    <w:rsid w:val="00DE59C5"/>
    <w:rsid w:val="00DE7154"/>
    <w:rsid w:val="00DE7184"/>
    <w:rsid w:val="00DE7ADF"/>
    <w:rsid w:val="00DE7C13"/>
    <w:rsid w:val="00DF04D6"/>
    <w:rsid w:val="00DF1861"/>
    <w:rsid w:val="00DF1C0E"/>
    <w:rsid w:val="00DF239F"/>
    <w:rsid w:val="00DF297F"/>
    <w:rsid w:val="00DF3FA8"/>
    <w:rsid w:val="00DF40DD"/>
    <w:rsid w:val="00DF591F"/>
    <w:rsid w:val="00DF5AB8"/>
    <w:rsid w:val="00DF672D"/>
    <w:rsid w:val="00DF6876"/>
    <w:rsid w:val="00DF6AB4"/>
    <w:rsid w:val="00DF70C1"/>
    <w:rsid w:val="00DF717A"/>
    <w:rsid w:val="00DF78F4"/>
    <w:rsid w:val="00DF7B62"/>
    <w:rsid w:val="00E00558"/>
    <w:rsid w:val="00E008BE"/>
    <w:rsid w:val="00E00CF6"/>
    <w:rsid w:val="00E01AA6"/>
    <w:rsid w:val="00E0276A"/>
    <w:rsid w:val="00E02B7B"/>
    <w:rsid w:val="00E03007"/>
    <w:rsid w:val="00E03E58"/>
    <w:rsid w:val="00E03F15"/>
    <w:rsid w:val="00E04262"/>
    <w:rsid w:val="00E04945"/>
    <w:rsid w:val="00E04CEB"/>
    <w:rsid w:val="00E057C4"/>
    <w:rsid w:val="00E058AF"/>
    <w:rsid w:val="00E06415"/>
    <w:rsid w:val="00E07BF9"/>
    <w:rsid w:val="00E10541"/>
    <w:rsid w:val="00E11080"/>
    <w:rsid w:val="00E11AD0"/>
    <w:rsid w:val="00E11ECB"/>
    <w:rsid w:val="00E12F87"/>
    <w:rsid w:val="00E1341F"/>
    <w:rsid w:val="00E135D3"/>
    <w:rsid w:val="00E13BCF"/>
    <w:rsid w:val="00E14680"/>
    <w:rsid w:val="00E1529C"/>
    <w:rsid w:val="00E15951"/>
    <w:rsid w:val="00E15D0F"/>
    <w:rsid w:val="00E16212"/>
    <w:rsid w:val="00E16446"/>
    <w:rsid w:val="00E16C2B"/>
    <w:rsid w:val="00E17191"/>
    <w:rsid w:val="00E2091C"/>
    <w:rsid w:val="00E21003"/>
    <w:rsid w:val="00E218FB"/>
    <w:rsid w:val="00E21AB3"/>
    <w:rsid w:val="00E22114"/>
    <w:rsid w:val="00E23889"/>
    <w:rsid w:val="00E23A42"/>
    <w:rsid w:val="00E241A9"/>
    <w:rsid w:val="00E241E8"/>
    <w:rsid w:val="00E24AD4"/>
    <w:rsid w:val="00E24D11"/>
    <w:rsid w:val="00E251E1"/>
    <w:rsid w:val="00E252F7"/>
    <w:rsid w:val="00E25377"/>
    <w:rsid w:val="00E25448"/>
    <w:rsid w:val="00E25761"/>
    <w:rsid w:val="00E2608A"/>
    <w:rsid w:val="00E26FB4"/>
    <w:rsid w:val="00E2707F"/>
    <w:rsid w:val="00E271A7"/>
    <w:rsid w:val="00E2740C"/>
    <w:rsid w:val="00E302F8"/>
    <w:rsid w:val="00E30340"/>
    <w:rsid w:val="00E30E8A"/>
    <w:rsid w:val="00E30F92"/>
    <w:rsid w:val="00E31C95"/>
    <w:rsid w:val="00E330B4"/>
    <w:rsid w:val="00E33148"/>
    <w:rsid w:val="00E337B1"/>
    <w:rsid w:val="00E33C24"/>
    <w:rsid w:val="00E33F53"/>
    <w:rsid w:val="00E340E2"/>
    <w:rsid w:val="00E340F6"/>
    <w:rsid w:val="00E3418D"/>
    <w:rsid w:val="00E34660"/>
    <w:rsid w:val="00E346D3"/>
    <w:rsid w:val="00E354D1"/>
    <w:rsid w:val="00E35DEA"/>
    <w:rsid w:val="00E3619B"/>
    <w:rsid w:val="00E37156"/>
    <w:rsid w:val="00E3783E"/>
    <w:rsid w:val="00E37C0F"/>
    <w:rsid w:val="00E37C3D"/>
    <w:rsid w:val="00E37E78"/>
    <w:rsid w:val="00E404BA"/>
    <w:rsid w:val="00E42022"/>
    <w:rsid w:val="00E42369"/>
    <w:rsid w:val="00E428A1"/>
    <w:rsid w:val="00E42B9F"/>
    <w:rsid w:val="00E42D64"/>
    <w:rsid w:val="00E43D4E"/>
    <w:rsid w:val="00E445B8"/>
    <w:rsid w:val="00E44AF7"/>
    <w:rsid w:val="00E45366"/>
    <w:rsid w:val="00E45ACF"/>
    <w:rsid w:val="00E46577"/>
    <w:rsid w:val="00E46691"/>
    <w:rsid w:val="00E47213"/>
    <w:rsid w:val="00E474A7"/>
    <w:rsid w:val="00E47513"/>
    <w:rsid w:val="00E47A68"/>
    <w:rsid w:val="00E47A9A"/>
    <w:rsid w:val="00E47AE8"/>
    <w:rsid w:val="00E47DA5"/>
    <w:rsid w:val="00E50D12"/>
    <w:rsid w:val="00E510C0"/>
    <w:rsid w:val="00E514C0"/>
    <w:rsid w:val="00E516FA"/>
    <w:rsid w:val="00E521CA"/>
    <w:rsid w:val="00E52263"/>
    <w:rsid w:val="00E523F1"/>
    <w:rsid w:val="00E52880"/>
    <w:rsid w:val="00E52CCF"/>
    <w:rsid w:val="00E530A9"/>
    <w:rsid w:val="00E53B43"/>
    <w:rsid w:val="00E53E92"/>
    <w:rsid w:val="00E53F68"/>
    <w:rsid w:val="00E54093"/>
    <w:rsid w:val="00E54368"/>
    <w:rsid w:val="00E54903"/>
    <w:rsid w:val="00E54D19"/>
    <w:rsid w:val="00E56249"/>
    <w:rsid w:val="00E5631A"/>
    <w:rsid w:val="00E569D2"/>
    <w:rsid w:val="00E56DFC"/>
    <w:rsid w:val="00E57FB2"/>
    <w:rsid w:val="00E60C88"/>
    <w:rsid w:val="00E61296"/>
    <w:rsid w:val="00E61993"/>
    <w:rsid w:val="00E6284E"/>
    <w:rsid w:val="00E62AC9"/>
    <w:rsid w:val="00E62C75"/>
    <w:rsid w:val="00E62D18"/>
    <w:rsid w:val="00E63413"/>
    <w:rsid w:val="00E638BB"/>
    <w:rsid w:val="00E63992"/>
    <w:rsid w:val="00E647D1"/>
    <w:rsid w:val="00E65122"/>
    <w:rsid w:val="00E651A0"/>
    <w:rsid w:val="00E651BE"/>
    <w:rsid w:val="00E651FB"/>
    <w:rsid w:val="00E6528C"/>
    <w:rsid w:val="00E65B9E"/>
    <w:rsid w:val="00E6616D"/>
    <w:rsid w:val="00E66AA0"/>
    <w:rsid w:val="00E66DA9"/>
    <w:rsid w:val="00E66E68"/>
    <w:rsid w:val="00E6749C"/>
    <w:rsid w:val="00E67558"/>
    <w:rsid w:val="00E67AC6"/>
    <w:rsid w:val="00E70303"/>
    <w:rsid w:val="00E70447"/>
    <w:rsid w:val="00E70EB0"/>
    <w:rsid w:val="00E7113B"/>
    <w:rsid w:val="00E7131F"/>
    <w:rsid w:val="00E715D8"/>
    <w:rsid w:val="00E7186A"/>
    <w:rsid w:val="00E719E7"/>
    <w:rsid w:val="00E7266F"/>
    <w:rsid w:val="00E72A7B"/>
    <w:rsid w:val="00E7340E"/>
    <w:rsid w:val="00E74937"/>
    <w:rsid w:val="00E74FA2"/>
    <w:rsid w:val="00E7541F"/>
    <w:rsid w:val="00E757AE"/>
    <w:rsid w:val="00E75CD0"/>
    <w:rsid w:val="00E76679"/>
    <w:rsid w:val="00E7696F"/>
    <w:rsid w:val="00E77680"/>
    <w:rsid w:val="00E81191"/>
    <w:rsid w:val="00E820FE"/>
    <w:rsid w:val="00E82C8C"/>
    <w:rsid w:val="00E82C93"/>
    <w:rsid w:val="00E833DA"/>
    <w:rsid w:val="00E841FA"/>
    <w:rsid w:val="00E84431"/>
    <w:rsid w:val="00E84623"/>
    <w:rsid w:val="00E85058"/>
    <w:rsid w:val="00E8602F"/>
    <w:rsid w:val="00E868DD"/>
    <w:rsid w:val="00E86B80"/>
    <w:rsid w:val="00E86D34"/>
    <w:rsid w:val="00E87108"/>
    <w:rsid w:val="00E874D0"/>
    <w:rsid w:val="00E8751E"/>
    <w:rsid w:val="00E902B7"/>
    <w:rsid w:val="00E925D3"/>
    <w:rsid w:val="00E92C69"/>
    <w:rsid w:val="00E92DD0"/>
    <w:rsid w:val="00E9328B"/>
    <w:rsid w:val="00E93C0F"/>
    <w:rsid w:val="00E93E62"/>
    <w:rsid w:val="00E942A1"/>
    <w:rsid w:val="00E9433A"/>
    <w:rsid w:val="00E94621"/>
    <w:rsid w:val="00E946DC"/>
    <w:rsid w:val="00E94CE7"/>
    <w:rsid w:val="00E960DB"/>
    <w:rsid w:val="00E9618D"/>
    <w:rsid w:val="00E963F6"/>
    <w:rsid w:val="00E96540"/>
    <w:rsid w:val="00E97849"/>
    <w:rsid w:val="00E97934"/>
    <w:rsid w:val="00EA0349"/>
    <w:rsid w:val="00EA05E2"/>
    <w:rsid w:val="00EA0B03"/>
    <w:rsid w:val="00EA0C94"/>
    <w:rsid w:val="00EA14A4"/>
    <w:rsid w:val="00EA2062"/>
    <w:rsid w:val="00EA250E"/>
    <w:rsid w:val="00EA25B5"/>
    <w:rsid w:val="00EA2BE2"/>
    <w:rsid w:val="00EA2C63"/>
    <w:rsid w:val="00EA315C"/>
    <w:rsid w:val="00EA31E1"/>
    <w:rsid w:val="00EA3BF4"/>
    <w:rsid w:val="00EA3FCE"/>
    <w:rsid w:val="00EA4C1F"/>
    <w:rsid w:val="00EA4DE0"/>
    <w:rsid w:val="00EA5726"/>
    <w:rsid w:val="00EA574C"/>
    <w:rsid w:val="00EA59E9"/>
    <w:rsid w:val="00EA5ADE"/>
    <w:rsid w:val="00EA6BC3"/>
    <w:rsid w:val="00EA703A"/>
    <w:rsid w:val="00EA779C"/>
    <w:rsid w:val="00EB04D3"/>
    <w:rsid w:val="00EB0560"/>
    <w:rsid w:val="00EB075F"/>
    <w:rsid w:val="00EB10E3"/>
    <w:rsid w:val="00EB1AAE"/>
    <w:rsid w:val="00EB24BB"/>
    <w:rsid w:val="00EB2B3B"/>
    <w:rsid w:val="00EB2EAB"/>
    <w:rsid w:val="00EB3303"/>
    <w:rsid w:val="00EB332F"/>
    <w:rsid w:val="00EB396B"/>
    <w:rsid w:val="00EB4A53"/>
    <w:rsid w:val="00EB4B98"/>
    <w:rsid w:val="00EB4EDE"/>
    <w:rsid w:val="00EB551E"/>
    <w:rsid w:val="00EB5E24"/>
    <w:rsid w:val="00EB6076"/>
    <w:rsid w:val="00EB6304"/>
    <w:rsid w:val="00EB631D"/>
    <w:rsid w:val="00EB7431"/>
    <w:rsid w:val="00EC0B51"/>
    <w:rsid w:val="00EC1EE6"/>
    <w:rsid w:val="00EC26A5"/>
    <w:rsid w:val="00EC2CAF"/>
    <w:rsid w:val="00EC2E65"/>
    <w:rsid w:val="00EC355F"/>
    <w:rsid w:val="00EC3A6D"/>
    <w:rsid w:val="00EC3E11"/>
    <w:rsid w:val="00EC434F"/>
    <w:rsid w:val="00EC45B1"/>
    <w:rsid w:val="00EC484C"/>
    <w:rsid w:val="00EC4E77"/>
    <w:rsid w:val="00EC4FC8"/>
    <w:rsid w:val="00EC5BA1"/>
    <w:rsid w:val="00EC5C14"/>
    <w:rsid w:val="00EC62A4"/>
    <w:rsid w:val="00EC63F1"/>
    <w:rsid w:val="00EC69B8"/>
    <w:rsid w:val="00EC6B3A"/>
    <w:rsid w:val="00EC73F4"/>
    <w:rsid w:val="00EC77C8"/>
    <w:rsid w:val="00EC7E07"/>
    <w:rsid w:val="00EC7EAC"/>
    <w:rsid w:val="00ED054C"/>
    <w:rsid w:val="00ED0720"/>
    <w:rsid w:val="00ED0B60"/>
    <w:rsid w:val="00ED1242"/>
    <w:rsid w:val="00ED142E"/>
    <w:rsid w:val="00ED17E4"/>
    <w:rsid w:val="00ED1805"/>
    <w:rsid w:val="00ED2A26"/>
    <w:rsid w:val="00ED2CAF"/>
    <w:rsid w:val="00ED3341"/>
    <w:rsid w:val="00ED370C"/>
    <w:rsid w:val="00ED420A"/>
    <w:rsid w:val="00ED4C39"/>
    <w:rsid w:val="00ED5D20"/>
    <w:rsid w:val="00ED5DFC"/>
    <w:rsid w:val="00ED6722"/>
    <w:rsid w:val="00ED6778"/>
    <w:rsid w:val="00ED6F69"/>
    <w:rsid w:val="00ED78F3"/>
    <w:rsid w:val="00ED7A51"/>
    <w:rsid w:val="00ED7B19"/>
    <w:rsid w:val="00ED7BDA"/>
    <w:rsid w:val="00ED7C42"/>
    <w:rsid w:val="00EE015C"/>
    <w:rsid w:val="00EE0175"/>
    <w:rsid w:val="00EE1CEC"/>
    <w:rsid w:val="00EE2D1A"/>
    <w:rsid w:val="00EE31D3"/>
    <w:rsid w:val="00EE48AF"/>
    <w:rsid w:val="00EE48B2"/>
    <w:rsid w:val="00EE5F14"/>
    <w:rsid w:val="00EE7A2E"/>
    <w:rsid w:val="00EE7ADC"/>
    <w:rsid w:val="00EF03A9"/>
    <w:rsid w:val="00EF04A5"/>
    <w:rsid w:val="00EF0807"/>
    <w:rsid w:val="00EF1209"/>
    <w:rsid w:val="00EF1749"/>
    <w:rsid w:val="00EF1D69"/>
    <w:rsid w:val="00EF240C"/>
    <w:rsid w:val="00EF2663"/>
    <w:rsid w:val="00EF2715"/>
    <w:rsid w:val="00EF273B"/>
    <w:rsid w:val="00EF2C85"/>
    <w:rsid w:val="00EF31BF"/>
    <w:rsid w:val="00EF35A4"/>
    <w:rsid w:val="00EF3848"/>
    <w:rsid w:val="00EF442F"/>
    <w:rsid w:val="00EF6FE6"/>
    <w:rsid w:val="00F00FAD"/>
    <w:rsid w:val="00F024C6"/>
    <w:rsid w:val="00F02BC2"/>
    <w:rsid w:val="00F041FD"/>
    <w:rsid w:val="00F049F4"/>
    <w:rsid w:val="00F05605"/>
    <w:rsid w:val="00F063E3"/>
    <w:rsid w:val="00F06879"/>
    <w:rsid w:val="00F0701E"/>
    <w:rsid w:val="00F07583"/>
    <w:rsid w:val="00F07804"/>
    <w:rsid w:val="00F07A4D"/>
    <w:rsid w:val="00F07AA4"/>
    <w:rsid w:val="00F1086B"/>
    <w:rsid w:val="00F116C4"/>
    <w:rsid w:val="00F11770"/>
    <w:rsid w:val="00F11AE6"/>
    <w:rsid w:val="00F11F6F"/>
    <w:rsid w:val="00F1260C"/>
    <w:rsid w:val="00F137F3"/>
    <w:rsid w:val="00F145AF"/>
    <w:rsid w:val="00F14660"/>
    <w:rsid w:val="00F14D4F"/>
    <w:rsid w:val="00F15040"/>
    <w:rsid w:val="00F161B4"/>
    <w:rsid w:val="00F1638A"/>
    <w:rsid w:val="00F16877"/>
    <w:rsid w:val="00F16D2F"/>
    <w:rsid w:val="00F172BE"/>
    <w:rsid w:val="00F17CAD"/>
    <w:rsid w:val="00F208C1"/>
    <w:rsid w:val="00F2092E"/>
    <w:rsid w:val="00F20B5E"/>
    <w:rsid w:val="00F215CA"/>
    <w:rsid w:val="00F215EE"/>
    <w:rsid w:val="00F22216"/>
    <w:rsid w:val="00F22E5A"/>
    <w:rsid w:val="00F2314F"/>
    <w:rsid w:val="00F23D57"/>
    <w:rsid w:val="00F24C18"/>
    <w:rsid w:val="00F24DD0"/>
    <w:rsid w:val="00F255F2"/>
    <w:rsid w:val="00F25C36"/>
    <w:rsid w:val="00F2607E"/>
    <w:rsid w:val="00F2641B"/>
    <w:rsid w:val="00F26577"/>
    <w:rsid w:val="00F265FB"/>
    <w:rsid w:val="00F27022"/>
    <w:rsid w:val="00F271D3"/>
    <w:rsid w:val="00F2729E"/>
    <w:rsid w:val="00F27C5F"/>
    <w:rsid w:val="00F31474"/>
    <w:rsid w:val="00F31722"/>
    <w:rsid w:val="00F319C9"/>
    <w:rsid w:val="00F3205F"/>
    <w:rsid w:val="00F3210E"/>
    <w:rsid w:val="00F32571"/>
    <w:rsid w:val="00F33339"/>
    <w:rsid w:val="00F33474"/>
    <w:rsid w:val="00F339A7"/>
    <w:rsid w:val="00F33D35"/>
    <w:rsid w:val="00F34437"/>
    <w:rsid w:val="00F35324"/>
    <w:rsid w:val="00F3566A"/>
    <w:rsid w:val="00F35C12"/>
    <w:rsid w:val="00F35CFC"/>
    <w:rsid w:val="00F3663D"/>
    <w:rsid w:val="00F36A8F"/>
    <w:rsid w:val="00F37586"/>
    <w:rsid w:val="00F3796A"/>
    <w:rsid w:val="00F37A87"/>
    <w:rsid w:val="00F408A0"/>
    <w:rsid w:val="00F40A95"/>
    <w:rsid w:val="00F41D12"/>
    <w:rsid w:val="00F4218B"/>
    <w:rsid w:val="00F428C7"/>
    <w:rsid w:val="00F42B24"/>
    <w:rsid w:val="00F434F7"/>
    <w:rsid w:val="00F43A7C"/>
    <w:rsid w:val="00F43B77"/>
    <w:rsid w:val="00F44C49"/>
    <w:rsid w:val="00F44E11"/>
    <w:rsid w:val="00F45598"/>
    <w:rsid w:val="00F46BD0"/>
    <w:rsid w:val="00F46F8F"/>
    <w:rsid w:val="00F470CB"/>
    <w:rsid w:val="00F47B2D"/>
    <w:rsid w:val="00F50984"/>
    <w:rsid w:val="00F50D4E"/>
    <w:rsid w:val="00F51024"/>
    <w:rsid w:val="00F51773"/>
    <w:rsid w:val="00F517A7"/>
    <w:rsid w:val="00F519F4"/>
    <w:rsid w:val="00F51B2E"/>
    <w:rsid w:val="00F51E82"/>
    <w:rsid w:val="00F52077"/>
    <w:rsid w:val="00F521AE"/>
    <w:rsid w:val="00F52252"/>
    <w:rsid w:val="00F533FA"/>
    <w:rsid w:val="00F534DA"/>
    <w:rsid w:val="00F53976"/>
    <w:rsid w:val="00F53C4D"/>
    <w:rsid w:val="00F53C4E"/>
    <w:rsid w:val="00F5432C"/>
    <w:rsid w:val="00F54F95"/>
    <w:rsid w:val="00F55244"/>
    <w:rsid w:val="00F55741"/>
    <w:rsid w:val="00F56287"/>
    <w:rsid w:val="00F56BDC"/>
    <w:rsid w:val="00F6001D"/>
    <w:rsid w:val="00F60CA9"/>
    <w:rsid w:val="00F61902"/>
    <w:rsid w:val="00F62832"/>
    <w:rsid w:val="00F62FB2"/>
    <w:rsid w:val="00F632C1"/>
    <w:rsid w:val="00F635C7"/>
    <w:rsid w:val="00F64175"/>
    <w:rsid w:val="00F65BBF"/>
    <w:rsid w:val="00F662C2"/>
    <w:rsid w:val="00F66484"/>
    <w:rsid w:val="00F669D6"/>
    <w:rsid w:val="00F66AA7"/>
    <w:rsid w:val="00F70351"/>
    <w:rsid w:val="00F70B6D"/>
    <w:rsid w:val="00F71108"/>
    <w:rsid w:val="00F717B1"/>
    <w:rsid w:val="00F71FDF"/>
    <w:rsid w:val="00F72A8B"/>
    <w:rsid w:val="00F73B5B"/>
    <w:rsid w:val="00F741D6"/>
    <w:rsid w:val="00F74E4A"/>
    <w:rsid w:val="00F75F85"/>
    <w:rsid w:val="00F762EE"/>
    <w:rsid w:val="00F76DE0"/>
    <w:rsid w:val="00F802E0"/>
    <w:rsid w:val="00F80A36"/>
    <w:rsid w:val="00F819C5"/>
    <w:rsid w:val="00F81CE2"/>
    <w:rsid w:val="00F81D1B"/>
    <w:rsid w:val="00F822DD"/>
    <w:rsid w:val="00F82533"/>
    <w:rsid w:val="00F82663"/>
    <w:rsid w:val="00F82ECC"/>
    <w:rsid w:val="00F835D0"/>
    <w:rsid w:val="00F83FFA"/>
    <w:rsid w:val="00F84246"/>
    <w:rsid w:val="00F84456"/>
    <w:rsid w:val="00F8519D"/>
    <w:rsid w:val="00F85410"/>
    <w:rsid w:val="00F85E62"/>
    <w:rsid w:val="00F86054"/>
    <w:rsid w:val="00F865BD"/>
    <w:rsid w:val="00F8697B"/>
    <w:rsid w:val="00F86B82"/>
    <w:rsid w:val="00F87059"/>
    <w:rsid w:val="00F8732E"/>
    <w:rsid w:val="00F875FC"/>
    <w:rsid w:val="00F90663"/>
    <w:rsid w:val="00F90EEC"/>
    <w:rsid w:val="00F91FCB"/>
    <w:rsid w:val="00F92797"/>
    <w:rsid w:val="00F9286F"/>
    <w:rsid w:val="00F93433"/>
    <w:rsid w:val="00F93876"/>
    <w:rsid w:val="00F939F2"/>
    <w:rsid w:val="00F95669"/>
    <w:rsid w:val="00F956D9"/>
    <w:rsid w:val="00F960FF"/>
    <w:rsid w:val="00F96716"/>
    <w:rsid w:val="00F9688E"/>
    <w:rsid w:val="00F96AB3"/>
    <w:rsid w:val="00FA051F"/>
    <w:rsid w:val="00FA0AF9"/>
    <w:rsid w:val="00FA11E5"/>
    <w:rsid w:val="00FA175F"/>
    <w:rsid w:val="00FA1C79"/>
    <w:rsid w:val="00FA1D14"/>
    <w:rsid w:val="00FA1FC9"/>
    <w:rsid w:val="00FA26E5"/>
    <w:rsid w:val="00FA2ED9"/>
    <w:rsid w:val="00FA2F00"/>
    <w:rsid w:val="00FA4036"/>
    <w:rsid w:val="00FA4700"/>
    <w:rsid w:val="00FA47E0"/>
    <w:rsid w:val="00FA490F"/>
    <w:rsid w:val="00FA497C"/>
    <w:rsid w:val="00FA5B90"/>
    <w:rsid w:val="00FA6181"/>
    <w:rsid w:val="00FA76B4"/>
    <w:rsid w:val="00FB0135"/>
    <w:rsid w:val="00FB06B7"/>
    <w:rsid w:val="00FB1478"/>
    <w:rsid w:val="00FB249C"/>
    <w:rsid w:val="00FB3A50"/>
    <w:rsid w:val="00FB444F"/>
    <w:rsid w:val="00FB52B7"/>
    <w:rsid w:val="00FB5716"/>
    <w:rsid w:val="00FB5C8C"/>
    <w:rsid w:val="00FB6215"/>
    <w:rsid w:val="00FB6CB0"/>
    <w:rsid w:val="00FB78EB"/>
    <w:rsid w:val="00FB7EDA"/>
    <w:rsid w:val="00FB7F5C"/>
    <w:rsid w:val="00FC0312"/>
    <w:rsid w:val="00FC0431"/>
    <w:rsid w:val="00FC0974"/>
    <w:rsid w:val="00FC099E"/>
    <w:rsid w:val="00FC0D1F"/>
    <w:rsid w:val="00FC3741"/>
    <w:rsid w:val="00FC39F3"/>
    <w:rsid w:val="00FC3D56"/>
    <w:rsid w:val="00FC3ED5"/>
    <w:rsid w:val="00FC4C82"/>
    <w:rsid w:val="00FC4D54"/>
    <w:rsid w:val="00FC5525"/>
    <w:rsid w:val="00FC5C6E"/>
    <w:rsid w:val="00FD16C7"/>
    <w:rsid w:val="00FD2271"/>
    <w:rsid w:val="00FD3571"/>
    <w:rsid w:val="00FD3874"/>
    <w:rsid w:val="00FD39DA"/>
    <w:rsid w:val="00FD4B7C"/>
    <w:rsid w:val="00FD522C"/>
    <w:rsid w:val="00FD5848"/>
    <w:rsid w:val="00FD5B62"/>
    <w:rsid w:val="00FD6C3E"/>
    <w:rsid w:val="00FD6C6F"/>
    <w:rsid w:val="00FD7049"/>
    <w:rsid w:val="00FE04A5"/>
    <w:rsid w:val="00FE08A6"/>
    <w:rsid w:val="00FE09C9"/>
    <w:rsid w:val="00FE11F0"/>
    <w:rsid w:val="00FE14C7"/>
    <w:rsid w:val="00FE19A4"/>
    <w:rsid w:val="00FE1ACE"/>
    <w:rsid w:val="00FE257D"/>
    <w:rsid w:val="00FE347F"/>
    <w:rsid w:val="00FE39E5"/>
    <w:rsid w:val="00FE405D"/>
    <w:rsid w:val="00FE4A1D"/>
    <w:rsid w:val="00FE577E"/>
    <w:rsid w:val="00FE6305"/>
    <w:rsid w:val="00FE6A47"/>
    <w:rsid w:val="00FE73B4"/>
    <w:rsid w:val="00FE7420"/>
    <w:rsid w:val="00FE7492"/>
    <w:rsid w:val="00FE74C8"/>
    <w:rsid w:val="00FF0925"/>
    <w:rsid w:val="00FF160C"/>
    <w:rsid w:val="00FF1D1B"/>
    <w:rsid w:val="00FF238F"/>
    <w:rsid w:val="00FF2DB1"/>
    <w:rsid w:val="00FF2F28"/>
    <w:rsid w:val="00FF36FB"/>
    <w:rsid w:val="00FF465A"/>
    <w:rsid w:val="00FF4ED2"/>
    <w:rsid w:val="00FF5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6C88DEA"/>
  <w15:docId w15:val="{F5909BE7-8A92-4A64-858C-D6929E51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2F9"/>
    <w:rPr>
      <w:sz w:val="24"/>
      <w:szCs w:val="24"/>
    </w:rPr>
  </w:style>
  <w:style w:type="paragraph" w:styleId="Heading1">
    <w:name w:val="heading 1"/>
    <w:aliases w:val="h1"/>
    <w:basedOn w:val="Normal"/>
    <w:next w:val="Normal"/>
    <w:qFormat/>
    <w:rsid w:val="00F53976"/>
    <w:pPr>
      <w:keepNext/>
      <w:tabs>
        <w:tab w:val="left" w:pos="-720"/>
      </w:tabs>
      <w:suppressAutoHyphens/>
      <w:spacing w:line="480" w:lineRule="auto"/>
      <w:jc w:val="both"/>
      <w:outlineLvl w:val="0"/>
    </w:pPr>
    <w:rPr>
      <w:rFonts w:ascii="Univers" w:hAnsi="Univers"/>
      <w:b/>
      <w:spacing w:val="-2"/>
      <w:sz w:val="20"/>
      <w:szCs w:val="20"/>
      <w:lang w:val="en-GB"/>
    </w:rPr>
  </w:style>
  <w:style w:type="paragraph" w:styleId="Heading2">
    <w:name w:val="heading 2"/>
    <w:aliases w:val="h2"/>
    <w:basedOn w:val="Normal"/>
    <w:next w:val="Normal"/>
    <w:link w:val="Heading2Char"/>
    <w:qFormat/>
    <w:rsid w:val="00F53976"/>
    <w:pPr>
      <w:keepNext/>
      <w:spacing w:line="360" w:lineRule="auto"/>
      <w:outlineLvl w:val="1"/>
    </w:pPr>
    <w:rPr>
      <w:rFonts w:ascii="Arial" w:hAnsi="Arial" w:cs="Arial"/>
      <w:b/>
      <w:bCs/>
      <w:sz w:val="18"/>
      <w:lang w:val="en-GB"/>
    </w:rPr>
  </w:style>
  <w:style w:type="paragraph" w:styleId="Heading3">
    <w:name w:val="heading 3"/>
    <w:aliases w:val="h3"/>
    <w:basedOn w:val="Normal"/>
    <w:next w:val="Normal"/>
    <w:qFormat/>
    <w:rsid w:val="00F53976"/>
    <w:pPr>
      <w:keepNext/>
      <w:spacing w:line="360" w:lineRule="auto"/>
      <w:outlineLvl w:val="2"/>
    </w:pPr>
    <w:rPr>
      <w:rFonts w:ascii="Arial" w:hAnsi="Arial" w:cs="Arial"/>
      <w:sz w:val="18"/>
      <w:u w:val="single"/>
      <w:lang w:val="en-GB"/>
    </w:rPr>
  </w:style>
  <w:style w:type="paragraph" w:styleId="Heading4">
    <w:name w:val="heading 4"/>
    <w:basedOn w:val="Normal"/>
    <w:next w:val="Normal"/>
    <w:qFormat/>
    <w:rsid w:val="00F53976"/>
    <w:pPr>
      <w:keepNext/>
      <w:jc w:val="center"/>
      <w:outlineLvl w:val="3"/>
    </w:pPr>
    <w:rPr>
      <w:rFonts w:ascii="Arial" w:hAnsi="Arial"/>
      <w:b/>
      <w:sz w:val="18"/>
      <w:szCs w:val="20"/>
      <w:lang w:val="en-AU"/>
    </w:rPr>
  </w:style>
  <w:style w:type="paragraph" w:styleId="Heading5">
    <w:name w:val="heading 5"/>
    <w:basedOn w:val="Normal"/>
    <w:next w:val="Normal"/>
    <w:qFormat/>
    <w:rsid w:val="00F53976"/>
    <w:pPr>
      <w:keepNext/>
      <w:outlineLvl w:val="4"/>
    </w:pPr>
    <w:rPr>
      <w:rFonts w:ascii="Arial" w:hAnsi="Arial"/>
      <w:szCs w:val="20"/>
      <w:lang w:val="en-AU"/>
    </w:rPr>
  </w:style>
  <w:style w:type="paragraph" w:styleId="Heading6">
    <w:name w:val="heading 6"/>
    <w:basedOn w:val="Normal"/>
    <w:next w:val="Normal"/>
    <w:qFormat/>
    <w:rsid w:val="00F53976"/>
    <w:pPr>
      <w:keepNext/>
      <w:spacing w:line="480" w:lineRule="auto"/>
      <w:jc w:val="center"/>
      <w:outlineLvl w:val="5"/>
    </w:pPr>
    <w:rPr>
      <w:rFonts w:ascii="Arial" w:hAnsi="Arial" w:cs="Arial"/>
      <w:b/>
      <w:bCs/>
      <w:spacing w:val="-2"/>
      <w:sz w:val="22"/>
      <w:szCs w:val="20"/>
    </w:rPr>
  </w:style>
  <w:style w:type="paragraph" w:styleId="Heading7">
    <w:name w:val="heading 7"/>
    <w:basedOn w:val="Normal"/>
    <w:next w:val="Normal"/>
    <w:qFormat/>
    <w:rsid w:val="00F53976"/>
    <w:pPr>
      <w:keepNext/>
      <w:outlineLvl w:val="6"/>
    </w:pPr>
    <w:rPr>
      <w:b/>
      <w:sz w:val="20"/>
      <w:szCs w:val="20"/>
      <w:u w:val="single"/>
      <w:lang w:val="en-AU"/>
    </w:rPr>
  </w:style>
  <w:style w:type="paragraph" w:styleId="Heading8">
    <w:name w:val="heading 8"/>
    <w:basedOn w:val="Normal"/>
    <w:next w:val="Normal"/>
    <w:qFormat/>
    <w:rsid w:val="00F53976"/>
    <w:pPr>
      <w:keepNext/>
      <w:spacing w:line="480" w:lineRule="auto"/>
      <w:jc w:val="center"/>
      <w:outlineLvl w:val="7"/>
    </w:pPr>
    <w:rPr>
      <w:rFonts w:ascii="Arial" w:hAnsi="Arial" w:cs="Arial"/>
      <w:b/>
      <w:bCs/>
      <w:spacing w:val="-2"/>
      <w:sz w:val="20"/>
      <w:szCs w:val="20"/>
    </w:rPr>
  </w:style>
  <w:style w:type="paragraph" w:styleId="Heading9">
    <w:name w:val="heading 9"/>
    <w:basedOn w:val="Normal"/>
    <w:next w:val="Normal"/>
    <w:qFormat/>
    <w:rsid w:val="00F53976"/>
    <w:pPr>
      <w:keepNext/>
      <w:outlineLvl w:val="8"/>
    </w:pPr>
    <w:rPr>
      <w:rFonts w:ascii="Arial" w:hAnsi="Arial"/>
      <w:bCs/>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F53976"/>
    <w:rPr>
      <w:sz w:val="20"/>
      <w:szCs w:val="20"/>
      <w:lang w:val="en-GB"/>
    </w:rPr>
  </w:style>
  <w:style w:type="paragraph" w:styleId="Title">
    <w:name w:val="Title"/>
    <w:basedOn w:val="Normal"/>
    <w:qFormat/>
    <w:rsid w:val="00F53976"/>
    <w:pPr>
      <w:tabs>
        <w:tab w:val="left" w:pos="-720"/>
      </w:tabs>
      <w:suppressAutoHyphens/>
      <w:spacing w:line="480" w:lineRule="auto"/>
      <w:jc w:val="center"/>
    </w:pPr>
    <w:rPr>
      <w:rFonts w:ascii="Univers" w:hAnsi="Univers"/>
      <w:b/>
      <w:spacing w:val="-2"/>
      <w:sz w:val="32"/>
      <w:szCs w:val="20"/>
      <w:lang w:val="en-GB"/>
    </w:rPr>
  </w:style>
  <w:style w:type="paragraph" w:styleId="EndnoteText">
    <w:name w:val="endnote text"/>
    <w:basedOn w:val="Normal"/>
    <w:next w:val="Normal"/>
    <w:link w:val="EndnoteTextChar"/>
    <w:semiHidden/>
    <w:rsid w:val="00F53976"/>
    <w:pPr>
      <w:tabs>
        <w:tab w:val="left" w:pos="567"/>
      </w:tabs>
    </w:pPr>
    <w:rPr>
      <w:sz w:val="22"/>
      <w:szCs w:val="20"/>
      <w:lang w:val="en-GB"/>
    </w:rPr>
  </w:style>
  <w:style w:type="paragraph" w:styleId="Header">
    <w:name w:val="header"/>
    <w:basedOn w:val="Normal"/>
    <w:rsid w:val="00F53976"/>
    <w:pPr>
      <w:tabs>
        <w:tab w:val="center" w:pos="4320"/>
        <w:tab w:val="right" w:pos="8640"/>
      </w:tabs>
    </w:pPr>
    <w:rPr>
      <w:sz w:val="20"/>
      <w:szCs w:val="20"/>
      <w:lang w:val="en-AU"/>
    </w:rPr>
  </w:style>
  <w:style w:type="paragraph" w:styleId="BodyText3">
    <w:name w:val="Body Text 3"/>
    <w:basedOn w:val="Normal"/>
    <w:rsid w:val="00F53976"/>
    <w:rPr>
      <w:rFonts w:ascii="Arial" w:hAnsi="Arial"/>
      <w:szCs w:val="20"/>
      <w:lang w:val="en-AU"/>
    </w:rPr>
  </w:style>
  <w:style w:type="paragraph" w:styleId="Footer">
    <w:name w:val="footer"/>
    <w:basedOn w:val="Normal"/>
    <w:link w:val="FooterChar"/>
    <w:uiPriority w:val="99"/>
    <w:rsid w:val="00F53976"/>
    <w:pPr>
      <w:tabs>
        <w:tab w:val="center" w:pos="4320"/>
        <w:tab w:val="right" w:pos="8640"/>
      </w:tabs>
    </w:pPr>
    <w:rPr>
      <w:sz w:val="20"/>
      <w:szCs w:val="20"/>
      <w:lang w:val="en-AU"/>
    </w:rPr>
  </w:style>
  <w:style w:type="paragraph" w:styleId="BodyText2">
    <w:name w:val="Body Text 2"/>
    <w:basedOn w:val="Normal"/>
    <w:rsid w:val="00F53976"/>
    <w:rPr>
      <w:b/>
      <w:sz w:val="20"/>
      <w:szCs w:val="20"/>
      <w:lang w:val="en-AU"/>
    </w:rPr>
  </w:style>
  <w:style w:type="paragraph" w:styleId="BodyText">
    <w:name w:val="Body Text"/>
    <w:basedOn w:val="Normal"/>
    <w:link w:val="BodyTextChar"/>
    <w:rsid w:val="00F53976"/>
    <w:pPr>
      <w:spacing w:line="480" w:lineRule="auto"/>
    </w:pPr>
    <w:rPr>
      <w:rFonts w:ascii="Arial" w:hAnsi="Arial" w:cs="Arial"/>
      <w:b/>
      <w:sz w:val="18"/>
      <w:lang w:val="en-GB"/>
    </w:rPr>
  </w:style>
  <w:style w:type="character" w:styleId="PageNumber">
    <w:name w:val="page number"/>
    <w:basedOn w:val="DefaultParagraphFont"/>
    <w:rsid w:val="00F53976"/>
  </w:style>
  <w:style w:type="paragraph" w:styleId="Subtitle">
    <w:name w:val="Subtitle"/>
    <w:basedOn w:val="Normal"/>
    <w:qFormat/>
    <w:rsid w:val="00F53976"/>
    <w:pPr>
      <w:spacing w:line="480" w:lineRule="auto"/>
    </w:pPr>
    <w:rPr>
      <w:rFonts w:ascii="Arial" w:hAnsi="Arial" w:cs="Arial"/>
      <w:b/>
      <w:sz w:val="18"/>
      <w:lang w:val="en-GB"/>
    </w:rPr>
  </w:style>
  <w:style w:type="paragraph" w:customStyle="1" w:styleId="Mandatorywording">
    <w:name w:val="Mandatory wording"/>
    <w:rsid w:val="00F53976"/>
    <w:pPr>
      <w:widowControl w:val="0"/>
    </w:pPr>
    <w:rPr>
      <w:b/>
      <w:i/>
      <w:sz w:val="22"/>
    </w:rPr>
  </w:style>
  <w:style w:type="paragraph" w:customStyle="1" w:styleId="Comments">
    <w:name w:val="Comments"/>
    <w:basedOn w:val="Normal"/>
    <w:rsid w:val="00F53976"/>
    <w:pPr>
      <w:keepLines/>
      <w:widowControl w:val="0"/>
    </w:pPr>
    <w:rPr>
      <w:rFonts w:ascii="Arial Narrow" w:hAnsi="Arial Narrow"/>
      <w:sz w:val="20"/>
      <w:szCs w:val="20"/>
    </w:rPr>
  </w:style>
  <w:style w:type="paragraph" w:customStyle="1" w:styleId="sectionheading">
    <w:name w:val="section heading"/>
    <w:rsid w:val="00F53976"/>
    <w:pPr>
      <w:widowControl w:val="0"/>
    </w:pPr>
    <w:rPr>
      <w:rFonts w:ascii="Arial" w:hAnsi="Arial"/>
      <w:b/>
      <w:i/>
      <w:noProof/>
      <w:sz w:val="22"/>
    </w:rPr>
  </w:style>
  <w:style w:type="character" w:styleId="EndnoteReference">
    <w:name w:val="endnote reference"/>
    <w:basedOn w:val="DefaultParagraphFont"/>
    <w:rsid w:val="00F53976"/>
    <w:rPr>
      <w:rFonts w:ascii="Times New Roman" w:hAnsi="Times New Roman"/>
      <w:sz w:val="24"/>
      <w:vertAlign w:val="superscript"/>
    </w:rPr>
  </w:style>
  <w:style w:type="table" w:styleId="TableGrid">
    <w:name w:val="Table Grid"/>
    <w:basedOn w:val="TableNormal"/>
    <w:rsid w:val="006669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426C4B"/>
    <w:rPr>
      <w:rFonts w:ascii="Tahoma" w:hAnsi="Tahoma" w:cs="Tahoma"/>
      <w:sz w:val="16"/>
      <w:szCs w:val="16"/>
    </w:rPr>
  </w:style>
  <w:style w:type="character" w:customStyle="1" w:styleId="BalloonTextChar">
    <w:name w:val="Balloon Text Char"/>
    <w:basedOn w:val="DefaultParagraphFont"/>
    <w:link w:val="BalloonText"/>
    <w:rsid w:val="00426C4B"/>
    <w:rPr>
      <w:rFonts w:ascii="Tahoma" w:hAnsi="Tahoma" w:cs="Tahoma"/>
      <w:sz w:val="16"/>
      <w:szCs w:val="16"/>
    </w:rPr>
  </w:style>
  <w:style w:type="character" w:styleId="CommentReference">
    <w:name w:val="annotation reference"/>
    <w:basedOn w:val="DefaultParagraphFont"/>
    <w:rsid w:val="00B37701"/>
    <w:rPr>
      <w:sz w:val="16"/>
      <w:szCs w:val="16"/>
    </w:rPr>
  </w:style>
  <w:style w:type="paragraph" w:styleId="CommentSubject">
    <w:name w:val="annotation subject"/>
    <w:basedOn w:val="CommentText"/>
    <w:next w:val="CommentText"/>
    <w:link w:val="CommentSubjectChar"/>
    <w:rsid w:val="00B37701"/>
    <w:rPr>
      <w:b/>
      <w:bCs/>
      <w:lang w:val="en-US"/>
    </w:rPr>
  </w:style>
  <w:style w:type="character" w:customStyle="1" w:styleId="CommentTextChar">
    <w:name w:val="Comment Text Char"/>
    <w:basedOn w:val="DefaultParagraphFont"/>
    <w:link w:val="CommentText"/>
    <w:semiHidden/>
    <w:rsid w:val="00B37701"/>
    <w:rPr>
      <w:lang w:val="en-GB"/>
    </w:rPr>
  </w:style>
  <w:style w:type="character" w:customStyle="1" w:styleId="CommentSubjectChar">
    <w:name w:val="Comment Subject Char"/>
    <w:basedOn w:val="CommentTextChar"/>
    <w:link w:val="CommentSubject"/>
    <w:rsid w:val="00B37701"/>
    <w:rPr>
      <w:lang w:val="en-GB"/>
    </w:rPr>
  </w:style>
  <w:style w:type="paragraph" w:styleId="Revision">
    <w:name w:val="Revision"/>
    <w:hidden/>
    <w:uiPriority w:val="99"/>
    <w:semiHidden/>
    <w:rsid w:val="00B37701"/>
    <w:rPr>
      <w:sz w:val="24"/>
      <w:szCs w:val="24"/>
    </w:rPr>
  </w:style>
  <w:style w:type="paragraph" w:styleId="ListParagraph">
    <w:name w:val="List Paragraph"/>
    <w:basedOn w:val="Normal"/>
    <w:uiPriority w:val="1"/>
    <w:qFormat/>
    <w:rsid w:val="008C24A2"/>
    <w:pPr>
      <w:ind w:left="720"/>
      <w:contextualSpacing/>
    </w:pPr>
  </w:style>
  <w:style w:type="character" w:styleId="LineNumber">
    <w:name w:val="line number"/>
    <w:basedOn w:val="DefaultParagraphFont"/>
    <w:rsid w:val="000B5FC6"/>
  </w:style>
  <w:style w:type="character" w:styleId="Hyperlink">
    <w:name w:val="Hyperlink"/>
    <w:uiPriority w:val="99"/>
    <w:rsid w:val="001B3B64"/>
    <w:rPr>
      <w:color w:val="0000FF"/>
      <w:u w:val="none"/>
    </w:rPr>
  </w:style>
  <w:style w:type="paragraph" w:customStyle="1" w:styleId="Mandatorysafetyconcepts">
    <w:name w:val="Mandatory safety concepts"/>
    <w:link w:val="MandatorysafetyconceptsChar"/>
    <w:rsid w:val="001B3B64"/>
    <w:pPr>
      <w:widowControl w:val="0"/>
    </w:pPr>
    <w:rPr>
      <w:b/>
      <w:sz w:val="22"/>
    </w:rPr>
  </w:style>
  <w:style w:type="character" w:customStyle="1" w:styleId="MandatorysafetyconceptsChar">
    <w:name w:val="Mandatory safety concepts Char"/>
    <w:link w:val="Mandatorysafetyconcepts"/>
    <w:rsid w:val="001B3B64"/>
    <w:rPr>
      <w:b/>
      <w:sz w:val="22"/>
    </w:rPr>
  </w:style>
  <w:style w:type="paragraph" w:customStyle="1" w:styleId="Optionalconcepts">
    <w:name w:val="Optional concepts"/>
    <w:link w:val="OptionalconceptsChar"/>
    <w:rsid w:val="00716744"/>
    <w:pPr>
      <w:widowControl w:val="0"/>
      <w:spacing w:after="240"/>
    </w:pPr>
    <w:rPr>
      <w:sz w:val="22"/>
    </w:rPr>
  </w:style>
  <w:style w:type="character" w:customStyle="1" w:styleId="OptionalconceptsChar">
    <w:name w:val="Optional concepts Char"/>
    <w:link w:val="Optionalconcepts"/>
    <w:rsid w:val="00716744"/>
    <w:rPr>
      <w:sz w:val="22"/>
    </w:rPr>
  </w:style>
  <w:style w:type="paragraph" w:customStyle="1" w:styleId="Descriptiveinformation">
    <w:name w:val="Descriptive information"/>
    <w:rsid w:val="00476A51"/>
    <w:pPr>
      <w:widowControl w:val="0"/>
    </w:pPr>
    <w:rPr>
      <w:rFonts w:ascii="Arial" w:hAnsi="Arial"/>
      <w:i/>
      <w:sz w:val="22"/>
    </w:rPr>
  </w:style>
  <w:style w:type="paragraph" w:customStyle="1" w:styleId="BulletedSubTitle">
    <w:name w:val="Bulleted Sub Title"/>
    <w:basedOn w:val="Normal"/>
    <w:rsid w:val="00476A51"/>
    <w:pPr>
      <w:keepNext/>
      <w:widowControl w:val="0"/>
      <w:numPr>
        <w:numId w:val="1"/>
      </w:numPr>
      <w:suppressLineNumbers/>
      <w:suppressAutoHyphens/>
      <w:spacing w:before="240" w:after="240"/>
    </w:pPr>
    <w:rPr>
      <w:rFonts w:ascii="Arial" w:hAnsi="Arial"/>
      <w:b/>
      <w:i/>
      <w:noProof/>
      <w:sz w:val="22"/>
      <w:szCs w:val="20"/>
    </w:rPr>
  </w:style>
  <w:style w:type="paragraph" w:customStyle="1" w:styleId="BodytextAgency">
    <w:name w:val="Body text (Agency)"/>
    <w:basedOn w:val="Normal"/>
    <w:link w:val="BodytextAgencyChar"/>
    <w:rsid w:val="00937F30"/>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937F30"/>
    <w:rPr>
      <w:rFonts w:ascii="Verdana" w:eastAsia="Verdana" w:hAnsi="Verdana"/>
      <w:sz w:val="18"/>
      <w:szCs w:val="18"/>
      <w:lang w:val="en-GB" w:eastAsia="en-GB"/>
    </w:rPr>
  </w:style>
  <w:style w:type="character" w:customStyle="1" w:styleId="BodyTextChar">
    <w:name w:val="Body Text Char"/>
    <w:basedOn w:val="DefaultParagraphFont"/>
    <w:link w:val="BodyText"/>
    <w:rsid w:val="0006228F"/>
    <w:rPr>
      <w:rFonts w:ascii="Arial" w:hAnsi="Arial" w:cs="Arial"/>
      <w:b/>
      <w:sz w:val="18"/>
      <w:szCs w:val="24"/>
      <w:lang w:val="en-GB"/>
    </w:rPr>
  </w:style>
  <w:style w:type="character" w:customStyle="1" w:styleId="Heading2Char">
    <w:name w:val="Heading 2 Char"/>
    <w:aliases w:val="h2 Char"/>
    <w:basedOn w:val="DefaultParagraphFont"/>
    <w:link w:val="Heading2"/>
    <w:rsid w:val="0006228F"/>
    <w:rPr>
      <w:rFonts w:ascii="Arial" w:hAnsi="Arial" w:cs="Arial"/>
      <w:b/>
      <w:bCs/>
      <w:sz w:val="18"/>
      <w:szCs w:val="24"/>
      <w:lang w:val="en-GB"/>
    </w:rPr>
  </w:style>
  <w:style w:type="character" w:customStyle="1" w:styleId="EndnoteTextChar">
    <w:name w:val="Endnote Text Char"/>
    <w:basedOn w:val="DefaultParagraphFont"/>
    <w:link w:val="EndnoteText"/>
    <w:semiHidden/>
    <w:rsid w:val="0006228F"/>
    <w:rPr>
      <w:sz w:val="22"/>
      <w:lang w:val="en-GB"/>
    </w:rPr>
  </w:style>
  <w:style w:type="character" w:customStyle="1" w:styleId="FooterChar">
    <w:name w:val="Footer Char"/>
    <w:basedOn w:val="DefaultParagraphFont"/>
    <w:link w:val="Footer"/>
    <w:uiPriority w:val="99"/>
    <w:rsid w:val="00052AB7"/>
    <w:rPr>
      <w:lang w:val="en-AU"/>
    </w:rPr>
  </w:style>
  <w:style w:type="paragraph" w:customStyle="1" w:styleId="TableText">
    <w:name w:val="TableText"/>
    <w:link w:val="TableTextChar"/>
    <w:rsid w:val="009006C9"/>
    <w:rPr>
      <w:rFonts w:cs="Arial"/>
    </w:rPr>
  </w:style>
  <w:style w:type="character" w:customStyle="1" w:styleId="TableTextChar">
    <w:name w:val="TableText Char"/>
    <w:link w:val="TableText"/>
    <w:rsid w:val="009006C9"/>
    <w:rPr>
      <w:rFonts w:cs="Arial"/>
    </w:rPr>
  </w:style>
  <w:style w:type="character" w:customStyle="1" w:styleId="CommentTextChar2">
    <w:name w:val="Comment Text Char2"/>
    <w:uiPriority w:val="99"/>
    <w:rsid w:val="0011221C"/>
    <w:rPr>
      <w:lang w:eastAsia="en-US"/>
    </w:rPr>
  </w:style>
  <w:style w:type="paragraph" w:customStyle="1" w:styleId="TableTextColHead">
    <w:name w:val="TableText Col Head"/>
    <w:next w:val="Normal"/>
    <w:link w:val="TableTextColHeadChar"/>
    <w:rsid w:val="00002DE2"/>
    <w:pPr>
      <w:jc w:val="center"/>
    </w:pPr>
    <w:rPr>
      <w:rFonts w:ascii="Times New Roman Bold" w:eastAsia="MS Mincho" w:hAnsi="Times New Roman Bold"/>
      <w:b/>
    </w:rPr>
  </w:style>
  <w:style w:type="paragraph" w:customStyle="1" w:styleId="TableTextFootnote">
    <w:name w:val="TableText Footnote"/>
    <w:link w:val="TableTextFootnoteChar"/>
    <w:rsid w:val="00002DE2"/>
    <w:rPr>
      <w:rFonts w:eastAsia="MS Mincho"/>
    </w:rPr>
  </w:style>
  <w:style w:type="character" w:customStyle="1" w:styleId="TableTextFootnoteChar">
    <w:name w:val="TableText Footnote Char"/>
    <w:link w:val="TableTextFootnote"/>
    <w:locked/>
    <w:rsid w:val="00002DE2"/>
    <w:rPr>
      <w:rFonts w:eastAsia="MS Mincho"/>
    </w:rPr>
  </w:style>
  <w:style w:type="character" w:customStyle="1" w:styleId="TableTextColHeadChar">
    <w:name w:val="TableText Col Head Char"/>
    <w:link w:val="TableTextColHead"/>
    <w:rsid w:val="00002DE2"/>
    <w:rPr>
      <w:rFonts w:ascii="Times New Roman Bold" w:eastAsia="MS Mincho" w:hAnsi="Times New Roman Bold"/>
      <w:b/>
    </w:rPr>
  </w:style>
  <w:style w:type="paragraph" w:customStyle="1" w:styleId="ListNoBullet">
    <w:name w:val="List No Bullet"/>
    <w:rsid w:val="00A653CE"/>
    <w:rPr>
      <w:sz w:val="24"/>
    </w:rPr>
  </w:style>
  <w:style w:type="paragraph" w:customStyle="1" w:styleId="TableTextCentered">
    <w:name w:val="TableText Centered"/>
    <w:rsid w:val="006D4BA3"/>
    <w:pPr>
      <w:jc w:val="center"/>
    </w:pPr>
    <w:rPr>
      <w:rFonts w:eastAsia="MS Mincho"/>
    </w:rPr>
  </w:style>
  <w:style w:type="paragraph" w:customStyle="1" w:styleId="Paragraph">
    <w:name w:val="Paragraph"/>
    <w:link w:val="ParagraphChar"/>
    <w:qFormat/>
    <w:rsid w:val="006C7213"/>
    <w:pPr>
      <w:spacing w:after="240"/>
    </w:pPr>
    <w:rPr>
      <w:sz w:val="24"/>
      <w:szCs w:val="24"/>
    </w:rPr>
  </w:style>
  <w:style w:type="character" w:customStyle="1" w:styleId="ParagraphChar">
    <w:name w:val="Paragraph Char"/>
    <w:link w:val="Paragraph"/>
    <w:rsid w:val="006C7213"/>
    <w:rPr>
      <w:sz w:val="24"/>
      <w:szCs w:val="24"/>
    </w:rPr>
  </w:style>
  <w:style w:type="character" w:customStyle="1" w:styleId="Instructions">
    <w:name w:val="Instructions"/>
    <w:rsid w:val="004B51BD"/>
    <w:rPr>
      <w:rFonts w:ascii="Times New Roman" w:hAnsi="Times New Roman"/>
      <w:iCs/>
      <w:color w:val="auto"/>
      <w:sz w:val="24"/>
    </w:rPr>
  </w:style>
  <w:style w:type="character" w:customStyle="1" w:styleId="BlueText">
    <w:name w:val="Blue Text"/>
    <w:rsid w:val="00A70468"/>
    <w:rPr>
      <w:color w:val="0000FF"/>
    </w:rPr>
  </w:style>
  <w:style w:type="character" w:styleId="UnresolvedMention">
    <w:name w:val="Unresolved Mention"/>
    <w:basedOn w:val="DefaultParagraphFont"/>
    <w:uiPriority w:val="99"/>
    <w:semiHidden/>
    <w:unhideWhenUsed/>
    <w:rsid w:val="004C5FD1"/>
    <w:rPr>
      <w:color w:val="808080"/>
      <w:shd w:val="clear" w:color="auto" w:fill="E6E6E6"/>
    </w:rPr>
  </w:style>
  <w:style w:type="paragraph" w:customStyle="1" w:styleId="Default">
    <w:name w:val="Default"/>
    <w:rsid w:val="00680B04"/>
    <w:pPr>
      <w:autoSpaceDE w:val="0"/>
      <w:autoSpaceDN w:val="0"/>
      <w:adjustRightInd w:val="0"/>
    </w:pPr>
    <w:rPr>
      <w:color w:val="000000"/>
      <w:sz w:val="24"/>
      <w:szCs w:val="24"/>
    </w:rPr>
  </w:style>
  <w:style w:type="character" w:styleId="FollowedHyperlink">
    <w:name w:val="FollowedHyperlink"/>
    <w:basedOn w:val="DefaultParagraphFont"/>
    <w:semiHidden/>
    <w:unhideWhenUsed/>
    <w:rsid w:val="001A5A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290562">
      <w:bodyDiv w:val="1"/>
      <w:marLeft w:val="0"/>
      <w:marRight w:val="0"/>
      <w:marTop w:val="0"/>
      <w:marBottom w:val="0"/>
      <w:divBdr>
        <w:top w:val="none" w:sz="0" w:space="0" w:color="auto"/>
        <w:left w:val="none" w:sz="0" w:space="0" w:color="auto"/>
        <w:bottom w:val="none" w:sz="0" w:space="0" w:color="auto"/>
        <w:right w:val="none" w:sz="0" w:space="0" w:color="auto"/>
      </w:divBdr>
    </w:div>
    <w:div w:id="680668846">
      <w:bodyDiv w:val="1"/>
      <w:marLeft w:val="0"/>
      <w:marRight w:val="0"/>
      <w:marTop w:val="0"/>
      <w:marBottom w:val="0"/>
      <w:divBdr>
        <w:top w:val="none" w:sz="0" w:space="0" w:color="auto"/>
        <w:left w:val="none" w:sz="0" w:space="0" w:color="auto"/>
        <w:bottom w:val="none" w:sz="0" w:space="0" w:color="auto"/>
        <w:right w:val="none" w:sz="0" w:space="0" w:color="auto"/>
      </w:divBdr>
    </w:div>
    <w:div w:id="777141065">
      <w:bodyDiv w:val="1"/>
      <w:marLeft w:val="0"/>
      <w:marRight w:val="0"/>
      <w:marTop w:val="0"/>
      <w:marBottom w:val="0"/>
      <w:divBdr>
        <w:top w:val="none" w:sz="0" w:space="0" w:color="auto"/>
        <w:left w:val="none" w:sz="0" w:space="0" w:color="auto"/>
        <w:bottom w:val="none" w:sz="0" w:space="0" w:color="auto"/>
        <w:right w:val="none" w:sz="0" w:space="0" w:color="auto"/>
      </w:divBdr>
    </w:div>
    <w:div w:id="1062948067">
      <w:bodyDiv w:val="1"/>
      <w:marLeft w:val="0"/>
      <w:marRight w:val="0"/>
      <w:marTop w:val="0"/>
      <w:marBottom w:val="0"/>
      <w:divBdr>
        <w:top w:val="none" w:sz="0" w:space="0" w:color="auto"/>
        <w:left w:val="none" w:sz="0" w:space="0" w:color="auto"/>
        <w:bottom w:val="none" w:sz="0" w:space="0" w:color="auto"/>
        <w:right w:val="none" w:sz="0" w:space="0" w:color="auto"/>
      </w:divBdr>
    </w:div>
    <w:div w:id="1069159643">
      <w:bodyDiv w:val="1"/>
      <w:marLeft w:val="0"/>
      <w:marRight w:val="0"/>
      <w:marTop w:val="0"/>
      <w:marBottom w:val="0"/>
      <w:divBdr>
        <w:top w:val="none" w:sz="0" w:space="0" w:color="auto"/>
        <w:left w:val="none" w:sz="0" w:space="0" w:color="auto"/>
        <w:bottom w:val="none" w:sz="0" w:space="0" w:color="auto"/>
        <w:right w:val="none" w:sz="0" w:space="0" w:color="auto"/>
      </w:divBdr>
    </w:div>
    <w:div w:id="1229655008">
      <w:bodyDiv w:val="1"/>
      <w:marLeft w:val="0"/>
      <w:marRight w:val="0"/>
      <w:marTop w:val="0"/>
      <w:marBottom w:val="0"/>
      <w:divBdr>
        <w:top w:val="none" w:sz="0" w:space="0" w:color="auto"/>
        <w:left w:val="none" w:sz="0" w:space="0" w:color="auto"/>
        <w:bottom w:val="none" w:sz="0" w:space="0" w:color="auto"/>
        <w:right w:val="none" w:sz="0" w:space="0" w:color="auto"/>
      </w:divBdr>
    </w:div>
    <w:div w:id="1399980131">
      <w:bodyDiv w:val="1"/>
      <w:marLeft w:val="0"/>
      <w:marRight w:val="0"/>
      <w:marTop w:val="0"/>
      <w:marBottom w:val="0"/>
      <w:divBdr>
        <w:top w:val="none" w:sz="0" w:space="0" w:color="auto"/>
        <w:left w:val="none" w:sz="0" w:space="0" w:color="auto"/>
        <w:bottom w:val="none" w:sz="0" w:space="0" w:color="auto"/>
        <w:right w:val="none" w:sz="0" w:space="0" w:color="auto"/>
      </w:divBdr>
    </w:div>
    <w:div w:id="1758207895">
      <w:bodyDiv w:val="1"/>
      <w:marLeft w:val="0"/>
      <w:marRight w:val="0"/>
      <w:marTop w:val="0"/>
      <w:marBottom w:val="0"/>
      <w:divBdr>
        <w:top w:val="none" w:sz="0" w:space="0" w:color="auto"/>
        <w:left w:val="none" w:sz="0" w:space="0" w:color="auto"/>
        <w:bottom w:val="none" w:sz="0" w:space="0" w:color="auto"/>
        <w:right w:val="none" w:sz="0" w:space="0" w:color="auto"/>
      </w:divBdr>
    </w:div>
    <w:div w:id="191288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hpra.org.za/Publications/Index/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401F91E9FB4840B22D7AA5A9E274EF" ma:contentTypeVersion="7" ma:contentTypeDescription="Create a new document." ma:contentTypeScope="" ma:versionID="e16e640158ef440a2aa6b7825c463efd">
  <xsd:schema xmlns:xsd="http://www.w3.org/2001/XMLSchema" xmlns:xs="http://www.w3.org/2001/XMLSchema" xmlns:p="http://schemas.microsoft.com/office/2006/metadata/properties" xmlns:ns3="367bc466-74e3-4a76-a8e3-4434779e7b92" xmlns:ns4="301dcfab-a986-4e4e-b8fb-d27175236fd7" targetNamespace="http://schemas.microsoft.com/office/2006/metadata/properties" ma:root="true" ma:fieldsID="8f79afd7e0e7372a152e94d7cd29887b" ns3:_="" ns4:_="">
    <xsd:import namespace="367bc466-74e3-4a76-a8e3-4434779e7b92"/>
    <xsd:import namespace="301dcfab-a986-4e4e-b8fb-d27175236f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bc466-74e3-4a76-a8e3-4434779e7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1dcfab-a986-4e4e-b8fb-d27175236f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33BEE-6F12-422E-8F1E-73D905AAD7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86AF44-5C90-4222-B85D-563AB78E3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bc466-74e3-4a76-a8e3-4434779e7b92"/>
    <ds:schemaRef ds:uri="301dcfab-a986-4e4e-b8fb-d27175236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F53B9-A768-4EFB-9002-4DEB9035E487}">
  <ds:schemaRefs>
    <ds:schemaRef ds:uri="http://schemas.microsoft.com/sharepoint/v3/contenttype/forms"/>
  </ds:schemaRefs>
</ds:datastoreItem>
</file>

<file path=customXml/itemProps4.xml><?xml version="1.0" encoding="utf-8"?>
<ds:datastoreItem xmlns:ds="http://schemas.openxmlformats.org/officeDocument/2006/customXml" ds:itemID="{2F80ACF8-0077-4963-AAA6-CAB43B181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39</Pages>
  <Words>8262</Words>
  <Characters>47255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PACKAGE INSERT REFERENCES</vt:lpstr>
    </vt:vector>
  </TitlesOfParts>
  <Company>AHP</Company>
  <LinksUpToDate>false</LinksUpToDate>
  <CharactersWithSpaces>55407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INSERT REFERENCES</dc:title>
  <dc:subject/>
  <dc:creator>Lindiwe Nyathi</dc:creator>
  <cp:keywords/>
  <dc:description/>
  <cp:lastModifiedBy>Ramano, Tondani</cp:lastModifiedBy>
  <cp:revision>20</cp:revision>
  <cp:lastPrinted>2019-09-25T07:30:00Z</cp:lastPrinted>
  <dcterms:created xsi:type="dcterms:W3CDTF">2020-09-14T14:49:00Z</dcterms:created>
  <dcterms:modified xsi:type="dcterms:W3CDTF">2020-11-02T14:36:00Z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0x0101003B401F91E9FB4840B22D7AA5A9E274EF</vt:lpwstr>
  </property>
</Properties>
</file>